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EFA49B" w14:textId="77777777" w:rsidR="008E0186" w:rsidRPr="008E0186" w:rsidRDefault="008E0186" w:rsidP="008E0186">
      <w:pPr>
        <w:widowControl w:val="0"/>
        <w:tabs>
          <w:tab w:val="center" w:pos="5040"/>
          <w:tab w:val="right" w:pos="10080"/>
        </w:tabs>
        <w:spacing w:line="240" w:lineRule="exact"/>
        <w:rPr>
          <w:rFonts w:ascii="Arial" w:hAnsi="Arial" w:cs="Arial"/>
          <w:b/>
          <w:snapToGrid w:val="0"/>
          <w:kern w:val="2"/>
        </w:rPr>
      </w:pPr>
      <w:r w:rsidRPr="008E0186">
        <w:rPr>
          <w:rFonts w:ascii="Arial" w:hAnsi="Arial" w:cs="Arial"/>
          <w:b/>
          <w:snapToGrid w:val="0"/>
          <w:kern w:val="2"/>
        </w:rPr>
        <w:tab/>
        <w:t>CONTENTS</w:t>
      </w:r>
      <w:r w:rsidRPr="008E0186">
        <w:rPr>
          <w:rFonts w:ascii="Arial" w:hAnsi="Arial" w:cs="Arial"/>
          <w:b/>
          <w:snapToGrid w:val="0"/>
          <w:kern w:val="2"/>
        </w:rPr>
        <w:tab/>
        <w:t>August 2026</w:t>
      </w:r>
    </w:p>
    <w:p w14:paraId="2D8AB2DD" w14:textId="77777777" w:rsidR="008E0186" w:rsidRPr="008E0186" w:rsidRDefault="008E0186" w:rsidP="008E0186">
      <w:pPr>
        <w:widowControl w:val="0"/>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jc w:val="center"/>
        <w:rPr>
          <w:rFonts w:ascii="Arial" w:hAnsi="Arial" w:cs="Arial"/>
          <w:snapToGrid w:val="0"/>
          <w:kern w:val="2"/>
          <w:sz w:val="18"/>
        </w:rPr>
      </w:pPr>
    </w:p>
    <w:p w14:paraId="3CFC98FC"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
          <w:kern w:val="2"/>
          <w:sz w:val="18"/>
        </w:rPr>
      </w:pPr>
      <w:r w:rsidRPr="008E0186">
        <w:rPr>
          <w:rFonts w:ascii="Arial" w:hAnsi="Arial" w:cs="Arial"/>
          <w:b/>
          <w:kern w:val="2"/>
          <w:sz w:val="18"/>
        </w:rPr>
        <w:t>I.</w:t>
      </w:r>
      <w:r w:rsidRPr="008E0186">
        <w:rPr>
          <w:rFonts w:ascii="Arial" w:hAnsi="Arial" w:cs="Arial"/>
          <w:b/>
          <w:kern w:val="2"/>
          <w:sz w:val="18"/>
        </w:rPr>
        <w:tab/>
      </w:r>
      <w:r w:rsidRPr="008E0186">
        <w:rPr>
          <w:rFonts w:ascii="Arial" w:hAnsi="Arial" w:cs="Arial"/>
          <w:b/>
          <w:kern w:val="2"/>
          <w:sz w:val="18"/>
        </w:rPr>
        <w:tab/>
        <w:t>EXECUTIVE ORDERS</w:t>
      </w:r>
    </w:p>
    <w:p w14:paraId="4185C713" w14:textId="77777777" w:rsidR="008E0186" w:rsidRPr="008E0186" w:rsidRDefault="008E0186" w:rsidP="008E0186">
      <w:pPr>
        <w:widowControl w:val="0"/>
        <w:tabs>
          <w:tab w:val="decimal" w:pos="245"/>
          <w:tab w:val="left" w:pos="480"/>
          <w:tab w:val="left" w:pos="720"/>
          <w:tab w:val="left" w:pos="960"/>
          <w:tab w:val="left" w:pos="1200"/>
          <w:tab w:val="left" w:pos="1530"/>
          <w:tab w:val="right" w:leader="dot" w:pos="10116"/>
        </w:tabs>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t>JML 26-063</w:t>
      </w:r>
      <w:r w:rsidRPr="008E0186">
        <w:rPr>
          <w:rFonts w:ascii="Arial" w:hAnsi="Arial" w:cs="Arial"/>
          <w:bCs/>
          <w:kern w:val="2"/>
          <w:sz w:val="18"/>
        </w:rPr>
        <w:tab/>
        <w:t>Renewal of State of Emergency—Cybersecurity Incidents</w:t>
      </w:r>
      <w:r w:rsidRPr="008E0186">
        <w:rPr>
          <w:rFonts w:ascii="Arial" w:hAnsi="Arial" w:cs="Arial"/>
          <w:bCs/>
          <w:kern w:val="2"/>
          <w:sz w:val="18"/>
        </w:rPr>
        <w:tab/>
        <w:t>1306</w:t>
      </w:r>
    </w:p>
    <w:p w14:paraId="44330157" w14:textId="77777777" w:rsidR="008E0186" w:rsidRPr="008E0186" w:rsidRDefault="008E0186" w:rsidP="008E0186">
      <w:pPr>
        <w:widowControl w:val="0"/>
        <w:tabs>
          <w:tab w:val="decimal" w:pos="245"/>
          <w:tab w:val="left" w:pos="480"/>
          <w:tab w:val="left" w:pos="720"/>
          <w:tab w:val="left" w:pos="960"/>
          <w:tab w:val="left" w:pos="1200"/>
          <w:tab w:val="left" w:pos="1530"/>
          <w:tab w:val="right" w:leader="dot" w:pos="10116"/>
        </w:tabs>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t>JML 26-064</w:t>
      </w:r>
      <w:r w:rsidRPr="008E0186">
        <w:rPr>
          <w:noProof/>
        </w:rPr>
        <w:tab/>
      </w:r>
      <w:r w:rsidRPr="008E0186">
        <w:rPr>
          <w:rFonts w:ascii="Arial" w:hAnsi="Arial" w:cs="Arial"/>
          <w:bCs/>
          <w:kern w:val="2"/>
          <w:sz w:val="18"/>
        </w:rPr>
        <w:t>Flags at Half-Staff—Senator Larry Selders</w:t>
      </w:r>
      <w:r w:rsidRPr="008E0186">
        <w:rPr>
          <w:rFonts w:ascii="Arial" w:hAnsi="Arial" w:cs="Arial"/>
          <w:bCs/>
          <w:kern w:val="2"/>
          <w:sz w:val="18"/>
        </w:rPr>
        <w:tab/>
        <w:t>1306</w:t>
      </w:r>
    </w:p>
    <w:p w14:paraId="73C72D7C" w14:textId="77777777" w:rsidR="008E0186" w:rsidRPr="008E0186" w:rsidRDefault="008E0186" w:rsidP="008E0186">
      <w:pPr>
        <w:widowControl w:val="0"/>
        <w:tabs>
          <w:tab w:val="decimal" w:pos="245"/>
          <w:tab w:val="left" w:pos="480"/>
          <w:tab w:val="left" w:pos="720"/>
          <w:tab w:val="left" w:pos="960"/>
          <w:tab w:val="left" w:pos="1200"/>
          <w:tab w:val="left" w:pos="1530"/>
          <w:tab w:val="right" w:leader="dot" w:pos="10116"/>
        </w:tabs>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t>JML 26-065</w:t>
      </w:r>
      <w:r w:rsidRPr="008E0186">
        <w:rPr>
          <w:rFonts w:ascii="Arial" w:hAnsi="Arial" w:cs="Arial"/>
          <w:bCs/>
          <w:kern w:val="2"/>
          <w:sz w:val="18"/>
        </w:rPr>
        <w:tab/>
        <w:t>Flags at Half-Staff—Deputy United States Marshal Michael Andrew Hanson</w:t>
      </w:r>
      <w:r w:rsidRPr="008E0186">
        <w:rPr>
          <w:rFonts w:ascii="Arial" w:hAnsi="Arial" w:cs="Arial"/>
          <w:bCs/>
          <w:kern w:val="2"/>
          <w:sz w:val="18"/>
        </w:rPr>
        <w:tab/>
        <w:t>1307</w:t>
      </w:r>
    </w:p>
    <w:p w14:paraId="3B28E7CE" w14:textId="77777777" w:rsidR="008E0186" w:rsidRPr="008E0186" w:rsidRDefault="008E0186" w:rsidP="008E0186">
      <w:pPr>
        <w:widowControl w:val="0"/>
        <w:tabs>
          <w:tab w:val="decimal" w:pos="245"/>
          <w:tab w:val="left" w:pos="480"/>
          <w:tab w:val="left" w:pos="720"/>
          <w:tab w:val="left" w:pos="960"/>
          <w:tab w:val="left" w:pos="1200"/>
          <w:tab w:val="left" w:pos="1530"/>
          <w:tab w:val="right" w:leader="dot" w:pos="10116"/>
        </w:tabs>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t>JML 26-066</w:t>
      </w:r>
      <w:r w:rsidRPr="008E0186">
        <w:rPr>
          <w:rFonts w:ascii="Arial" w:hAnsi="Arial" w:cs="Arial"/>
          <w:bCs/>
          <w:kern w:val="2"/>
          <w:sz w:val="18"/>
        </w:rPr>
        <w:tab/>
        <w:t>Renewal of State of Emergency—Licensed Bed Capacity for Nursing Facilities</w:t>
      </w:r>
      <w:r w:rsidRPr="008E0186">
        <w:rPr>
          <w:rFonts w:ascii="Arial" w:hAnsi="Arial" w:cs="Arial"/>
          <w:bCs/>
          <w:kern w:val="2"/>
          <w:sz w:val="18"/>
        </w:rPr>
        <w:tab/>
        <w:t>1308</w:t>
      </w:r>
    </w:p>
    <w:p w14:paraId="2B51AA1F" w14:textId="77777777" w:rsidR="008E0186" w:rsidRPr="008E0186" w:rsidRDefault="008E0186" w:rsidP="008E0186">
      <w:pPr>
        <w:widowControl w:val="0"/>
        <w:tabs>
          <w:tab w:val="decimal" w:pos="245"/>
          <w:tab w:val="left" w:pos="480"/>
          <w:tab w:val="left" w:pos="720"/>
          <w:tab w:val="left" w:pos="960"/>
          <w:tab w:val="left" w:pos="1200"/>
          <w:tab w:val="left" w:pos="1530"/>
          <w:tab w:val="right" w:leader="dot" w:pos="10116"/>
        </w:tabs>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t>JML 26-067</w:t>
      </w:r>
      <w:r w:rsidRPr="008E0186">
        <w:rPr>
          <w:rFonts w:ascii="Arial" w:hAnsi="Arial" w:cs="Arial"/>
          <w:bCs/>
          <w:kern w:val="2"/>
          <w:sz w:val="18"/>
        </w:rPr>
        <w:tab/>
        <w:t>Bond Allocation 2026 Ceiling Amendment</w:t>
      </w:r>
      <w:r w:rsidRPr="008E0186">
        <w:rPr>
          <w:rFonts w:ascii="Arial" w:hAnsi="Arial" w:cs="Arial"/>
          <w:bCs/>
          <w:kern w:val="2"/>
          <w:sz w:val="18"/>
        </w:rPr>
        <w:tab/>
        <w:t>1308</w:t>
      </w:r>
    </w:p>
    <w:p w14:paraId="76F82A65" w14:textId="77777777" w:rsidR="008E0186" w:rsidRPr="008E0186" w:rsidRDefault="008E0186" w:rsidP="008E0186">
      <w:pPr>
        <w:widowControl w:val="0"/>
        <w:tabs>
          <w:tab w:val="decimal" w:pos="245"/>
          <w:tab w:val="left" w:pos="480"/>
          <w:tab w:val="left" w:pos="720"/>
          <w:tab w:val="left" w:pos="960"/>
          <w:tab w:val="left" w:pos="1200"/>
          <w:tab w:val="left" w:pos="1530"/>
          <w:tab w:val="right" w:leader="dot" w:pos="10116"/>
        </w:tabs>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t>JML 26-068</w:t>
      </w:r>
      <w:r w:rsidRPr="008E0186">
        <w:rPr>
          <w:rFonts w:ascii="Arial" w:hAnsi="Arial" w:cs="Arial"/>
          <w:bCs/>
          <w:kern w:val="2"/>
          <w:sz w:val="18"/>
        </w:rPr>
        <w:tab/>
        <w:t>State of Emergency—Tropical Storm Bertha—July 22, 2026</w:t>
      </w:r>
      <w:r w:rsidRPr="008E0186">
        <w:rPr>
          <w:rFonts w:ascii="Arial" w:hAnsi="Arial" w:cs="Arial"/>
          <w:bCs/>
          <w:kern w:val="2"/>
          <w:sz w:val="18"/>
        </w:rPr>
        <w:tab/>
        <w:t>1309</w:t>
      </w:r>
    </w:p>
    <w:p w14:paraId="297F5B4E" w14:textId="77777777" w:rsidR="008E0186" w:rsidRPr="008E0186" w:rsidRDefault="008E0186" w:rsidP="008E0186">
      <w:pPr>
        <w:widowControl w:val="0"/>
        <w:tabs>
          <w:tab w:val="decimal" w:pos="245"/>
          <w:tab w:val="left" w:pos="480"/>
          <w:tab w:val="left" w:pos="720"/>
          <w:tab w:val="left" w:pos="960"/>
          <w:tab w:val="left" w:pos="1200"/>
          <w:tab w:val="left" w:pos="1530"/>
          <w:tab w:val="right" w:leader="dot" w:pos="10116"/>
        </w:tabs>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t>JML 26-069</w:t>
      </w:r>
      <w:r w:rsidRPr="008E0186">
        <w:rPr>
          <w:rFonts w:ascii="Arial" w:hAnsi="Arial" w:cs="Arial"/>
          <w:bCs/>
          <w:kern w:val="2"/>
          <w:sz w:val="18"/>
        </w:rPr>
        <w:tab/>
        <w:t>Louisiana Taxpayer Protection Initiative Combating Fraud Through Federal-State Partnerships and</w:t>
      </w:r>
    </w:p>
    <w:p w14:paraId="15DE877F" w14:textId="77777777" w:rsidR="008E0186" w:rsidRPr="008E0186" w:rsidRDefault="008E0186" w:rsidP="008E0186">
      <w:pPr>
        <w:widowControl w:val="0"/>
        <w:tabs>
          <w:tab w:val="decimal" w:pos="245"/>
          <w:tab w:val="left" w:pos="480"/>
          <w:tab w:val="left" w:pos="720"/>
          <w:tab w:val="left" w:pos="960"/>
          <w:tab w:val="left" w:pos="1200"/>
          <w:tab w:val="left" w:pos="1530"/>
          <w:tab w:val="right" w:leader="dot" w:pos="10116"/>
        </w:tabs>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Cooperation</w:t>
      </w:r>
      <w:r w:rsidRPr="008E0186">
        <w:rPr>
          <w:rFonts w:ascii="Arial" w:hAnsi="Arial" w:cs="Arial"/>
          <w:bCs/>
          <w:kern w:val="2"/>
          <w:sz w:val="18"/>
        </w:rPr>
        <w:tab/>
        <w:t>1310</w:t>
      </w:r>
    </w:p>
    <w:p w14:paraId="1500C38B" w14:textId="77777777" w:rsidR="008E0186" w:rsidRPr="008E0186" w:rsidRDefault="008E0186" w:rsidP="008E0186">
      <w:pPr>
        <w:widowControl w:val="0"/>
        <w:tabs>
          <w:tab w:val="decimal" w:pos="245"/>
          <w:tab w:val="left" w:pos="480"/>
          <w:tab w:val="left" w:pos="720"/>
          <w:tab w:val="left" w:pos="960"/>
          <w:tab w:val="left" w:pos="1200"/>
          <w:tab w:val="left" w:pos="1530"/>
          <w:tab w:val="right" w:leader="dot" w:pos="10116"/>
        </w:tabs>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t>JML 26-070</w:t>
      </w:r>
      <w:r w:rsidRPr="008E0186">
        <w:rPr>
          <w:rFonts w:ascii="Arial" w:hAnsi="Arial" w:cs="Arial"/>
          <w:bCs/>
          <w:kern w:val="2"/>
          <w:sz w:val="18"/>
        </w:rPr>
        <w:tab/>
        <w:t>Renewal of State of Emergency—Threat of Subsidence, Subsurface Instability, and Presence Of</w:t>
      </w:r>
    </w:p>
    <w:p w14:paraId="595A6C02" w14:textId="77777777" w:rsidR="008E0186" w:rsidRPr="008E0186" w:rsidRDefault="008E0186" w:rsidP="008E0186">
      <w:pPr>
        <w:widowControl w:val="0"/>
        <w:tabs>
          <w:tab w:val="decimal" w:pos="245"/>
          <w:tab w:val="left" w:pos="480"/>
          <w:tab w:val="left" w:pos="720"/>
          <w:tab w:val="left" w:pos="960"/>
          <w:tab w:val="left" w:pos="1200"/>
          <w:tab w:val="left" w:pos="1530"/>
          <w:tab w:val="right" w:leader="dot" w:pos="10116"/>
        </w:tabs>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Hydrocarbons in Sulphur Mines Salt Dome Area</w:t>
      </w:r>
      <w:r w:rsidRPr="008E0186">
        <w:rPr>
          <w:rFonts w:ascii="Arial" w:hAnsi="Arial" w:cs="Arial"/>
          <w:bCs/>
          <w:kern w:val="2"/>
          <w:sz w:val="18"/>
        </w:rPr>
        <w:tab/>
        <w:t>1314</w:t>
      </w:r>
    </w:p>
    <w:p w14:paraId="7CEE719F" w14:textId="77777777" w:rsidR="008E0186" w:rsidRPr="008E0186" w:rsidRDefault="008E0186" w:rsidP="008E0186">
      <w:pPr>
        <w:widowControl w:val="0"/>
        <w:tabs>
          <w:tab w:val="decimal" w:pos="245"/>
          <w:tab w:val="left" w:pos="480"/>
          <w:tab w:val="left" w:pos="720"/>
          <w:tab w:val="left" w:pos="960"/>
          <w:tab w:val="left" w:pos="1200"/>
          <w:tab w:val="left" w:pos="1530"/>
          <w:tab w:val="right" w:leader="dot" w:pos="10116"/>
        </w:tabs>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t>JML 26-071</w:t>
      </w:r>
      <w:r w:rsidRPr="008E0186">
        <w:rPr>
          <w:rFonts w:ascii="Arial" w:hAnsi="Arial" w:cs="Arial"/>
          <w:bCs/>
          <w:kern w:val="2"/>
          <w:sz w:val="18"/>
        </w:rPr>
        <w:tab/>
        <w:t>Renewal of State of Emergency—Maximum Security Camp J Repairs and Operation</w:t>
      </w:r>
    </w:p>
    <w:p w14:paraId="6289EC5A" w14:textId="77777777" w:rsidR="008E0186" w:rsidRPr="008E0186" w:rsidRDefault="008E0186" w:rsidP="008E0186">
      <w:pPr>
        <w:widowControl w:val="0"/>
        <w:tabs>
          <w:tab w:val="decimal" w:pos="245"/>
          <w:tab w:val="left" w:pos="480"/>
          <w:tab w:val="left" w:pos="720"/>
          <w:tab w:val="left" w:pos="960"/>
          <w:tab w:val="left" w:pos="1200"/>
          <w:tab w:val="left" w:pos="1530"/>
          <w:tab w:val="right" w:leader="dot" w:pos="10116"/>
        </w:tabs>
        <w:spacing w:line="216" w:lineRule="exact"/>
        <w:outlineLvl w:val="0"/>
        <w:rPr>
          <w:rFonts w:ascii="Arial" w:hAnsi="Arial" w:cs="Arial"/>
          <w:bCs/>
          <w:i/>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Louisiana State Penitentiary</w:t>
      </w:r>
      <w:r w:rsidRPr="008E0186">
        <w:rPr>
          <w:rFonts w:ascii="Arial" w:hAnsi="Arial" w:cs="Arial"/>
          <w:bCs/>
          <w:kern w:val="2"/>
          <w:sz w:val="18"/>
        </w:rPr>
        <w:tab/>
        <w:t>1315</w:t>
      </w:r>
    </w:p>
    <w:p w14:paraId="603D21D1" w14:textId="77777777" w:rsidR="008E0186" w:rsidRPr="008E0186" w:rsidRDefault="008E0186" w:rsidP="008E0186">
      <w:pPr>
        <w:widowControl w:val="0"/>
        <w:tabs>
          <w:tab w:val="decimal" w:pos="245"/>
          <w:tab w:val="left" w:pos="480"/>
          <w:tab w:val="left" w:pos="720"/>
          <w:tab w:val="left" w:pos="960"/>
          <w:tab w:val="left" w:pos="1200"/>
          <w:tab w:val="left" w:pos="1530"/>
          <w:tab w:val="right" w:leader="dot" w:pos="10116"/>
        </w:tabs>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t>JML 26-072</w:t>
      </w:r>
      <w:r w:rsidRPr="008E0186">
        <w:rPr>
          <w:rFonts w:ascii="Arial" w:hAnsi="Arial" w:cs="Arial"/>
          <w:bCs/>
          <w:kern w:val="2"/>
          <w:sz w:val="18"/>
        </w:rPr>
        <w:tab/>
        <w:t>Renewal of State of Emergency—Hurricane Ida</w:t>
      </w:r>
      <w:r w:rsidRPr="008E0186">
        <w:rPr>
          <w:rFonts w:ascii="Arial" w:hAnsi="Arial" w:cs="Arial"/>
          <w:bCs/>
          <w:kern w:val="2"/>
          <w:sz w:val="18"/>
        </w:rPr>
        <w:tab/>
        <w:t>1316</w:t>
      </w:r>
    </w:p>
    <w:p w14:paraId="24474910" w14:textId="77777777" w:rsidR="008E0186" w:rsidRPr="008E0186" w:rsidRDefault="008E0186" w:rsidP="008E0186">
      <w:pPr>
        <w:widowControl w:val="0"/>
        <w:tabs>
          <w:tab w:val="decimal" w:pos="245"/>
          <w:tab w:val="left" w:pos="480"/>
          <w:tab w:val="left" w:pos="720"/>
          <w:tab w:val="left" w:pos="960"/>
          <w:tab w:val="left" w:pos="1200"/>
          <w:tab w:val="left" w:pos="1530"/>
          <w:tab w:val="right" w:leader="dot" w:pos="10116"/>
        </w:tabs>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t>JML 26-073</w:t>
      </w:r>
      <w:r w:rsidRPr="008E0186">
        <w:rPr>
          <w:rFonts w:ascii="Arial" w:hAnsi="Arial" w:cs="Arial"/>
          <w:bCs/>
          <w:kern w:val="2"/>
          <w:sz w:val="18"/>
        </w:rPr>
        <w:tab/>
        <w:t>Amendment and Renewal of State of Emergency—Tropical Storm Arthur—June 18, 2026</w:t>
      </w:r>
      <w:r w:rsidRPr="008E0186">
        <w:rPr>
          <w:rFonts w:ascii="Arial" w:hAnsi="Arial" w:cs="Arial"/>
          <w:bCs/>
          <w:kern w:val="2"/>
          <w:sz w:val="18"/>
        </w:rPr>
        <w:tab/>
        <w:t>1317</w:t>
      </w:r>
    </w:p>
    <w:p w14:paraId="5DCAA122" w14:textId="77777777" w:rsidR="008E0186" w:rsidRPr="008E0186" w:rsidRDefault="008E0186" w:rsidP="008E0186">
      <w:pPr>
        <w:widowControl w:val="0"/>
        <w:tabs>
          <w:tab w:val="decimal" w:pos="245"/>
          <w:tab w:val="left" w:pos="480"/>
          <w:tab w:val="left" w:pos="720"/>
          <w:tab w:val="left" w:pos="960"/>
          <w:tab w:val="left" w:pos="1200"/>
          <w:tab w:val="left" w:pos="1530"/>
          <w:tab w:val="right" w:leader="dot" w:pos="10116"/>
        </w:tabs>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t>JML 26-074</w:t>
      </w:r>
      <w:r w:rsidRPr="008E0186">
        <w:rPr>
          <w:rFonts w:ascii="Arial" w:hAnsi="Arial" w:cs="Arial"/>
          <w:bCs/>
          <w:kern w:val="2"/>
          <w:sz w:val="18"/>
        </w:rPr>
        <w:tab/>
        <w:t>Flags at Half-Staff—Former State Representative Mickey James Guillory</w:t>
      </w:r>
      <w:r w:rsidRPr="008E0186">
        <w:rPr>
          <w:rFonts w:ascii="Arial" w:hAnsi="Arial" w:cs="Arial"/>
          <w:bCs/>
          <w:kern w:val="2"/>
          <w:sz w:val="18"/>
        </w:rPr>
        <w:tab/>
        <w:t>1318</w:t>
      </w:r>
    </w:p>
    <w:p w14:paraId="419489A4" w14:textId="77777777" w:rsidR="008E0186" w:rsidRPr="008E0186" w:rsidRDefault="008E0186" w:rsidP="008E0186">
      <w:pPr>
        <w:widowControl w:val="0"/>
        <w:tabs>
          <w:tab w:val="decimal" w:pos="245"/>
          <w:tab w:val="left" w:pos="480"/>
          <w:tab w:val="left" w:pos="720"/>
          <w:tab w:val="left" w:pos="960"/>
          <w:tab w:val="left" w:pos="1200"/>
          <w:tab w:val="left" w:pos="1530"/>
          <w:tab w:val="right" w:leader="dot" w:pos="10116"/>
        </w:tabs>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t>JML 26-075</w:t>
      </w:r>
      <w:r w:rsidRPr="008E0186">
        <w:rPr>
          <w:rFonts w:ascii="Arial" w:hAnsi="Arial" w:cs="Arial"/>
          <w:bCs/>
          <w:kern w:val="2"/>
          <w:sz w:val="18"/>
        </w:rPr>
        <w:tab/>
        <w:t>Renewal of State of Emergency—Cybersecurity Incidents</w:t>
      </w:r>
      <w:r w:rsidRPr="008E0186">
        <w:rPr>
          <w:rFonts w:ascii="Arial" w:hAnsi="Arial" w:cs="Arial"/>
          <w:bCs/>
          <w:kern w:val="2"/>
          <w:sz w:val="18"/>
        </w:rPr>
        <w:tab/>
        <w:t>1318</w:t>
      </w:r>
    </w:p>
    <w:p w14:paraId="7A712ED1"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p>
    <w:p w14:paraId="631E0AC0"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
          <w:kern w:val="2"/>
          <w:sz w:val="18"/>
        </w:rPr>
      </w:pPr>
      <w:r w:rsidRPr="008E0186">
        <w:rPr>
          <w:rFonts w:ascii="Arial" w:hAnsi="Arial" w:cs="Arial"/>
          <w:b/>
          <w:kern w:val="2"/>
          <w:sz w:val="18"/>
        </w:rPr>
        <w:t>II.</w:t>
      </w:r>
      <w:r w:rsidRPr="008E0186">
        <w:rPr>
          <w:rFonts w:ascii="Arial" w:hAnsi="Arial" w:cs="Arial"/>
          <w:kern w:val="2"/>
          <w:sz w:val="18"/>
        </w:rPr>
        <w:tab/>
      </w:r>
      <w:r w:rsidRPr="008E0186">
        <w:rPr>
          <w:rFonts w:ascii="Arial" w:hAnsi="Arial" w:cs="Arial"/>
          <w:kern w:val="2"/>
          <w:sz w:val="18"/>
        </w:rPr>
        <w:tab/>
      </w:r>
      <w:r w:rsidRPr="008E0186">
        <w:rPr>
          <w:rFonts w:ascii="Arial" w:hAnsi="Arial" w:cs="Arial"/>
          <w:b/>
          <w:kern w:val="2"/>
          <w:sz w:val="18"/>
        </w:rPr>
        <w:t>EMERGENCY RULES</w:t>
      </w:r>
    </w:p>
    <w:p w14:paraId="128F4749"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
          <w:kern w:val="2"/>
          <w:sz w:val="18"/>
        </w:rPr>
        <w:t>Children and Family Services</w:t>
      </w:r>
    </w:p>
    <w:p w14:paraId="1DAE85B3"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Office of Management and Finance—Criminal Background and State Central Registry Checks</w:t>
      </w:r>
      <w:r w:rsidRPr="008E0186">
        <w:rPr>
          <w:rFonts w:ascii="Arial" w:hAnsi="Arial" w:cs="Arial"/>
          <w:bCs/>
          <w:kern w:val="2"/>
          <w:sz w:val="18"/>
        </w:rPr>
        <w:br/>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(LAC 67:I.Chapter 2)</w:t>
      </w:r>
      <w:r w:rsidRPr="008E0186">
        <w:rPr>
          <w:rFonts w:ascii="Arial" w:hAnsi="Arial" w:cs="Arial"/>
          <w:bCs/>
          <w:kern w:val="2"/>
          <w:sz w:val="18"/>
        </w:rPr>
        <w:tab/>
        <w:t>1320</w:t>
      </w:r>
    </w:p>
    <w:p w14:paraId="4B4BF71F"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
          <w:kern w:val="2"/>
          <w:sz w:val="18"/>
        </w:rPr>
        <w:t>Conservation and Energy</w:t>
      </w:r>
    </w:p>
    <w:p w14:paraId="3C544AF6"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Office of the Secretary—New Financial Security Option for Oil and Gas Wells with Requirements</w:t>
      </w:r>
    </w:p>
    <w:p w14:paraId="08CC8C06"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(LAC 43:XIX.104)</w:t>
      </w:r>
      <w:r w:rsidRPr="008E0186">
        <w:rPr>
          <w:rFonts w:ascii="Arial" w:hAnsi="Arial" w:cs="Arial"/>
          <w:bCs/>
          <w:kern w:val="2"/>
          <w:sz w:val="18"/>
        </w:rPr>
        <w:tab/>
        <w:t>1321</w:t>
      </w:r>
    </w:p>
    <w:p w14:paraId="2A246EB0"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
          <w:kern w:val="2"/>
          <w:sz w:val="18"/>
        </w:rPr>
        <w:t>Insurance</w:t>
      </w:r>
    </w:p>
    <w:p w14:paraId="52B72BBB"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Office of the Commissioner—Emergency Rule 51—Correction of Annual Health Insurance Portability and</w:t>
      </w:r>
    </w:p>
    <w:p w14:paraId="58157DF2"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Accountability ACT Assessment Rate</w:t>
      </w:r>
      <w:r w:rsidRPr="008E0186">
        <w:rPr>
          <w:rFonts w:ascii="Arial" w:hAnsi="Arial" w:cs="Arial"/>
          <w:bCs/>
          <w:kern w:val="2"/>
          <w:sz w:val="18"/>
        </w:rPr>
        <w:tab/>
        <w:t>1322</w:t>
      </w:r>
    </w:p>
    <w:p w14:paraId="4B8DA506"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
          <w:kern w:val="2"/>
          <w:sz w:val="18"/>
        </w:rPr>
        <w:t>Wildlife and Fisheries</w:t>
      </w:r>
    </w:p>
    <w:p w14:paraId="1400B78A"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Wildlife and Fisheries Commission—2026 Commercial Greater Amberjack Season Modification</w:t>
      </w:r>
      <w:r w:rsidRPr="008E0186">
        <w:rPr>
          <w:rFonts w:ascii="Arial" w:hAnsi="Arial" w:cs="Arial"/>
          <w:bCs/>
          <w:kern w:val="2"/>
          <w:sz w:val="18"/>
        </w:rPr>
        <w:tab/>
        <w:t>1323</w:t>
      </w:r>
    </w:p>
    <w:p w14:paraId="7A8DF33C"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2026 Recreational Red Snapper Season Modification and Closure</w:t>
      </w:r>
      <w:r w:rsidRPr="008E0186">
        <w:rPr>
          <w:rFonts w:ascii="Arial" w:hAnsi="Arial" w:cs="Arial"/>
          <w:bCs/>
          <w:kern w:val="2"/>
          <w:sz w:val="18"/>
        </w:rPr>
        <w:tab/>
        <w:t>1324</w:t>
      </w:r>
    </w:p>
    <w:p w14:paraId="32B9374A"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Opening of 2026 Fall Inshore Shrimp Season</w:t>
      </w:r>
      <w:r w:rsidRPr="008E0186">
        <w:rPr>
          <w:rFonts w:ascii="Arial" w:hAnsi="Arial" w:cs="Arial"/>
          <w:bCs/>
          <w:kern w:val="2"/>
          <w:sz w:val="18"/>
        </w:rPr>
        <w:tab/>
        <w:t>1324</w:t>
      </w:r>
    </w:p>
    <w:p w14:paraId="068ADA58"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p>
    <w:p w14:paraId="17E707E3"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
          <w:kern w:val="2"/>
          <w:sz w:val="18"/>
        </w:rPr>
      </w:pPr>
      <w:r w:rsidRPr="008E0186">
        <w:rPr>
          <w:rFonts w:ascii="Arial" w:hAnsi="Arial" w:cs="Arial"/>
          <w:b/>
          <w:kern w:val="2"/>
          <w:sz w:val="18"/>
        </w:rPr>
        <w:t>III.</w:t>
      </w:r>
      <w:r w:rsidRPr="008E0186">
        <w:rPr>
          <w:rFonts w:ascii="Arial" w:hAnsi="Arial" w:cs="Arial"/>
          <w:b/>
          <w:kern w:val="2"/>
          <w:sz w:val="18"/>
        </w:rPr>
        <w:tab/>
      </w:r>
      <w:r w:rsidRPr="008E0186">
        <w:rPr>
          <w:rFonts w:ascii="Arial" w:hAnsi="Arial" w:cs="Arial"/>
          <w:b/>
          <w:kern w:val="2"/>
          <w:sz w:val="18"/>
        </w:rPr>
        <w:tab/>
        <w:t>RULES</w:t>
      </w:r>
    </w:p>
    <w:p w14:paraId="15263F7F"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
          <w:kern w:val="2"/>
          <w:sz w:val="18"/>
        </w:rPr>
      </w:pPr>
      <w:r w:rsidRPr="008E0186">
        <w:rPr>
          <w:rFonts w:ascii="Arial" w:hAnsi="Arial" w:cs="Arial"/>
          <w:b/>
          <w:kern w:val="2"/>
          <w:sz w:val="18"/>
        </w:rPr>
        <w:tab/>
      </w:r>
      <w:r w:rsidRPr="008E0186">
        <w:rPr>
          <w:rFonts w:ascii="Arial" w:hAnsi="Arial" w:cs="Arial"/>
          <w:b/>
          <w:kern w:val="2"/>
          <w:sz w:val="18"/>
        </w:rPr>
        <w:tab/>
        <w:t>Agriculture and Forestry</w:t>
      </w:r>
    </w:p>
    <w:p w14:paraId="775EAF2B" w14:textId="7059A4B2"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8E0186">
        <w:rPr>
          <w:rFonts w:ascii="Arial" w:hAnsi="Arial" w:cs="Arial"/>
          <w:b/>
          <w:kern w:val="2"/>
          <w:sz w:val="18"/>
        </w:rPr>
        <w:tab/>
      </w:r>
      <w:r w:rsidRPr="008E0186">
        <w:rPr>
          <w:rFonts w:ascii="Arial" w:hAnsi="Arial" w:cs="Arial"/>
          <w:b/>
          <w:kern w:val="2"/>
          <w:sz w:val="18"/>
        </w:rPr>
        <w:tab/>
      </w:r>
      <w:r w:rsidRPr="008E0186">
        <w:rPr>
          <w:rFonts w:ascii="Arial" w:hAnsi="Arial" w:cs="Arial"/>
          <w:b/>
          <w:kern w:val="2"/>
          <w:sz w:val="18"/>
        </w:rPr>
        <w:tab/>
      </w:r>
      <w:r w:rsidRPr="008E0186">
        <w:rPr>
          <w:rFonts w:ascii="Arial" w:hAnsi="Arial" w:cs="Arial"/>
          <w:b/>
          <w:kern w:val="2"/>
          <w:sz w:val="18"/>
        </w:rPr>
        <w:tab/>
      </w:r>
      <w:r w:rsidRPr="008E0186">
        <w:rPr>
          <w:rFonts w:ascii="Arial" w:hAnsi="Arial" w:cs="Arial"/>
          <w:bCs/>
          <w:kern w:val="2"/>
          <w:sz w:val="18"/>
        </w:rPr>
        <w:t>Board of Veterinary Medicine—Fees (LAC 46:LXXXV.500, 501, 503, and 505)</w:t>
      </w:r>
      <w:r w:rsidRPr="008E0186">
        <w:rPr>
          <w:rFonts w:ascii="Arial" w:hAnsi="Arial" w:cs="Arial"/>
          <w:bCs/>
          <w:kern w:val="2"/>
          <w:sz w:val="18"/>
        </w:rPr>
        <w:tab/>
        <w:t>1325</w:t>
      </w:r>
    </w:p>
    <w:p w14:paraId="06730221"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Fees for Certified Animal Euthanasia Technicians (LAC 46:LXXXV.1211)</w:t>
      </w:r>
      <w:r w:rsidRPr="008E0186">
        <w:rPr>
          <w:rFonts w:ascii="Arial" w:hAnsi="Arial" w:cs="Arial"/>
          <w:bCs/>
          <w:kern w:val="2"/>
          <w:sz w:val="18"/>
        </w:rPr>
        <w:tab/>
        <w:t>1326</w:t>
      </w:r>
    </w:p>
    <w:p w14:paraId="0525690F"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Licensure Procedures (LAC 46:LXXXV.303)</w:t>
      </w:r>
      <w:r w:rsidRPr="008E0186">
        <w:rPr>
          <w:rFonts w:ascii="Arial" w:hAnsi="Arial" w:cs="Arial"/>
          <w:bCs/>
          <w:kern w:val="2"/>
          <w:sz w:val="18"/>
        </w:rPr>
        <w:tab/>
        <w:t>1327</w:t>
      </w:r>
    </w:p>
    <w:p w14:paraId="073C195A"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Pre-Euthanasia Restraint (LAC 46.LXXXV.1209)</w:t>
      </w:r>
      <w:r w:rsidRPr="008E0186">
        <w:rPr>
          <w:rFonts w:ascii="Arial" w:hAnsi="Arial" w:cs="Arial"/>
          <w:bCs/>
          <w:kern w:val="2"/>
          <w:sz w:val="18"/>
        </w:rPr>
        <w:tab/>
        <w:t>1327</w:t>
      </w:r>
    </w:p>
    <w:p w14:paraId="27A54E50"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8E0186">
        <w:rPr>
          <w:rFonts w:ascii="Arial" w:hAnsi="Arial" w:cs="Arial"/>
          <w:b/>
          <w:kern w:val="2"/>
          <w:sz w:val="18"/>
        </w:rPr>
        <w:tab/>
      </w:r>
      <w:r w:rsidRPr="008E0186">
        <w:rPr>
          <w:rFonts w:ascii="Arial" w:hAnsi="Arial" w:cs="Arial"/>
          <w:b/>
          <w:kern w:val="2"/>
          <w:sz w:val="18"/>
        </w:rPr>
        <w:tab/>
      </w:r>
      <w:r w:rsidRPr="008E0186">
        <w:rPr>
          <w:rFonts w:ascii="Arial" w:hAnsi="Arial" w:cs="Arial"/>
          <w:b/>
          <w:kern w:val="2"/>
          <w:sz w:val="18"/>
        </w:rPr>
        <w:tab/>
      </w:r>
      <w:r w:rsidRPr="008E0186">
        <w:rPr>
          <w:rFonts w:ascii="Arial" w:hAnsi="Arial" w:cs="Arial"/>
          <w:b/>
          <w:kern w:val="2"/>
          <w:sz w:val="18"/>
        </w:rPr>
        <w:tab/>
      </w:r>
      <w:r w:rsidRPr="008E0186">
        <w:rPr>
          <w:rFonts w:ascii="Arial" w:hAnsi="Arial" w:cs="Arial"/>
          <w:b/>
          <w:kern w:val="2"/>
          <w:sz w:val="18"/>
        </w:rPr>
        <w:tab/>
      </w:r>
      <w:r w:rsidRPr="008E0186">
        <w:rPr>
          <w:rFonts w:ascii="Arial" w:hAnsi="Arial" w:cs="Arial"/>
          <w:bCs/>
          <w:kern w:val="2"/>
          <w:sz w:val="18"/>
        </w:rPr>
        <w:t>Rules of Professional Conduct (LAC 46:LXXXV.1015)</w:t>
      </w:r>
      <w:r w:rsidRPr="008E0186">
        <w:rPr>
          <w:rFonts w:ascii="Arial" w:hAnsi="Arial" w:cs="Arial"/>
          <w:bCs/>
          <w:kern w:val="2"/>
          <w:sz w:val="18"/>
        </w:rPr>
        <w:tab/>
        <w:t>1327</w:t>
      </w:r>
    </w:p>
    <w:p w14:paraId="0BBA2AE2"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
          <w:kern w:val="2"/>
          <w:sz w:val="18"/>
        </w:rPr>
      </w:pPr>
      <w:r w:rsidRPr="008E0186">
        <w:rPr>
          <w:rFonts w:ascii="Arial" w:hAnsi="Arial" w:cs="Arial"/>
          <w:b/>
          <w:kern w:val="2"/>
          <w:sz w:val="18"/>
        </w:rPr>
        <w:tab/>
      </w:r>
      <w:r w:rsidRPr="008E0186">
        <w:rPr>
          <w:rFonts w:ascii="Arial" w:hAnsi="Arial" w:cs="Arial"/>
          <w:b/>
          <w:kern w:val="2"/>
          <w:sz w:val="18"/>
        </w:rPr>
        <w:tab/>
        <w:t>Education</w:t>
      </w:r>
    </w:p>
    <w:p w14:paraId="000BCF16"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8E0186">
        <w:rPr>
          <w:rFonts w:ascii="Arial" w:hAnsi="Arial" w:cs="Arial"/>
          <w:b/>
          <w:kern w:val="2"/>
          <w:sz w:val="18"/>
        </w:rPr>
        <w:tab/>
      </w:r>
      <w:r w:rsidRPr="008E0186">
        <w:rPr>
          <w:rFonts w:ascii="Arial" w:hAnsi="Arial" w:cs="Arial"/>
          <w:b/>
          <w:kern w:val="2"/>
          <w:sz w:val="18"/>
        </w:rPr>
        <w:tab/>
      </w:r>
      <w:r w:rsidRPr="008E0186">
        <w:rPr>
          <w:rFonts w:ascii="Arial" w:hAnsi="Arial" w:cs="Arial"/>
          <w:b/>
          <w:kern w:val="2"/>
          <w:sz w:val="18"/>
        </w:rPr>
        <w:tab/>
      </w:r>
      <w:r w:rsidRPr="008E0186">
        <w:rPr>
          <w:rFonts w:ascii="Arial" w:hAnsi="Arial" w:cs="Arial"/>
          <w:b/>
          <w:kern w:val="2"/>
          <w:sz w:val="18"/>
        </w:rPr>
        <w:tab/>
      </w:r>
      <w:r w:rsidRPr="008E0186">
        <w:rPr>
          <w:rFonts w:ascii="Arial" w:hAnsi="Arial" w:cs="Arial"/>
          <w:bCs/>
          <w:kern w:val="2"/>
          <w:sz w:val="18"/>
        </w:rPr>
        <w:t xml:space="preserve">Board of Elementary and Secondary Education—Bulletin 126—Charter Schools—Charter Governance and </w:t>
      </w:r>
    </w:p>
    <w:p w14:paraId="60142E32"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Eligibility for Renewal (LAC 28:CXXXIX.503, 1505, and 2101)</w:t>
      </w:r>
      <w:r w:rsidRPr="008E0186">
        <w:rPr>
          <w:rFonts w:ascii="Arial" w:hAnsi="Arial" w:cs="Arial"/>
          <w:bCs/>
          <w:kern w:val="2"/>
          <w:sz w:val="18"/>
        </w:rPr>
        <w:tab/>
        <w:t>1328</w:t>
      </w:r>
    </w:p>
    <w:p w14:paraId="013D1EA5"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Bulletin 140—Louisiana Early Childhood Care and Education Network—Early Childhood</w:t>
      </w:r>
    </w:p>
    <w:p w14:paraId="20CD3EF7"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(LAC 28:CLXVII.503, 509, and 511)</w:t>
      </w:r>
      <w:r w:rsidRPr="008E0186">
        <w:rPr>
          <w:rFonts w:ascii="Arial" w:hAnsi="Arial" w:cs="Arial"/>
          <w:bCs/>
          <w:kern w:val="2"/>
          <w:sz w:val="18"/>
        </w:rPr>
        <w:tab/>
        <w:t>1329</w:t>
      </w:r>
    </w:p>
    <w:p w14:paraId="7CF544D9"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Bulletin 741—Louisiana Handbook for School Administrators and Bulletin 126—Charter School</w:t>
      </w:r>
    </w:p>
    <w:p w14:paraId="685F2A3C"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Ten Commandments (LAC 28:CXV.337 and LAC 28:CXXXIX.4003)</w:t>
      </w:r>
      <w:r w:rsidRPr="008E0186">
        <w:rPr>
          <w:rFonts w:ascii="Arial" w:hAnsi="Arial" w:cs="Arial"/>
          <w:bCs/>
          <w:kern w:val="2"/>
          <w:sz w:val="18"/>
        </w:rPr>
        <w:tab/>
        <w:t>1330</w:t>
      </w:r>
    </w:p>
    <w:p w14:paraId="25E42986"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 xml:space="preserve">Special Education (LAC 28:XLIII.151, 153, and 509; LAC 28:LXI.101, LAC 28:XCVII.125; </w:t>
      </w:r>
    </w:p>
    <w:p w14:paraId="3D19B878"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LAC 28:CI.501, 703, 709, 719, 725, 901, 1101, and 1513; 307, 501, 503, 505, 507, 509, 511, and 513)</w:t>
      </w:r>
      <w:r w:rsidRPr="008E0186">
        <w:rPr>
          <w:rFonts w:ascii="Arial" w:hAnsi="Arial" w:cs="Arial"/>
          <w:bCs/>
          <w:kern w:val="2"/>
          <w:sz w:val="18"/>
        </w:rPr>
        <w:tab/>
        <w:t>1330</w:t>
      </w:r>
    </w:p>
    <w:p w14:paraId="1EC6B5AD"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
          <w:kern w:val="2"/>
          <w:sz w:val="18"/>
        </w:rPr>
      </w:pPr>
      <w:r w:rsidRPr="008E0186">
        <w:rPr>
          <w:rFonts w:ascii="Arial" w:hAnsi="Arial" w:cs="Arial"/>
          <w:b/>
          <w:kern w:val="2"/>
          <w:sz w:val="18"/>
        </w:rPr>
        <w:tab/>
      </w:r>
      <w:r w:rsidRPr="008E0186">
        <w:rPr>
          <w:rFonts w:ascii="Arial" w:hAnsi="Arial" w:cs="Arial"/>
          <w:b/>
          <w:kern w:val="2"/>
          <w:sz w:val="18"/>
        </w:rPr>
        <w:tab/>
        <w:t>Environmental Quality</w:t>
      </w:r>
    </w:p>
    <w:p w14:paraId="48347EC5"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8E0186">
        <w:rPr>
          <w:rFonts w:ascii="Arial" w:hAnsi="Arial" w:cs="Arial"/>
          <w:b/>
          <w:kern w:val="2"/>
          <w:sz w:val="18"/>
        </w:rPr>
        <w:tab/>
      </w:r>
      <w:r w:rsidRPr="008E0186">
        <w:rPr>
          <w:rFonts w:ascii="Arial" w:hAnsi="Arial" w:cs="Arial"/>
          <w:b/>
          <w:kern w:val="2"/>
          <w:sz w:val="18"/>
        </w:rPr>
        <w:tab/>
      </w:r>
      <w:r w:rsidRPr="008E0186">
        <w:rPr>
          <w:rFonts w:ascii="Arial" w:hAnsi="Arial" w:cs="Arial"/>
          <w:b/>
          <w:kern w:val="2"/>
          <w:sz w:val="18"/>
        </w:rPr>
        <w:tab/>
      </w:r>
      <w:r w:rsidRPr="008E0186">
        <w:rPr>
          <w:rFonts w:ascii="Arial" w:hAnsi="Arial" w:cs="Arial"/>
          <w:b/>
          <w:kern w:val="2"/>
          <w:sz w:val="18"/>
        </w:rPr>
        <w:tab/>
      </w:r>
      <w:r w:rsidRPr="008E0186">
        <w:rPr>
          <w:rFonts w:ascii="Arial" w:hAnsi="Arial" w:cs="Arial"/>
          <w:bCs/>
          <w:kern w:val="2"/>
          <w:sz w:val="18"/>
        </w:rPr>
        <w:t xml:space="preserve">Office of the Secretary, Legal Affairs Division—Notification and Permit Transfer Procedures for Changes to </w:t>
      </w:r>
    </w:p>
    <w:p w14:paraId="20F02C00"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Company/Facility Name and Ownership/Operator (LAC 33:I.Chapter 19)</w:t>
      </w:r>
      <w:r w:rsidRPr="008E0186">
        <w:rPr>
          <w:rFonts w:ascii="Arial" w:hAnsi="Arial" w:cs="Arial"/>
          <w:bCs/>
          <w:kern w:val="2"/>
          <w:sz w:val="18"/>
        </w:rPr>
        <w:tab/>
        <w:t>1334</w:t>
      </w:r>
    </w:p>
    <w:p w14:paraId="38D4CD13"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
          <w:kern w:val="2"/>
          <w:sz w:val="18"/>
        </w:rPr>
      </w:pPr>
      <w:r w:rsidRPr="008E0186">
        <w:rPr>
          <w:rFonts w:ascii="Arial" w:hAnsi="Arial" w:cs="Arial"/>
          <w:b/>
          <w:kern w:val="2"/>
          <w:sz w:val="18"/>
        </w:rPr>
        <w:tab/>
      </w:r>
      <w:r w:rsidRPr="008E0186">
        <w:rPr>
          <w:rFonts w:ascii="Arial" w:hAnsi="Arial" w:cs="Arial"/>
          <w:b/>
          <w:kern w:val="2"/>
          <w:sz w:val="18"/>
        </w:rPr>
        <w:tab/>
        <w:t>Governor</w:t>
      </w:r>
    </w:p>
    <w:p w14:paraId="56CC19E8"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8E0186">
        <w:rPr>
          <w:rFonts w:ascii="Arial" w:hAnsi="Arial" w:cs="Arial"/>
          <w:b/>
          <w:kern w:val="2"/>
          <w:sz w:val="18"/>
        </w:rPr>
        <w:tab/>
      </w:r>
      <w:r w:rsidRPr="008E0186">
        <w:rPr>
          <w:rFonts w:ascii="Arial" w:hAnsi="Arial" w:cs="Arial"/>
          <w:b/>
          <w:kern w:val="2"/>
          <w:sz w:val="18"/>
        </w:rPr>
        <w:tab/>
      </w:r>
      <w:r w:rsidRPr="008E0186">
        <w:rPr>
          <w:rFonts w:ascii="Arial" w:hAnsi="Arial" w:cs="Arial"/>
          <w:b/>
          <w:kern w:val="2"/>
          <w:sz w:val="18"/>
        </w:rPr>
        <w:tab/>
      </w:r>
      <w:r w:rsidRPr="008E0186">
        <w:rPr>
          <w:rFonts w:ascii="Arial" w:hAnsi="Arial" w:cs="Arial"/>
          <w:b/>
          <w:kern w:val="2"/>
          <w:sz w:val="18"/>
        </w:rPr>
        <w:tab/>
      </w:r>
      <w:r w:rsidRPr="008E0186">
        <w:rPr>
          <w:rFonts w:ascii="Arial" w:hAnsi="Arial" w:cs="Arial"/>
          <w:bCs/>
          <w:kern w:val="2"/>
          <w:sz w:val="18"/>
        </w:rPr>
        <w:t>Board of Pardons and Committee on Parole—Medical Marijuana Usage While Under Parole Supervision</w:t>
      </w:r>
    </w:p>
    <w:p w14:paraId="6F0AC879"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(LAC 22:XI.902)</w:t>
      </w:r>
      <w:r w:rsidRPr="008E0186">
        <w:rPr>
          <w:rFonts w:ascii="Arial" w:hAnsi="Arial" w:cs="Arial"/>
          <w:bCs/>
          <w:kern w:val="2"/>
          <w:sz w:val="18"/>
        </w:rPr>
        <w:tab/>
        <w:t>1338</w:t>
      </w:r>
    </w:p>
    <w:p w14:paraId="0BB9B914"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8E0186">
        <w:rPr>
          <w:rFonts w:ascii="Arial" w:hAnsi="Arial" w:cs="Arial"/>
          <w:b/>
          <w:kern w:val="2"/>
          <w:sz w:val="18"/>
        </w:rPr>
        <w:tab/>
      </w:r>
      <w:r w:rsidRPr="008E0186">
        <w:rPr>
          <w:rFonts w:ascii="Arial" w:hAnsi="Arial" w:cs="Arial"/>
          <w:b/>
          <w:kern w:val="2"/>
          <w:sz w:val="18"/>
        </w:rPr>
        <w:tab/>
      </w:r>
      <w:r w:rsidRPr="008E0186">
        <w:rPr>
          <w:rFonts w:ascii="Arial" w:hAnsi="Arial" w:cs="Arial"/>
          <w:b/>
          <w:kern w:val="2"/>
          <w:sz w:val="18"/>
        </w:rPr>
        <w:tab/>
      </w:r>
      <w:r w:rsidRPr="008E0186">
        <w:rPr>
          <w:rFonts w:ascii="Arial" w:hAnsi="Arial" w:cs="Arial"/>
          <w:b/>
          <w:kern w:val="2"/>
          <w:sz w:val="18"/>
        </w:rPr>
        <w:tab/>
      </w:r>
      <w:r w:rsidRPr="008E0186">
        <w:rPr>
          <w:rFonts w:ascii="Arial" w:hAnsi="Arial" w:cs="Arial"/>
          <w:bCs/>
          <w:kern w:val="2"/>
          <w:sz w:val="18"/>
        </w:rPr>
        <w:t>Division of Administration—Louisiana Charter School Start-Up and Expansion Loan Fund</w:t>
      </w:r>
    </w:p>
    <w:p w14:paraId="6EFDF620"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(LAC 4:XXV.Chapter 1)</w:t>
      </w:r>
      <w:r w:rsidRPr="008E0186">
        <w:rPr>
          <w:rFonts w:ascii="Arial" w:hAnsi="Arial" w:cs="Arial"/>
          <w:bCs/>
          <w:kern w:val="2"/>
          <w:sz w:val="18"/>
        </w:rPr>
        <w:tab/>
        <w:t>1338</w:t>
      </w:r>
    </w:p>
    <w:p w14:paraId="1FD81CDE"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Office of the Governor, Real Estate Appraisers Board—Real Estate Appraisers Board</w:t>
      </w:r>
    </w:p>
    <w:p w14:paraId="40D83236"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(LAC 46:LXVII.Chapters 101-311)</w:t>
      </w:r>
      <w:r w:rsidRPr="008E0186">
        <w:rPr>
          <w:rFonts w:ascii="Arial" w:hAnsi="Arial" w:cs="Arial"/>
          <w:bCs/>
          <w:kern w:val="2"/>
          <w:sz w:val="18"/>
        </w:rPr>
        <w:tab/>
        <w:t>1341</w:t>
      </w:r>
    </w:p>
    <w:p w14:paraId="0EDCA53F" w14:textId="77777777" w:rsid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Pr>
          <w:rFonts w:ascii="Arial" w:hAnsi="Arial" w:cs="Arial"/>
          <w:bCs/>
          <w:kern w:val="2"/>
          <w:sz w:val="18"/>
        </w:rPr>
        <w:br w:type="page"/>
      </w:r>
    </w:p>
    <w:p w14:paraId="410B18FC" w14:textId="0A7D957D"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
          <w:kern w:val="2"/>
          <w:sz w:val="18"/>
        </w:rPr>
      </w:pPr>
      <w:r w:rsidRPr="008E0186">
        <w:rPr>
          <w:rFonts w:ascii="Arial" w:hAnsi="Arial" w:cs="Arial"/>
          <w:bCs/>
          <w:kern w:val="2"/>
          <w:sz w:val="18"/>
        </w:rPr>
        <w:lastRenderedPageBreak/>
        <w:tab/>
      </w:r>
      <w:r w:rsidRPr="008E0186">
        <w:rPr>
          <w:rFonts w:ascii="Arial" w:hAnsi="Arial" w:cs="Arial"/>
          <w:bCs/>
          <w:kern w:val="2"/>
          <w:sz w:val="18"/>
        </w:rPr>
        <w:tab/>
      </w:r>
      <w:r w:rsidRPr="008E0186">
        <w:rPr>
          <w:rFonts w:ascii="Arial" w:hAnsi="Arial" w:cs="Arial"/>
          <w:b/>
          <w:kern w:val="2"/>
          <w:sz w:val="18"/>
        </w:rPr>
        <w:t>Health</w:t>
      </w:r>
    </w:p>
    <w:p w14:paraId="61CA4D71"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8E0186">
        <w:rPr>
          <w:rFonts w:ascii="Arial" w:hAnsi="Arial" w:cs="Arial"/>
          <w:b/>
          <w:kern w:val="2"/>
          <w:sz w:val="18"/>
        </w:rPr>
        <w:tab/>
      </w:r>
      <w:r w:rsidRPr="008E0186">
        <w:rPr>
          <w:rFonts w:ascii="Arial" w:hAnsi="Arial" w:cs="Arial"/>
          <w:b/>
          <w:kern w:val="2"/>
          <w:sz w:val="18"/>
        </w:rPr>
        <w:tab/>
      </w:r>
      <w:r w:rsidRPr="008E0186">
        <w:rPr>
          <w:rFonts w:ascii="Arial" w:hAnsi="Arial" w:cs="Arial"/>
          <w:b/>
          <w:kern w:val="2"/>
          <w:sz w:val="18"/>
        </w:rPr>
        <w:tab/>
      </w:r>
      <w:r w:rsidRPr="008E0186">
        <w:rPr>
          <w:rFonts w:ascii="Arial" w:hAnsi="Arial" w:cs="Arial"/>
          <w:b/>
          <w:kern w:val="2"/>
          <w:sz w:val="18"/>
        </w:rPr>
        <w:tab/>
      </w:r>
      <w:r w:rsidRPr="008E0186">
        <w:rPr>
          <w:rFonts w:ascii="Arial" w:hAnsi="Arial" w:cs="Arial"/>
          <w:bCs/>
          <w:kern w:val="2"/>
          <w:sz w:val="18"/>
        </w:rPr>
        <w:t>Bureau of Health Services Financing—Eligibility Factors—Citizenship (LAC 50:III.2523)</w:t>
      </w:r>
      <w:r w:rsidRPr="008E0186">
        <w:rPr>
          <w:rFonts w:ascii="Arial" w:hAnsi="Arial" w:cs="Arial"/>
          <w:bCs/>
          <w:kern w:val="2"/>
          <w:sz w:val="18"/>
        </w:rPr>
        <w:tab/>
        <w:t>1348</w:t>
      </w:r>
    </w:p>
    <w:p w14:paraId="2909D659"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Health Standards Section—Healthcare Facility Sanctions (LAC 48:I.Chapter 46)</w:t>
      </w:r>
      <w:r w:rsidRPr="008E0186">
        <w:rPr>
          <w:rFonts w:ascii="Arial" w:hAnsi="Arial" w:cs="Arial"/>
          <w:bCs/>
          <w:kern w:val="2"/>
          <w:sz w:val="18"/>
        </w:rPr>
        <w:tab/>
        <w:t>1348</w:t>
      </w:r>
    </w:p>
    <w:p w14:paraId="7970D631"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 xml:space="preserve">Licensed Professional Counselors Board of Examiners—Board Meetings, Procedures, Records, Powers, </w:t>
      </w:r>
    </w:p>
    <w:p w14:paraId="78D6090A"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and Duties (LAC 46:LX.Chapter 3)</w:t>
      </w:r>
      <w:r w:rsidRPr="008E0186">
        <w:rPr>
          <w:rFonts w:ascii="Arial" w:hAnsi="Arial" w:cs="Arial"/>
          <w:bCs/>
          <w:kern w:val="2"/>
          <w:sz w:val="18"/>
        </w:rPr>
        <w:tab/>
        <w:t>1349</w:t>
      </w:r>
    </w:p>
    <w:p w14:paraId="4625AC8F"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General Provisions (LAC 46:LX.Chapter 1)</w:t>
      </w:r>
      <w:r w:rsidRPr="008E0186">
        <w:rPr>
          <w:rFonts w:ascii="Arial" w:hAnsi="Arial" w:cs="Arial"/>
          <w:bCs/>
          <w:kern w:val="2"/>
          <w:sz w:val="18"/>
        </w:rPr>
        <w:tab/>
        <w:t>1350</w:t>
      </w:r>
    </w:p>
    <w:p w14:paraId="445CF231"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
          <w:kern w:val="2"/>
          <w:sz w:val="18"/>
        </w:rPr>
        <w:t>Insurance</w:t>
      </w:r>
    </w:p>
    <w:p w14:paraId="3CC42BFA"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8E0186">
        <w:rPr>
          <w:rFonts w:ascii="Arial" w:hAnsi="Arial" w:cs="Arial"/>
          <w:b/>
          <w:kern w:val="2"/>
          <w:sz w:val="18"/>
        </w:rPr>
        <w:tab/>
      </w:r>
      <w:r w:rsidRPr="008E0186">
        <w:rPr>
          <w:rFonts w:ascii="Arial" w:hAnsi="Arial" w:cs="Arial"/>
          <w:b/>
          <w:kern w:val="2"/>
          <w:sz w:val="18"/>
        </w:rPr>
        <w:tab/>
      </w:r>
      <w:r w:rsidRPr="008E0186">
        <w:rPr>
          <w:rFonts w:ascii="Arial" w:hAnsi="Arial" w:cs="Arial"/>
          <w:b/>
          <w:kern w:val="2"/>
          <w:sz w:val="18"/>
        </w:rPr>
        <w:tab/>
      </w:r>
      <w:r w:rsidRPr="008E0186">
        <w:rPr>
          <w:rFonts w:ascii="Arial" w:hAnsi="Arial" w:cs="Arial"/>
          <w:b/>
          <w:kern w:val="2"/>
          <w:sz w:val="18"/>
        </w:rPr>
        <w:tab/>
      </w:r>
      <w:r w:rsidRPr="008E0186">
        <w:rPr>
          <w:rFonts w:ascii="Arial" w:hAnsi="Arial" w:cs="Arial"/>
          <w:bCs/>
          <w:kern w:val="2"/>
          <w:sz w:val="18"/>
        </w:rPr>
        <w:t xml:space="preserve">Office of the Commissioner—Regulation 138—Premium Discount for Dashboard Cameras with </w:t>
      </w:r>
    </w:p>
    <w:p w14:paraId="4CD7D80E"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Telematic Systems: Commercial Motor Vehicles (LAC 37:XIII.Chapter 213)</w:t>
      </w:r>
      <w:r w:rsidRPr="008E0186">
        <w:rPr>
          <w:rFonts w:ascii="Arial" w:hAnsi="Arial" w:cs="Arial"/>
          <w:bCs/>
          <w:kern w:val="2"/>
          <w:sz w:val="18"/>
        </w:rPr>
        <w:tab/>
        <w:t>1351</w:t>
      </w:r>
    </w:p>
    <w:p w14:paraId="0F8880CF"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Rule 13—Special Assessment; Creation of Dedicated Fund Account (LAC 37:XI.2309)</w:t>
      </w:r>
      <w:r w:rsidRPr="008E0186">
        <w:rPr>
          <w:rFonts w:ascii="Arial" w:hAnsi="Arial" w:cs="Arial"/>
          <w:bCs/>
          <w:kern w:val="2"/>
          <w:sz w:val="18"/>
        </w:rPr>
        <w:tab/>
        <w:t>1352</w:t>
      </w:r>
    </w:p>
    <w:p w14:paraId="02C23203"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
          <w:kern w:val="2"/>
          <w:sz w:val="18"/>
        </w:rPr>
        <w:t>Louisiana Works</w:t>
      </w:r>
    </w:p>
    <w:p w14:paraId="6F054207"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8E0186">
        <w:rPr>
          <w:rFonts w:ascii="Arial" w:hAnsi="Arial" w:cs="Arial"/>
          <w:b/>
          <w:kern w:val="2"/>
          <w:sz w:val="18"/>
        </w:rPr>
        <w:tab/>
      </w:r>
      <w:r w:rsidRPr="008E0186">
        <w:rPr>
          <w:rFonts w:ascii="Arial" w:hAnsi="Arial" w:cs="Arial"/>
          <w:b/>
          <w:kern w:val="2"/>
          <w:sz w:val="18"/>
        </w:rPr>
        <w:tab/>
      </w:r>
      <w:r w:rsidRPr="008E0186">
        <w:rPr>
          <w:rFonts w:ascii="Arial" w:hAnsi="Arial" w:cs="Arial"/>
          <w:b/>
          <w:kern w:val="2"/>
          <w:sz w:val="18"/>
        </w:rPr>
        <w:tab/>
      </w:r>
      <w:r w:rsidRPr="008E0186">
        <w:rPr>
          <w:rFonts w:ascii="Arial" w:hAnsi="Arial" w:cs="Arial"/>
          <w:b/>
          <w:kern w:val="2"/>
          <w:sz w:val="18"/>
        </w:rPr>
        <w:tab/>
      </w:r>
      <w:r w:rsidRPr="008E0186">
        <w:rPr>
          <w:rFonts w:ascii="Arial" w:hAnsi="Arial" w:cs="Arial"/>
          <w:bCs/>
          <w:kern w:val="2"/>
          <w:sz w:val="18"/>
        </w:rPr>
        <w:t>Office of Workers' Compensation Administration—Drug Testing Programs in Job-Related Accident Cases</w:t>
      </w:r>
    </w:p>
    <w:p w14:paraId="37C2F571"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(LAC 40:I.Chapter 15)</w:t>
      </w:r>
      <w:r w:rsidRPr="008E0186">
        <w:rPr>
          <w:rFonts w:ascii="Arial" w:hAnsi="Arial" w:cs="Arial"/>
          <w:bCs/>
          <w:kern w:val="2"/>
          <w:sz w:val="18"/>
        </w:rPr>
        <w:tab/>
        <w:t>1353</w:t>
      </w:r>
    </w:p>
    <w:p w14:paraId="4D4EB403"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Independent Medical Examination Form (LAC 40:I.6727)</w:t>
      </w:r>
      <w:r w:rsidRPr="008E0186">
        <w:rPr>
          <w:rFonts w:ascii="Arial" w:hAnsi="Arial" w:cs="Arial"/>
          <w:bCs/>
          <w:kern w:val="2"/>
          <w:sz w:val="18"/>
        </w:rPr>
        <w:tab/>
        <w:t>1355</w:t>
      </w:r>
    </w:p>
    <w:p w14:paraId="5F5CA743"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Medical Treatment Guidelines (LAC 40:I.Chapters 20-23)</w:t>
      </w:r>
      <w:r w:rsidRPr="008E0186">
        <w:rPr>
          <w:rFonts w:ascii="Arial" w:hAnsi="Arial" w:cs="Arial"/>
          <w:bCs/>
          <w:kern w:val="2"/>
          <w:sz w:val="18"/>
        </w:rPr>
        <w:tab/>
        <w:t>1357</w:t>
      </w:r>
    </w:p>
    <w:p w14:paraId="00899CD2"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Rehabilitation Services—Rehabilitation Services (LAC 67:VII.Chapters 1-21)</w:t>
      </w:r>
      <w:r w:rsidRPr="008E0186">
        <w:rPr>
          <w:rFonts w:ascii="Arial" w:hAnsi="Arial" w:cs="Arial"/>
          <w:bCs/>
          <w:kern w:val="2"/>
          <w:sz w:val="18"/>
        </w:rPr>
        <w:tab/>
        <w:t>1368</w:t>
      </w:r>
    </w:p>
    <w:p w14:paraId="3A51D1D9"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
          <w:kern w:val="2"/>
          <w:sz w:val="18"/>
        </w:rPr>
        <w:t>Public Safety and Corrections</w:t>
      </w:r>
    </w:p>
    <w:p w14:paraId="6FEC3617"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8E0186">
        <w:rPr>
          <w:rFonts w:ascii="Arial" w:hAnsi="Arial" w:cs="Arial"/>
          <w:b/>
          <w:kern w:val="2"/>
          <w:sz w:val="18"/>
        </w:rPr>
        <w:tab/>
      </w:r>
      <w:r w:rsidRPr="008E0186">
        <w:rPr>
          <w:rFonts w:ascii="Arial" w:hAnsi="Arial" w:cs="Arial"/>
          <w:b/>
          <w:kern w:val="2"/>
          <w:sz w:val="18"/>
        </w:rPr>
        <w:tab/>
      </w:r>
      <w:r w:rsidRPr="008E0186">
        <w:rPr>
          <w:rFonts w:ascii="Arial" w:hAnsi="Arial" w:cs="Arial"/>
          <w:b/>
          <w:kern w:val="2"/>
          <w:sz w:val="18"/>
        </w:rPr>
        <w:tab/>
      </w:r>
      <w:r w:rsidRPr="008E0186">
        <w:rPr>
          <w:rFonts w:ascii="Arial" w:hAnsi="Arial" w:cs="Arial"/>
          <w:b/>
          <w:kern w:val="2"/>
          <w:sz w:val="18"/>
        </w:rPr>
        <w:tab/>
      </w:r>
      <w:r w:rsidRPr="008E0186">
        <w:rPr>
          <w:rFonts w:ascii="Arial" w:hAnsi="Arial" w:cs="Arial"/>
          <w:bCs/>
          <w:kern w:val="2"/>
          <w:sz w:val="18"/>
        </w:rPr>
        <w:t>Liquefied Petroleum Gas—Applications and Permits (LAC 55:IX.105 and 107)</w:t>
      </w:r>
      <w:r w:rsidRPr="008E0186">
        <w:rPr>
          <w:rFonts w:ascii="Arial" w:hAnsi="Arial" w:cs="Arial"/>
          <w:bCs/>
          <w:kern w:val="2"/>
          <w:sz w:val="18"/>
        </w:rPr>
        <w:tab/>
        <w:t>1387</w:t>
      </w:r>
    </w:p>
    <w:p w14:paraId="53E407DD"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8E0186">
        <w:rPr>
          <w:rFonts w:ascii="Arial" w:hAnsi="Arial" w:cs="Arial"/>
          <w:b/>
          <w:kern w:val="2"/>
          <w:sz w:val="18"/>
        </w:rPr>
        <w:tab/>
      </w:r>
      <w:r w:rsidRPr="008E0186">
        <w:rPr>
          <w:rFonts w:ascii="Arial" w:hAnsi="Arial" w:cs="Arial"/>
          <w:b/>
          <w:kern w:val="2"/>
          <w:sz w:val="18"/>
        </w:rPr>
        <w:tab/>
      </w:r>
      <w:r w:rsidRPr="008E0186">
        <w:rPr>
          <w:rFonts w:ascii="Arial" w:hAnsi="Arial" w:cs="Arial"/>
          <w:b/>
          <w:kern w:val="2"/>
          <w:sz w:val="18"/>
        </w:rPr>
        <w:tab/>
      </w:r>
      <w:r w:rsidRPr="008E0186">
        <w:rPr>
          <w:rFonts w:ascii="Arial" w:hAnsi="Arial" w:cs="Arial"/>
          <w:b/>
          <w:kern w:val="2"/>
          <w:sz w:val="18"/>
        </w:rPr>
        <w:tab/>
      </w:r>
      <w:r w:rsidRPr="008E0186">
        <w:rPr>
          <w:rFonts w:ascii="Arial" w:hAnsi="Arial" w:cs="Arial"/>
          <w:bCs/>
          <w:kern w:val="2"/>
          <w:sz w:val="18"/>
        </w:rPr>
        <w:t>Office of State Fire Marshall—Buildings (LAC 55:V.301, 303, 305, and 307)</w:t>
      </w:r>
      <w:r w:rsidRPr="008E0186">
        <w:rPr>
          <w:rFonts w:ascii="Arial" w:hAnsi="Arial" w:cs="Arial"/>
          <w:bCs/>
          <w:kern w:val="2"/>
          <w:sz w:val="18"/>
        </w:rPr>
        <w:tab/>
        <w:t>1388</w:t>
      </w:r>
    </w:p>
    <w:p w14:paraId="6E0E9EB2"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Flammable and Combustible Liquids (LAC 55:V.2101, 2103, and 2105)</w:t>
      </w:r>
      <w:r w:rsidRPr="008E0186">
        <w:rPr>
          <w:rFonts w:ascii="Arial" w:hAnsi="Arial" w:cs="Arial"/>
          <w:bCs/>
          <w:kern w:val="2"/>
          <w:sz w:val="18"/>
        </w:rPr>
        <w:tab/>
        <w:t>1389</w:t>
      </w:r>
    </w:p>
    <w:p w14:paraId="41EB04B5"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Preliminary Provisions (LAC 55:V.103, 105, and 107)</w:t>
      </w:r>
      <w:r w:rsidRPr="008E0186">
        <w:rPr>
          <w:rFonts w:ascii="Arial" w:hAnsi="Arial" w:cs="Arial"/>
          <w:bCs/>
          <w:kern w:val="2"/>
          <w:sz w:val="18"/>
        </w:rPr>
        <w:tab/>
        <w:t>1390</w:t>
      </w:r>
    </w:p>
    <w:p w14:paraId="702058E9"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
          <w:kern w:val="2"/>
          <w:sz w:val="18"/>
        </w:rPr>
        <w:t>Revenue</w:t>
      </w:r>
    </w:p>
    <w:p w14:paraId="23FFD596"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Tax Policy and Planning Division—Repeal of Obsolete Sales and Use Tax Exemptions, Exclusions,</w:t>
      </w:r>
    </w:p>
    <w:p w14:paraId="28B1A78C"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Refunds, and Holidays (LAC 61:I.Chapters 43 and 44)</w:t>
      </w:r>
      <w:r w:rsidRPr="008E0186">
        <w:rPr>
          <w:rFonts w:ascii="Arial" w:hAnsi="Arial" w:cs="Arial"/>
          <w:bCs/>
          <w:kern w:val="2"/>
          <w:sz w:val="18"/>
        </w:rPr>
        <w:tab/>
        <w:t>1391</w:t>
      </w:r>
    </w:p>
    <w:p w14:paraId="42756759"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
          <w:kern w:val="2"/>
          <w:sz w:val="18"/>
        </w:rPr>
        <w:t>Wildlife and Fisheries</w:t>
      </w:r>
    </w:p>
    <w:p w14:paraId="2D0A91BB"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Wildlife and Fisheries Commission—Recreational Alligator Hunting Season (LAC 76:V.703)</w:t>
      </w:r>
      <w:r w:rsidRPr="008E0186">
        <w:rPr>
          <w:rFonts w:ascii="Arial" w:hAnsi="Arial" w:cs="Arial"/>
          <w:bCs/>
          <w:kern w:val="2"/>
          <w:sz w:val="18"/>
        </w:rPr>
        <w:tab/>
        <w:t>1392</w:t>
      </w:r>
    </w:p>
    <w:p w14:paraId="098588F4"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p>
    <w:p w14:paraId="62E3C032"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
          <w:kern w:val="2"/>
          <w:sz w:val="18"/>
        </w:rPr>
      </w:pPr>
      <w:r w:rsidRPr="008E0186">
        <w:rPr>
          <w:rFonts w:ascii="Arial" w:hAnsi="Arial" w:cs="Arial"/>
          <w:b/>
          <w:kern w:val="2"/>
          <w:sz w:val="18"/>
        </w:rPr>
        <w:t>IV.</w:t>
      </w:r>
      <w:r w:rsidRPr="008E0186">
        <w:rPr>
          <w:rFonts w:ascii="Arial" w:hAnsi="Arial" w:cs="Arial"/>
          <w:b/>
          <w:kern w:val="2"/>
          <w:sz w:val="18"/>
        </w:rPr>
        <w:tab/>
      </w:r>
      <w:r w:rsidRPr="008E0186">
        <w:rPr>
          <w:rFonts w:ascii="Arial" w:hAnsi="Arial" w:cs="Arial"/>
          <w:b/>
          <w:kern w:val="2"/>
          <w:sz w:val="18"/>
        </w:rPr>
        <w:tab/>
        <w:t>NOTICES OF INTENT</w:t>
      </w:r>
    </w:p>
    <w:p w14:paraId="565129E9"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
          <w:kern w:val="2"/>
          <w:sz w:val="18"/>
        </w:rPr>
      </w:pPr>
      <w:r w:rsidRPr="008E0186">
        <w:rPr>
          <w:rFonts w:ascii="Arial" w:hAnsi="Arial" w:cs="Arial"/>
          <w:b/>
          <w:kern w:val="2"/>
          <w:sz w:val="18"/>
        </w:rPr>
        <w:tab/>
      </w:r>
      <w:r w:rsidRPr="008E0186">
        <w:rPr>
          <w:rFonts w:ascii="Arial" w:hAnsi="Arial" w:cs="Arial"/>
          <w:b/>
          <w:kern w:val="2"/>
          <w:sz w:val="18"/>
        </w:rPr>
        <w:tab/>
        <w:t>Agriculture and Forestry</w:t>
      </w:r>
    </w:p>
    <w:p w14:paraId="02C1B121"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Office of Agricultural and Environmental Sciences, Agricultural Chemistry and Seed Commission</w:t>
      </w:r>
    </w:p>
    <w:p w14:paraId="5BB4FE87"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Removal of Sampling for the Yellow Leaf Virus in the Field (LAC 7:XIII.763)</w:t>
      </w:r>
      <w:r w:rsidRPr="008E0186">
        <w:rPr>
          <w:rFonts w:ascii="Arial" w:hAnsi="Arial" w:cs="Arial"/>
          <w:bCs/>
          <w:kern w:val="2"/>
          <w:sz w:val="18"/>
        </w:rPr>
        <w:tab/>
        <w:t>1397</w:t>
      </w:r>
    </w:p>
    <w:p w14:paraId="49955C15"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
          <w:kern w:val="2"/>
          <w:sz w:val="18"/>
        </w:rPr>
      </w:pPr>
      <w:r w:rsidRPr="008E0186">
        <w:rPr>
          <w:rFonts w:ascii="Arial" w:hAnsi="Arial" w:cs="Arial"/>
          <w:b/>
          <w:kern w:val="2"/>
          <w:sz w:val="18"/>
        </w:rPr>
        <w:tab/>
      </w:r>
      <w:r w:rsidRPr="008E0186">
        <w:rPr>
          <w:rFonts w:ascii="Arial" w:hAnsi="Arial" w:cs="Arial"/>
          <w:b/>
          <w:kern w:val="2"/>
          <w:sz w:val="18"/>
        </w:rPr>
        <w:tab/>
        <w:t>Children and Family Services</w:t>
      </w:r>
    </w:p>
    <w:p w14:paraId="01FA76B6"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Office of Management and Finance—Substance Abuse Testing (LAC 67:I.Chapter 1)</w:t>
      </w:r>
      <w:r w:rsidRPr="008E0186">
        <w:rPr>
          <w:rFonts w:ascii="Arial" w:hAnsi="Arial" w:cs="Arial"/>
          <w:bCs/>
          <w:kern w:val="2"/>
          <w:sz w:val="18"/>
        </w:rPr>
        <w:tab/>
        <w:t>1398</w:t>
      </w:r>
    </w:p>
    <w:p w14:paraId="00A8D8DF"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
          <w:kern w:val="2"/>
          <w:sz w:val="18"/>
        </w:rPr>
      </w:pPr>
      <w:r w:rsidRPr="008E0186">
        <w:rPr>
          <w:rFonts w:ascii="Arial" w:hAnsi="Arial" w:cs="Arial"/>
          <w:b/>
          <w:kern w:val="2"/>
          <w:sz w:val="18"/>
        </w:rPr>
        <w:tab/>
      </w:r>
      <w:r w:rsidRPr="008E0186">
        <w:rPr>
          <w:rFonts w:ascii="Arial" w:hAnsi="Arial" w:cs="Arial"/>
          <w:b/>
          <w:kern w:val="2"/>
          <w:sz w:val="18"/>
        </w:rPr>
        <w:tab/>
        <w:t>Environmental Quality</w:t>
      </w:r>
    </w:p>
    <w:p w14:paraId="689491B1"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Office of the Secretary, Legal Affairs Division—Definitions (LAC 33:V.3813)</w:t>
      </w:r>
      <w:r w:rsidRPr="008E0186">
        <w:rPr>
          <w:rFonts w:ascii="Arial" w:hAnsi="Arial" w:cs="Arial"/>
          <w:bCs/>
          <w:kern w:val="2"/>
          <w:sz w:val="18"/>
        </w:rPr>
        <w:tab/>
        <w:t>1400</w:t>
      </w:r>
    </w:p>
    <w:p w14:paraId="26A62A5C"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
          <w:kern w:val="2"/>
          <w:sz w:val="18"/>
        </w:rPr>
      </w:pPr>
      <w:r w:rsidRPr="008E0186">
        <w:rPr>
          <w:rFonts w:ascii="Arial" w:hAnsi="Arial" w:cs="Arial"/>
          <w:b/>
          <w:kern w:val="2"/>
          <w:sz w:val="18"/>
        </w:rPr>
        <w:tab/>
      </w:r>
      <w:r w:rsidRPr="008E0186">
        <w:rPr>
          <w:rFonts w:ascii="Arial" w:hAnsi="Arial" w:cs="Arial"/>
          <w:b/>
          <w:kern w:val="2"/>
          <w:sz w:val="18"/>
        </w:rPr>
        <w:tab/>
        <w:t>Governor</w:t>
      </w:r>
    </w:p>
    <w:p w14:paraId="4FB3C3D8"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Office of Elderly Affairs—Office of Elderly Affairs (LAC 4:VII.1101, 1229, 1281, and 1283)</w:t>
      </w:r>
      <w:r w:rsidRPr="008E0186">
        <w:rPr>
          <w:rFonts w:ascii="Arial" w:hAnsi="Arial" w:cs="Arial"/>
          <w:bCs/>
          <w:kern w:val="2"/>
          <w:sz w:val="18"/>
        </w:rPr>
        <w:tab/>
        <w:t>1401</w:t>
      </w:r>
    </w:p>
    <w:p w14:paraId="3E6D06B1"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 xml:space="preserve">Uniform Construction Code Commission—Uniform Construction Code Adoption of the 2023 NEC </w:t>
      </w:r>
    </w:p>
    <w:p w14:paraId="77A68A3E"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and the 2024 I-Codes (</w:t>
      </w:r>
      <w:bookmarkStart w:id="0" w:name="_Hlk218748054"/>
      <w:r w:rsidRPr="008E0186">
        <w:rPr>
          <w:rFonts w:ascii="Arial" w:hAnsi="Arial" w:cs="Arial"/>
          <w:bCs/>
          <w:kern w:val="2"/>
          <w:sz w:val="18"/>
        </w:rPr>
        <w:t xml:space="preserve">LAC </w:t>
      </w:r>
      <w:bookmarkStart w:id="1" w:name="_Hlk218746129"/>
      <w:r w:rsidRPr="008E0186">
        <w:rPr>
          <w:rFonts w:ascii="Arial" w:hAnsi="Arial" w:cs="Arial"/>
          <w:bCs/>
          <w:kern w:val="2"/>
          <w:sz w:val="18"/>
        </w:rPr>
        <w:t>17:I.</w:t>
      </w:r>
      <w:bookmarkEnd w:id="0"/>
      <w:bookmarkEnd w:id="1"/>
      <w:r w:rsidRPr="008E0186">
        <w:rPr>
          <w:rFonts w:ascii="Arial" w:hAnsi="Arial" w:cs="Arial"/>
          <w:bCs/>
          <w:kern w:val="2"/>
          <w:sz w:val="18"/>
        </w:rPr>
        <w:t>Chapter 1)</w:t>
      </w:r>
      <w:r w:rsidRPr="008E0186">
        <w:rPr>
          <w:rFonts w:ascii="Arial" w:hAnsi="Arial" w:cs="Arial"/>
          <w:bCs/>
          <w:kern w:val="2"/>
          <w:sz w:val="18"/>
        </w:rPr>
        <w:tab/>
        <w:t>1403</w:t>
      </w:r>
    </w:p>
    <w:p w14:paraId="4B125379"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
          <w:kern w:val="2"/>
          <w:sz w:val="18"/>
        </w:rPr>
      </w:pPr>
      <w:r w:rsidRPr="008E0186">
        <w:rPr>
          <w:rFonts w:ascii="Arial" w:hAnsi="Arial" w:cs="Arial"/>
          <w:b/>
          <w:kern w:val="2"/>
          <w:sz w:val="18"/>
        </w:rPr>
        <w:tab/>
      </w:r>
      <w:r w:rsidRPr="008E0186">
        <w:rPr>
          <w:rFonts w:ascii="Arial" w:hAnsi="Arial" w:cs="Arial"/>
          <w:b/>
          <w:kern w:val="2"/>
          <w:sz w:val="18"/>
        </w:rPr>
        <w:tab/>
        <w:t>Health</w:t>
      </w:r>
    </w:p>
    <w:p w14:paraId="191938FA"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Board of Medical Examiners—Private Radiological Technologists (LAC 46:XLV.Chapters 29 and 59)</w:t>
      </w:r>
      <w:r w:rsidRPr="008E0186">
        <w:rPr>
          <w:rFonts w:ascii="Arial" w:hAnsi="Arial" w:cs="Arial"/>
          <w:bCs/>
          <w:kern w:val="2"/>
          <w:sz w:val="18"/>
        </w:rPr>
        <w:tab/>
        <w:t>1433</w:t>
      </w:r>
    </w:p>
    <w:p w14:paraId="77AB977F"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Bureau of Health Services Financing—Certified Community Behavioral Health Clinics</w:t>
      </w:r>
    </w:p>
    <w:p w14:paraId="0CDFEAAF"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(LAC 50:XI.Chapters 171 - 179)</w:t>
      </w:r>
      <w:r w:rsidRPr="008E0186">
        <w:rPr>
          <w:rFonts w:ascii="Arial" w:hAnsi="Arial" w:cs="Arial"/>
          <w:bCs/>
          <w:kern w:val="2"/>
          <w:sz w:val="18"/>
        </w:rPr>
        <w:tab/>
        <w:t>1436</w:t>
      </w:r>
    </w:p>
    <w:p w14:paraId="053B05AF"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kern w:val="2"/>
          <w:sz w:val="18"/>
        </w:rPr>
        <w:t>Hospital Services—Postpartum Nurse Home Visits (LAC 50:V.6121)</w:t>
      </w:r>
      <w:r w:rsidRPr="008E0186">
        <w:rPr>
          <w:rFonts w:ascii="Arial" w:hAnsi="Arial" w:cs="Arial"/>
          <w:kern w:val="2"/>
          <w:sz w:val="18"/>
        </w:rPr>
        <w:tab/>
        <w:t>1439</w:t>
      </w:r>
    </w:p>
    <w:p w14:paraId="4455B057"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Office of Behavioral Health—Certified Community Behavioral Health Clinics (LAC 50:XI.Chapters 171 - 179)</w:t>
      </w:r>
      <w:r w:rsidRPr="008E0186">
        <w:rPr>
          <w:rFonts w:ascii="Arial" w:hAnsi="Arial" w:cs="Arial"/>
          <w:bCs/>
          <w:kern w:val="2"/>
          <w:sz w:val="18"/>
        </w:rPr>
        <w:tab/>
        <w:t>1436</w:t>
      </w:r>
    </w:p>
    <w:p w14:paraId="265AC210"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
          <w:kern w:val="2"/>
          <w:sz w:val="18"/>
        </w:rPr>
        <w:t>Public Safety and Corrections</w:t>
      </w:r>
    </w:p>
    <w:p w14:paraId="02D3AC18"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Board of Private Security Examiners—Private Security Examiners (LAC 46:LIX.301, 505, and 603)</w:t>
      </w:r>
      <w:r w:rsidRPr="008E0186">
        <w:rPr>
          <w:rFonts w:ascii="Arial" w:hAnsi="Arial" w:cs="Arial"/>
          <w:bCs/>
          <w:kern w:val="2"/>
          <w:sz w:val="18"/>
        </w:rPr>
        <w:tab/>
        <w:t>1440</w:t>
      </w:r>
    </w:p>
    <w:p w14:paraId="0D7DC4C0"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Gaming Control Board—Self-Exclusion (LAC 42:III.304)</w:t>
      </w:r>
      <w:r w:rsidRPr="008E0186">
        <w:rPr>
          <w:rFonts w:ascii="Arial" w:hAnsi="Arial" w:cs="Arial"/>
          <w:bCs/>
          <w:kern w:val="2"/>
          <w:sz w:val="18"/>
        </w:rPr>
        <w:tab/>
        <w:t>1444</w:t>
      </w:r>
    </w:p>
    <w:p w14:paraId="2CF1BDCA"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Office of State Fire Marshal—Fire Protection (LAC 55:V.1905)</w:t>
      </w:r>
      <w:r w:rsidRPr="008E0186">
        <w:rPr>
          <w:rFonts w:ascii="Arial" w:hAnsi="Arial" w:cs="Arial"/>
          <w:bCs/>
          <w:kern w:val="2"/>
          <w:sz w:val="18"/>
        </w:rPr>
        <w:tab/>
        <w:t>1446</w:t>
      </w:r>
    </w:p>
    <w:p w14:paraId="510AB62A"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Office of State Police—Costs of Photographs and Videos Pertaining to Accident Reports (LAC 55:I.901)</w:t>
      </w:r>
      <w:r w:rsidRPr="008E0186">
        <w:rPr>
          <w:rFonts w:ascii="Arial" w:hAnsi="Arial" w:cs="Arial"/>
          <w:bCs/>
          <w:kern w:val="2"/>
          <w:sz w:val="18"/>
        </w:rPr>
        <w:tab/>
        <w:t>1447</w:t>
      </w:r>
    </w:p>
    <w:p w14:paraId="22FB438C"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
          <w:kern w:val="2"/>
          <w:sz w:val="18"/>
        </w:rPr>
        <w:t>Wildlife and Fisheries</w:t>
      </w:r>
    </w:p>
    <w:p w14:paraId="1C5B26FB"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Wildlife and Fisheries Commission—Conservation Incentive Program (LAC 76:I.Chapter 11)</w:t>
      </w:r>
      <w:r w:rsidRPr="008E0186">
        <w:rPr>
          <w:rFonts w:ascii="Arial" w:hAnsi="Arial" w:cs="Arial"/>
          <w:bCs/>
          <w:kern w:val="2"/>
          <w:sz w:val="18"/>
        </w:rPr>
        <w:tab/>
        <w:t>1448</w:t>
      </w:r>
    </w:p>
    <w:p w14:paraId="6FF32BD8"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Derelict Crab Trap Removal Program (LAC 76:VII.367)</w:t>
      </w:r>
      <w:r w:rsidRPr="008E0186">
        <w:rPr>
          <w:rFonts w:ascii="Arial" w:hAnsi="Arial" w:cs="Arial"/>
          <w:bCs/>
          <w:kern w:val="2"/>
          <w:sz w:val="18"/>
        </w:rPr>
        <w:tab/>
        <w:t>1451</w:t>
      </w:r>
    </w:p>
    <w:p w14:paraId="5EE5F44E"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p>
    <w:p w14:paraId="36DA3179"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
          <w:kern w:val="2"/>
          <w:sz w:val="18"/>
        </w:rPr>
      </w:pPr>
      <w:r w:rsidRPr="008E0186">
        <w:rPr>
          <w:rFonts w:ascii="Arial" w:hAnsi="Arial" w:cs="Arial"/>
          <w:b/>
          <w:kern w:val="2"/>
          <w:sz w:val="18"/>
        </w:rPr>
        <w:t>V.</w:t>
      </w:r>
      <w:r w:rsidRPr="008E0186">
        <w:rPr>
          <w:rFonts w:ascii="Arial" w:hAnsi="Arial" w:cs="Arial"/>
          <w:b/>
          <w:kern w:val="2"/>
          <w:sz w:val="18"/>
        </w:rPr>
        <w:tab/>
      </w:r>
      <w:r w:rsidRPr="008E0186">
        <w:rPr>
          <w:rFonts w:ascii="Arial" w:hAnsi="Arial" w:cs="Arial"/>
          <w:b/>
          <w:kern w:val="2"/>
          <w:sz w:val="18"/>
        </w:rPr>
        <w:tab/>
        <w:t>POTPOURRI</w:t>
      </w:r>
    </w:p>
    <w:p w14:paraId="6BA8C054"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
          <w:bCs/>
          <w:snapToGrid w:val="0"/>
          <w:kern w:val="2"/>
          <w:sz w:val="18"/>
        </w:rPr>
      </w:pPr>
      <w:r w:rsidRPr="008E0186">
        <w:rPr>
          <w:rFonts w:ascii="Arial" w:hAnsi="Arial" w:cs="Arial"/>
          <w:snapToGrid w:val="0"/>
          <w:kern w:val="2"/>
          <w:sz w:val="18"/>
        </w:rPr>
        <w:tab/>
      </w:r>
      <w:r w:rsidRPr="008E0186">
        <w:rPr>
          <w:rFonts w:ascii="Arial" w:hAnsi="Arial" w:cs="Arial"/>
          <w:snapToGrid w:val="0"/>
          <w:kern w:val="2"/>
          <w:sz w:val="18"/>
        </w:rPr>
        <w:tab/>
      </w:r>
      <w:r w:rsidRPr="008E0186">
        <w:rPr>
          <w:rFonts w:ascii="Arial" w:hAnsi="Arial" w:cs="Arial"/>
          <w:b/>
          <w:bCs/>
          <w:snapToGrid w:val="0"/>
          <w:kern w:val="2"/>
          <w:sz w:val="18"/>
        </w:rPr>
        <w:t>Environmental Quality</w:t>
      </w:r>
    </w:p>
    <w:p w14:paraId="43E73A65"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snapToGrid w:val="0"/>
          <w:kern w:val="2"/>
          <w:sz w:val="18"/>
        </w:rPr>
      </w:pPr>
      <w:r w:rsidRPr="008E0186">
        <w:rPr>
          <w:rFonts w:ascii="Arial" w:hAnsi="Arial" w:cs="Arial"/>
          <w:snapToGrid w:val="0"/>
          <w:kern w:val="2"/>
          <w:sz w:val="18"/>
        </w:rPr>
        <w:tab/>
      </w:r>
      <w:r w:rsidRPr="008E0186">
        <w:rPr>
          <w:rFonts w:ascii="Arial" w:hAnsi="Arial" w:cs="Arial"/>
          <w:snapToGrid w:val="0"/>
          <w:kern w:val="2"/>
          <w:sz w:val="18"/>
        </w:rPr>
        <w:tab/>
      </w:r>
      <w:r w:rsidRPr="008E0186">
        <w:rPr>
          <w:rFonts w:ascii="Arial" w:hAnsi="Arial" w:cs="Arial"/>
          <w:snapToGrid w:val="0"/>
          <w:kern w:val="2"/>
          <w:sz w:val="18"/>
        </w:rPr>
        <w:tab/>
      </w:r>
      <w:r w:rsidRPr="008E0186">
        <w:rPr>
          <w:rFonts w:ascii="Arial" w:hAnsi="Arial" w:cs="Arial"/>
          <w:snapToGrid w:val="0"/>
          <w:kern w:val="2"/>
          <w:sz w:val="18"/>
        </w:rPr>
        <w:tab/>
        <w:t>Office of the Secretary, Legal Affairs Division—Solicitation of Public Input on Louisiana’s State Plan for the</w:t>
      </w:r>
    </w:p>
    <w:p w14:paraId="18B8137A"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snapToGrid w:val="0"/>
          <w:kern w:val="2"/>
          <w:sz w:val="18"/>
        </w:rPr>
      </w:pPr>
      <w:r w:rsidRPr="008E0186">
        <w:rPr>
          <w:rFonts w:ascii="Arial" w:hAnsi="Arial" w:cs="Arial"/>
          <w:snapToGrid w:val="0"/>
          <w:kern w:val="2"/>
          <w:sz w:val="18"/>
        </w:rPr>
        <w:tab/>
      </w:r>
      <w:r w:rsidRPr="008E0186">
        <w:rPr>
          <w:rFonts w:ascii="Arial" w:hAnsi="Arial" w:cs="Arial"/>
          <w:snapToGrid w:val="0"/>
          <w:kern w:val="2"/>
          <w:sz w:val="18"/>
        </w:rPr>
        <w:tab/>
      </w:r>
      <w:r w:rsidRPr="008E0186">
        <w:rPr>
          <w:rFonts w:ascii="Arial" w:hAnsi="Arial" w:cs="Arial"/>
          <w:snapToGrid w:val="0"/>
          <w:kern w:val="2"/>
          <w:sz w:val="18"/>
        </w:rPr>
        <w:tab/>
      </w:r>
      <w:r w:rsidRPr="008E0186">
        <w:rPr>
          <w:rFonts w:ascii="Arial" w:hAnsi="Arial" w:cs="Arial"/>
          <w:snapToGrid w:val="0"/>
          <w:kern w:val="2"/>
          <w:sz w:val="18"/>
        </w:rPr>
        <w:tab/>
      </w:r>
      <w:r w:rsidRPr="008E0186">
        <w:rPr>
          <w:rFonts w:ascii="Arial" w:hAnsi="Arial" w:cs="Arial"/>
          <w:snapToGrid w:val="0"/>
          <w:kern w:val="2"/>
          <w:sz w:val="18"/>
        </w:rPr>
        <w:tab/>
      </w:r>
      <w:r w:rsidRPr="008E0186">
        <w:rPr>
          <w:rFonts w:ascii="Arial" w:hAnsi="Arial" w:cs="Arial"/>
          <w:snapToGrid w:val="0"/>
          <w:kern w:val="2"/>
          <w:sz w:val="18"/>
        </w:rPr>
        <w:tab/>
        <w:t>Control of Greenhouse Gas Emissions from Existing Crude Oil and Natural Gas Facilities</w:t>
      </w:r>
      <w:r w:rsidRPr="008E0186">
        <w:rPr>
          <w:rFonts w:ascii="Arial" w:hAnsi="Arial" w:cs="Arial"/>
          <w:snapToGrid w:val="0"/>
          <w:kern w:val="2"/>
          <w:sz w:val="18"/>
        </w:rPr>
        <w:tab/>
        <w:t>1455</w:t>
      </w:r>
    </w:p>
    <w:p w14:paraId="68D0008A"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
          <w:bCs/>
          <w:snapToGrid w:val="0"/>
          <w:kern w:val="2"/>
          <w:sz w:val="18"/>
        </w:rPr>
      </w:pPr>
      <w:r w:rsidRPr="008E0186">
        <w:rPr>
          <w:rFonts w:ascii="Arial" w:hAnsi="Arial" w:cs="Arial"/>
          <w:b/>
          <w:bCs/>
          <w:snapToGrid w:val="0"/>
          <w:kern w:val="2"/>
          <w:sz w:val="18"/>
        </w:rPr>
        <w:tab/>
      </w:r>
      <w:r w:rsidRPr="008E0186">
        <w:rPr>
          <w:rFonts w:ascii="Arial" w:hAnsi="Arial" w:cs="Arial"/>
          <w:b/>
          <w:bCs/>
          <w:snapToGrid w:val="0"/>
          <w:kern w:val="2"/>
          <w:sz w:val="18"/>
        </w:rPr>
        <w:tab/>
        <w:t>Insurance</w:t>
      </w:r>
    </w:p>
    <w:p w14:paraId="0EB1AA71"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snapToGrid w:val="0"/>
          <w:kern w:val="2"/>
          <w:sz w:val="18"/>
        </w:rPr>
      </w:pPr>
      <w:r w:rsidRPr="008E0186">
        <w:rPr>
          <w:rFonts w:ascii="Arial" w:hAnsi="Arial" w:cs="Arial"/>
          <w:snapToGrid w:val="0"/>
          <w:kern w:val="2"/>
          <w:sz w:val="18"/>
        </w:rPr>
        <w:tab/>
      </w:r>
      <w:r w:rsidRPr="008E0186">
        <w:rPr>
          <w:rFonts w:ascii="Arial" w:hAnsi="Arial" w:cs="Arial"/>
          <w:snapToGrid w:val="0"/>
          <w:kern w:val="2"/>
          <w:sz w:val="18"/>
        </w:rPr>
        <w:tab/>
      </w:r>
      <w:r w:rsidRPr="008E0186">
        <w:rPr>
          <w:rFonts w:ascii="Arial" w:hAnsi="Arial" w:cs="Arial"/>
          <w:snapToGrid w:val="0"/>
          <w:kern w:val="2"/>
          <w:sz w:val="18"/>
        </w:rPr>
        <w:tab/>
      </w:r>
      <w:r w:rsidRPr="008E0186">
        <w:rPr>
          <w:rFonts w:ascii="Arial" w:hAnsi="Arial" w:cs="Arial"/>
          <w:snapToGrid w:val="0"/>
          <w:kern w:val="2"/>
          <w:sz w:val="18"/>
        </w:rPr>
        <w:tab/>
        <w:t>Office of the Commissioner—Notice of Public Hearing—Substantive Changes to Proposed Rule</w:t>
      </w:r>
    </w:p>
    <w:p w14:paraId="50E471A3"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snapToGrid w:val="0"/>
          <w:kern w:val="2"/>
          <w:sz w:val="18"/>
        </w:rPr>
      </w:pPr>
      <w:r w:rsidRPr="008E0186">
        <w:rPr>
          <w:rFonts w:ascii="Arial" w:hAnsi="Arial" w:cs="Arial"/>
          <w:snapToGrid w:val="0"/>
          <w:kern w:val="2"/>
          <w:sz w:val="18"/>
        </w:rPr>
        <w:tab/>
      </w:r>
      <w:r w:rsidRPr="008E0186">
        <w:rPr>
          <w:rFonts w:ascii="Arial" w:hAnsi="Arial" w:cs="Arial"/>
          <w:snapToGrid w:val="0"/>
          <w:kern w:val="2"/>
          <w:sz w:val="18"/>
        </w:rPr>
        <w:tab/>
      </w:r>
      <w:r w:rsidRPr="008E0186">
        <w:rPr>
          <w:rFonts w:ascii="Arial" w:hAnsi="Arial" w:cs="Arial"/>
          <w:snapToGrid w:val="0"/>
          <w:kern w:val="2"/>
          <w:sz w:val="18"/>
        </w:rPr>
        <w:tab/>
      </w:r>
      <w:r w:rsidRPr="008E0186">
        <w:rPr>
          <w:rFonts w:ascii="Arial" w:hAnsi="Arial" w:cs="Arial"/>
          <w:snapToGrid w:val="0"/>
          <w:kern w:val="2"/>
          <w:sz w:val="18"/>
        </w:rPr>
        <w:tab/>
      </w:r>
      <w:r w:rsidRPr="008E0186">
        <w:rPr>
          <w:rFonts w:ascii="Arial" w:hAnsi="Arial" w:cs="Arial"/>
          <w:snapToGrid w:val="0"/>
          <w:kern w:val="2"/>
          <w:sz w:val="18"/>
        </w:rPr>
        <w:tab/>
      </w:r>
      <w:r w:rsidRPr="008E0186">
        <w:rPr>
          <w:rFonts w:ascii="Arial" w:hAnsi="Arial" w:cs="Arial"/>
          <w:snapToGrid w:val="0"/>
          <w:kern w:val="2"/>
          <w:sz w:val="18"/>
        </w:rPr>
        <w:tab/>
        <w:t>Regulation 139—Captive Insurance Companies (LAC 37:XIII.Chapter 215)</w:t>
      </w:r>
      <w:r w:rsidRPr="008E0186">
        <w:rPr>
          <w:rFonts w:ascii="Arial" w:hAnsi="Arial" w:cs="Arial"/>
          <w:snapToGrid w:val="0"/>
          <w:kern w:val="2"/>
          <w:sz w:val="18"/>
        </w:rPr>
        <w:tab/>
        <w:t>1455</w:t>
      </w:r>
    </w:p>
    <w:p w14:paraId="66E86A15"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
          <w:bCs/>
          <w:snapToGrid w:val="0"/>
          <w:kern w:val="2"/>
          <w:sz w:val="18"/>
        </w:rPr>
      </w:pPr>
      <w:r w:rsidRPr="008E0186">
        <w:rPr>
          <w:rFonts w:ascii="Arial" w:hAnsi="Arial" w:cs="Arial"/>
          <w:snapToGrid w:val="0"/>
          <w:kern w:val="2"/>
          <w:sz w:val="18"/>
        </w:rPr>
        <w:tab/>
      </w:r>
      <w:r w:rsidRPr="008E0186">
        <w:rPr>
          <w:rFonts w:ascii="Arial" w:hAnsi="Arial" w:cs="Arial"/>
          <w:snapToGrid w:val="0"/>
          <w:kern w:val="2"/>
          <w:sz w:val="18"/>
        </w:rPr>
        <w:tab/>
      </w:r>
      <w:r w:rsidRPr="008E0186">
        <w:rPr>
          <w:rFonts w:ascii="Arial" w:hAnsi="Arial" w:cs="Arial"/>
          <w:b/>
          <w:bCs/>
          <w:snapToGrid w:val="0"/>
          <w:kern w:val="2"/>
          <w:sz w:val="18"/>
        </w:rPr>
        <w:t>Louisiana Works</w:t>
      </w:r>
    </w:p>
    <w:p w14:paraId="7D3A88BC"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snapToGrid w:val="0"/>
          <w:kern w:val="2"/>
          <w:sz w:val="18"/>
        </w:rPr>
      </w:pPr>
      <w:r w:rsidRPr="008E0186">
        <w:rPr>
          <w:rFonts w:ascii="Arial" w:hAnsi="Arial" w:cs="Arial"/>
          <w:snapToGrid w:val="0"/>
          <w:kern w:val="2"/>
          <w:sz w:val="18"/>
        </w:rPr>
        <w:tab/>
      </w:r>
      <w:r w:rsidRPr="008E0186">
        <w:rPr>
          <w:rFonts w:ascii="Arial" w:hAnsi="Arial" w:cs="Arial"/>
          <w:snapToGrid w:val="0"/>
          <w:kern w:val="2"/>
          <w:sz w:val="18"/>
        </w:rPr>
        <w:tab/>
      </w:r>
      <w:r w:rsidRPr="008E0186">
        <w:rPr>
          <w:rFonts w:ascii="Arial" w:hAnsi="Arial" w:cs="Arial"/>
          <w:snapToGrid w:val="0"/>
          <w:kern w:val="2"/>
          <w:sz w:val="18"/>
        </w:rPr>
        <w:tab/>
      </w:r>
      <w:r w:rsidRPr="008E0186">
        <w:rPr>
          <w:rFonts w:ascii="Arial" w:hAnsi="Arial" w:cs="Arial"/>
          <w:snapToGrid w:val="0"/>
          <w:kern w:val="2"/>
          <w:sz w:val="18"/>
        </w:rPr>
        <w:tab/>
        <w:t>Office of Workers’ Compensation—Weekly Compensation Benefits Limits</w:t>
      </w:r>
      <w:r w:rsidRPr="008E0186">
        <w:rPr>
          <w:rFonts w:ascii="Arial" w:hAnsi="Arial" w:cs="Arial"/>
          <w:snapToGrid w:val="0"/>
          <w:kern w:val="2"/>
          <w:sz w:val="18"/>
        </w:rPr>
        <w:tab/>
        <w:t>1456</w:t>
      </w:r>
    </w:p>
    <w:p w14:paraId="7F9CFBDB" w14:textId="77777777" w:rsid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snapToGrid w:val="0"/>
          <w:kern w:val="2"/>
          <w:sz w:val="18"/>
        </w:rPr>
      </w:pPr>
      <w:r>
        <w:rPr>
          <w:rFonts w:ascii="Arial" w:hAnsi="Arial" w:cs="Arial"/>
          <w:snapToGrid w:val="0"/>
          <w:kern w:val="2"/>
          <w:sz w:val="18"/>
        </w:rPr>
        <w:br w:type="page"/>
      </w:r>
    </w:p>
    <w:p w14:paraId="47BC5E12" w14:textId="77777777" w:rsidR="0084320A" w:rsidRPr="0084320A" w:rsidRDefault="0084320A" w:rsidP="0084320A">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
          <w:bCs/>
          <w:snapToGrid w:val="0"/>
          <w:kern w:val="2"/>
          <w:sz w:val="18"/>
        </w:rPr>
      </w:pPr>
      <w:r w:rsidRPr="0084320A">
        <w:rPr>
          <w:rFonts w:ascii="Arial" w:hAnsi="Arial" w:cs="Arial"/>
          <w:snapToGrid w:val="0"/>
          <w:kern w:val="2"/>
          <w:sz w:val="18"/>
        </w:rPr>
        <w:lastRenderedPageBreak/>
        <w:tab/>
      </w:r>
      <w:r w:rsidRPr="0084320A">
        <w:rPr>
          <w:rFonts w:ascii="Arial" w:hAnsi="Arial" w:cs="Arial"/>
          <w:snapToGrid w:val="0"/>
          <w:kern w:val="2"/>
          <w:sz w:val="18"/>
        </w:rPr>
        <w:tab/>
      </w:r>
      <w:r w:rsidRPr="0084320A">
        <w:rPr>
          <w:rFonts w:ascii="Arial" w:hAnsi="Arial" w:cs="Arial"/>
          <w:b/>
          <w:bCs/>
          <w:snapToGrid w:val="0"/>
          <w:kern w:val="2"/>
          <w:sz w:val="18"/>
        </w:rPr>
        <w:t>Revenue</w:t>
      </w:r>
    </w:p>
    <w:p w14:paraId="2071B959" w14:textId="77777777" w:rsidR="0084320A" w:rsidRPr="0084320A" w:rsidRDefault="0084320A" w:rsidP="0084320A">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snapToGrid w:val="0"/>
          <w:kern w:val="2"/>
          <w:sz w:val="18"/>
        </w:rPr>
      </w:pPr>
      <w:r w:rsidRPr="0084320A">
        <w:rPr>
          <w:rFonts w:ascii="Arial" w:hAnsi="Arial" w:cs="Arial"/>
          <w:snapToGrid w:val="0"/>
          <w:kern w:val="2"/>
          <w:sz w:val="18"/>
        </w:rPr>
        <w:tab/>
      </w:r>
      <w:r w:rsidRPr="0084320A">
        <w:rPr>
          <w:rFonts w:ascii="Arial" w:hAnsi="Arial" w:cs="Arial"/>
          <w:snapToGrid w:val="0"/>
          <w:kern w:val="2"/>
          <w:sz w:val="18"/>
        </w:rPr>
        <w:tab/>
      </w:r>
      <w:r w:rsidRPr="0084320A">
        <w:rPr>
          <w:rFonts w:ascii="Arial" w:hAnsi="Arial" w:cs="Arial"/>
          <w:snapToGrid w:val="0"/>
          <w:kern w:val="2"/>
          <w:sz w:val="18"/>
        </w:rPr>
        <w:tab/>
      </w:r>
      <w:r w:rsidRPr="0084320A">
        <w:rPr>
          <w:rFonts w:ascii="Arial" w:hAnsi="Arial" w:cs="Arial"/>
          <w:snapToGrid w:val="0"/>
          <w:kern w:val="2"/>
          <w:sz w:val="18"/>
        </w:rPr>
        <w:tab/>
        <w:t>Tax Policy and Planning Division—Amendment of Public Hearing for Notice of Intent</w:t>
      </w:r>
    </w:p>
    <w:p w14:paraId="45E058E2" w14:textId="77777777" w:rsidR="0084320A" w:rsidRPr="0084320A" w:rsidRDefault="0084320A" w:rsidP="0084320A">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snapToGrid w:val="0"/>
          <w:kern w:val="2"/>
          <w:sz w:val="18"/>
        </w:rPr>
      </w:pPr>
      <w:r w:rsidRPr="0084320A">
        <w:rPr>
          <w:rFonts w:ascii="Arial" w:hAnsi="Arial" w:cs="Arial"/>
          <w:snapToGrid w:val="0"/>
          <w:kern w:val="2"/>
          <w:sz w:val="18"/>
        </w:rPr>
        <w:tab/>
      </w:r>
      <w:r w:rsidRPr="0084320A">
        <w:rPr>
          <w:rFonts w:ascii="Arial" w:hAnsi="Arial" w:cs="Arial"/>
          <w:snapToGrid w:val="0"/>
          <w:kern w:val="2"/>
          <w:sz w:val="18"/>
        </w:rPr>
        <w:tab/>
      </w:r>
      <w:r w:rsidRPr="0084320A">
        <w:rPr>
          <w:rFonts w:ascii="Arial" w:hAnsi="Arial" w:cs="Arial"/>
          <w:snapToGrid w:val="0"/>
          <w:kern w:val="2"/>
          <w:sz w:val="18"/>
        </w:rPr>
        <w:tab/>
      </w:r>
      <w:r w:rsidRPr="0084320A">
        <w:rPr>
          <w:rFonts w:ascii="Arial" w:hAnsi="Arial" w:cs="Arial"/>
          <w:snapToGrid w:val="0"/>
          <w:kern w:val="2"/>
          <w:sz w:val="18"/>
        </w:rPr>
        <w:tab/>
      </w:r>
      <w:r w:rsidRPr="0084320A">
        <w:rPr>
          <w:rFonts w:ascii="Arial" w:hAnsi="Arial" w:cs="Arial"/>
          <w:snapToGrid w:val="0"/>
          <w:kern w:val="2"/>
          <w:sz w:val="18"/>
        </w:rPr>
        <w:tab/>
      </w:r>
      <w:r w:rsidRPr="0084320A">
        <w:rPr>
          <w:rFonts w:ascii="Arial" w:hAnsi="Arial" w:cs="Arial"/>
          <w:snapToGrid w:val="0"/>
          <w:kern w:val="2"/>
          <w:sz w:val="18"/>
        </w:rPr>
        <w:tab/>
        <w:t xml:space="preserve">Payment of Sales and Use Taxes by Persons Constructing, Renovating, or Altering Immovable </w:t>
      </w:r>
    </w:p>
    <w:p w14:paraId="4ABEAFDE" w14:textId="77777777" w:rsidR="0084320A" w:rsidRPr="0084320A" w:rsidRDefault="0084320A" w:rsidP="0084320A">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snapToGrid w:val="0"/>
          <w:kern w:val="2"/>
          <w:sz w:val="18"/>
        </w:rPr>
      </w:pPr>
      <w:r w:rsidRPr="0084320A">
        <w:rPr>
          <w:rFonts w:ascii="Arial" w:hAnsi="Arial" w:cs="Arial"/>
          <w:snapToGrid w:val="0"/>
          <w:kern w:val="2"/>
          <w:sz w:val="18"/>
        </w:rPr>
        <w:tab/>
      </w:r>
      <w:r w:rsidRPr="0084320A">
        <w:rPr>
          <w:rFonts w:ascii="Arial" w:hAnsi="Arial" w:cs="Arial"/>
          <w:snapToGrid w:val="0"/>
          <w:kern w:val="2"/>
          <w:sz w:val="18"/>
        </w:rPr>
        <w:tab/>
      </w:r>
      <w:r w:rsidRPr="0084320A">
        <w:rPr>
          <w:rFonts w:ascii="Arial" w:hAnsi="Arial" w:cs="Arial"/>
          <w:snapToGrid w:val="0"/>
          <w:kern w:val="2"/>
          <w:sz w:val="18"/>
        </w:rPr>
        <w:tab/>
      </w:r>
      <w:r w:rsidRPr="0084320A">
        <w:rPr>
          <w:rFonts w:ascii="Arial" w:hAnsi="Arial" w:cs="Arial"/>
          <w:snapToGrid w:val="0"/>
          <w:kern w:val="2"/>
          <w:sz w:val="18"/>
        </w:rPr>
        <w:tab/>
      </w:r>
      <w:r w:rsidRPr="0084320A">
        <w:rPr>
          <w:rFonts w:ascii="Arial" w:hAnsi="Arial" w:cs="Arial"/>
          <w:snapToGrid w:val="0"/>
          <w:kern w:val="2"/>
          <w:sz w:val="18"/>
        </w:rPr>
        <w:tab/>
      </w:r>
      <w:r w:rsidRPr="0084320A">
        <w:rPr>
          <w:rFonts w:ascii="Arial" w:hAnsi="Arial" w:cs="Arial"/>
          <w:snapToGrid w:val="0"/>
          <w:kern w:val="2"/>
          <w:sz w:val="18"/>
        </w:rPr>
        <w:tab/>
        <w:t>Property (LAC 61:I.4372)</w:t>
      </w:r>
      <w:r w:rsidRPr="0084320A">
        <w:rPr>
          <w:rFonts w:ascii="Arial" w:hAnsi="Arial" w:cs="Arial"/>
          <w:snapToGrid w:val="0"/>
          <w:kern w:val="2"/>
          <w:sz w:val="18"/>
        </w:rPr>
        <w:tab/>
        <w:t>1456</w:t>
      </w:r>
    </w:p>
    <w:p w14:paraId="106DA25B" w14:textId="77777777" w:rsidR="0084320A" w:rsidRPr="0084320A" w:rsidRDefault="0084320A" w:rsidP="0084320A">
      <w:pPr>
        <w:widowControl w:val="0"/>
        <w:tabs>
          <w:tab w:val="left" w:pos="480"/>
          <w:tab w:val="left" w:pos="720"/>
          <w:tab w:val="left" w:pos="960"/>
          <w:tab w:val="left" w:pos="1200"/>
          <w:tab w:val="left" w:pos="1440"/>
          <w:tab w:val="right" w:leader="dot" w:pos="10116"/>
        </w:tabs>
        <w:spacing w:line="216" w:lineRule="exact"/>
        <w:outlineLvl w:val="0"/>
        <w:rPr>
          <w:rFonts w:ascii="Arial" w:hAnsi="Arial" w:cs="Arial"/>
          <w:b/>
          <w:snapToGrid w:val="0"/>
          <w:kern w:val="2"/>
          <w:sz w:val="18"/>
        </w:rPr>
      </w:pPr>
    </w:p>
    <w:p w14:paraId="58FA3434" w14:textId="77777777" w:rsidR="0084320A" w:rsidRPr="0084320A" w:rsidRDefault="0084320A" w:rsidP="0084320A">
      <w:pPr>
        <w:widowControl w:val="0"/>
        <w:tabs>
          <w:tab w:val="decimal" w:pos="245"/>
          <w:tab w:val="left" w:pos="480"/>
          <w:tab w:val="left" w:pos="720"/>
          <w:tab w:val="left" w:pos="960"/>
          <w:tab w:val="left" w:pos="1200"/>
          <w:tab w:val="left" w:pos="1440"/>
          <w:tab w:val="right" w:leader="dot" w:pos="10116"/>
        </w:tabs>
        <w:snapToGrid w:val="0"/>
        <w:spacing w:line="216" w:lineRule="exact"/>
        <w:rPr>
          <w:rFonts w:ascii="Arial" w:hAnsi="Arial" w:cs="Arial"/>
          <w:b/>
          <w:bCs/>
          <w:kern w:val="2"/>
          <w:sz w:val="18"/>
        </w:rPr>
      </w:pPr>
      <w:r w:rsidRPr="0084320A">
        <w:rPr>
          <w:rFonts w:ascii="Arial" w:hAnsi="Arial" w:cs="Arial"/>
          <w:b/>
          <w:bCs/>
          <w:kern w:val="2"/>
          <w:sz w:val="18"/>
        </w:rPr>
        <w:t>VI.</w:t>
      </w:r>
      <w:r w:rsidRPr="0084320A">
        <w:rPr>
          <w:rFonts w:ascii="Arial" w:hAnsi="Arial" w:cs="Arial"/>
          <w:b/>
          <w:bCs/>
          <w:kern w:val="2"/>
          <w:sz w:val="18"/>
        </w:rPr>
        <w:tab/>
      </w:r>
      <w:r w:rsidRPr="0084320A">
        <w:rPr>
          <w:rFonts w:ascii="Arial" w:hAnsi="Arial" w:cs="Arial"/>
          <w:b/>
          <w:bCs/>
          <w:kern w:val="2"/>
          <w:sz w:val="18"/>
        </w:rPr>
        <w:tab/>
        <w:t>CONCURRENT RESOLUTIONS</w:t>
      </w:r>
    </w:p>
    <w:p w14:paraId="11B1A31C" w14:textId="77777777" w:rsidR="0084320A" w:rsidRPr="0084320A" w:rsidRDefault="0084320A" w:rsidP="0084320A">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
          <w:snapToGrid w:val="0"/>
          <w:kern w:val="2"/>
          <w:sz w:val="18"/>
        </w:rPr>
      </w:pPr>
      <w:r w:rsidRPr="0084320A">
        <w:rPr>
          <w:rFonts w:ascii="Arial" w:hAnsi="Arial" w:cs="Arial"/>
          <w:snapToGrid w:val="0"/>
          <w:kern w:val="2"/>
          <w:sz w:val="18"/>
        </w:rPr>
        <w:tab/>
      </w:r>
      <w:r w:rsidRPr="0084320A">
        <w:rPr>
          <w:rFonts w:ascii="Arial" w:hAnsi="Arial" w:cs="Arial"/>
          <w:snapToGrid w:val="0"/>
          <w:kern w:val="2"/>
          <w:sz w:val="18"/>
        </w:rPr>
        <w:tab/>
      </w:r>
      <w:r w:rsidRPr="0084320A">
        <w:rPr>
          <w:rFonts w:ascii="Arial" w:hAnsi="Arial" w:cs="Arial"/>
          <w:b/>
          <w:snapToGrid w:val="0"/>
          <w:kern w:val="2"/>
          <w:sz w:val="18"/>
        </w:rPr>
        <w:t>House of Representatives</w:t>
      </w:r>
    </w:p>
    <w:p w14:paraId="66CB1215" w14:textId="521CF2DF" w:rsidR="0084320A" w:rsidRPr="0084320A" w:rsidRDefault="0084320A" w:rsidP="0084320A">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kern w:val="2"/>
          <w:sz w:val="18"/>
        </w:rPr>
      </w:pPr>
      <w:r w:rsidRPr="0084320A">
        <w:rPr>
          <w:rFonts w:ascii="Arial" w:hAnsi="Arial" w:cs="Arial"/>
          <w:kern w:val="2"/>
          <w:sz w:val="18"/>
        </w:rPr>
        <w:tab/>
      </w:r>
      <w:r w:rsidRPr="0084320A">
        <w:rPr>
          <w:rFonts w:ascii="Arial" w:hAnsi="Arial" w:cs="Arial"/>
          <w:kern w:val="2"/>
          <w:sz w:val="18"/>
        </w:rPr>
        <w:tab/>
      </w:r>
      <w:r w:rsidRPr="0084320A">
        <w:rPr>
          <w:rFonts w:ascii="Arial" w:hAnsi="Arial" w:cs="Arial"/>
          <w:kern w:val="2"/>
          <w:sz w:val="18"/>
        </w:rPr>
        <w:tab/>
      </w:r>
      <w:r w:rsidRPr="0084320A">
        <w:rPr>
          <w:rFonts w:ascii="Arial" w:hAnsi="Arial" w:cs="Arial"/>
          <w:kern w:val="2"/>
          <w:sz w:val="18"/>
        </w:rPr>
        <w:tab/>
        <w:t>House Concurrent Resolution No. 41—Regulation IX</w:t>
      </w:r>
      <w:r w:rsidR="00CA0882" w:rsidRPr="0084320A">
        <w:rPr>
          <w:rFonts w:ascii="Arial" w:hAnsi="Arial" w:cs="Arial"/>
          <w:kern w:val="2"/>
          <w:sz w:val="18"/>
        </w:rPr>
        <w:t>—</w:t>
      </w:r>
      <w:r w:rsidRPr="0084320A">
        <w:rPr>
          <w:rFonts w:ascii="Arial" w:hAnsi="Arial" w:cs="Arial"/>
          <w:kern w:val="2"/>
          <w:sz w:val="18"/>
        </w:rPr>
        <w:t xml:space="preserve">Prohibition of Certain Unfair Business Practices </w:t>
      </w:r>
    </w:p>
    <w:p w14:paraId="17819037" w14:textId="77777777" w:rsidR="0084320A" w:rsidRPr="0084320A" w:rsidRDefault="0084320A" w:rsidP="0084320A">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kern w:val="2"/>
          <w:sz w:val="18"/>
        </w:rPr>
      </w:pPr>
      <w:r w:rsidRPr="0084320A">
        <w:rPr>
          <w:rFonts w:ascii="Arial" w:hAnsi="Arial" w:cs="Arial"/>
          <w:kern w:val="2"/>
          <w:sz w:val="18"/>
        </w:rPr>
        <w:tab/>
      </w:r>
      <w:r w:rsidRPr="0084320A">
        <w:rPr>
          <w:rFonts w:ascii="Arial" w:hAnsi="Arial" w:cs="Arial"/>
          <w:kern w:val="2"/>
          <w:sz w:val="18"/>
        </w:rPr>
        <w:tab/>
      </w:r>
      <w:r w:rsidRPr="0084320A">
        <w:rPr>
          <w:rFonts w:ascii="Arial" w:hAnsi="Arial" w:cs="Arial"/>
          <w:kern w:val="2"/>
          <w:sz w:val="18"/>
        </w:rPr>
        <w:tab/>
      </w:r>
      <w:r w:rsidRPr="0084320A">
        <w:rPr>
          <w:rFonts w:ascii="Arial" w:hAnsi="Arial" w:cs="Arial"/>
          <w:kern w:val="2"/>
          <w:sz w:val="18"/>
        </w:rPr>
        <w:tab/>
      </w:r>
      <w:r w:rsidRPr="0084320A">
        <w:rPr>
          <w:rFonts w:ascii="Arial" w:hAnsi="Arial" w:cs="Arial"/>
          <w:kern w:val="2"/>
          <w:sz w:val="18"/>
        </w:rPr>
        <w:tab/>
      </w:r>
      <w:r w:rsidRPr="0084320A">
        <w:rPr>
          <w:rFonts w:ascii="Arial" w:hAnsi="Arial" w:cs="Arial"/>
          <w:kern w:val="2"/>
          <w:sz w:val="18"/>
        </w:rPr>
        <w:tab/>
        <w:t>(LAC 55:VII.317)</w:t>
      </w:r>
      <w:r w:rsidRPr="0084320A">
        <w:rPr>
          <w:rFonts w:ascii="Arial" w:hAnsi="Arial" w:cs="Arial"/>
          <w:kern w:val="2"/>
          <w:sz w:val="18"/>
        </w:rPr>
        <w:tab/>
        <w:t>1457</w:t>
      </w:r>
    </w:p>
    <w:p w14:paraId="608646A0" w14:textId="77777777" w:rsidR="0084320A" w:rsidRPr="0084320A" w:rsidRDefault="0084320A" w:rsidP="0084320A">
      <w:pPr>
        <w:widowControl w:val="0"/>
        <w:tabs>
          <w:tab w:val="left" w:pos="480"/>
          <w:tab w:val="left" w:pos="720"/>
          <w:tab w:val="left" w:pos="960"/>
          <w:tab w:val="left" w:pos="1200"/>
          <w:tab w:val="left" w:pos="1440"/>
          <w:tab w:val="right" w:leader="dot" w:pos="10116"/>
        </w:tabs>
        <w:spacing w:line="216" w:lineRule="exact"/>
        <w:outlineLvl w:val="0"/>
        <w:rPr>
          <w:rFonts w:ascii="Arial" w:hAnsi="Arial" w:cs="Arial"/>
          <w:b/>
          <w:snapToGrid w:val="0"/>
          <w:kern w:val="2"/>
          <w:sz w:val="18"/>
        </w:rPr>
      </w:pPr>
    </w:p>
    <w:p w14:paraId="1A504E41" w14:textId="5D3C3957" w:rsidR="0084320A" w:rsidRPr="0084320A" w:rsidRDefault="0084320A" w:rsidP="00FE1DFF">
      <w:pPr>
        <w:widowControl w:val="0"/>
        <w:tabs>
          <w:tab w:val="decimal" w:pos="245"/>
          <w:tab w:val="left" w:pos="480"/>
          <w:tab w:val="left" w:pos="720"/>
          <w:tab w:val="left" w:pos="960"/>
          <w:tab w:val="left" w:pos="1080"/>
          <w:tab w:val="right" w:leader="dot" w:pos="10116"/>
        </w:tabs>
        <w:spacing w:line="216" w:lineRule="exact"/>
        <w:outlineLvl w:val="0"/>
        <w:rPr>
          <w:rFonts w:ascii="Arial" w:hAnsi="Arial" w:cs="Arial"/>
          <w:snapToGrid w:val="0"/>
          <w:kern w:val="2"/>
          <w:sz w:val="18"/>
        </w:rPr>
      </w:pPr>
      <w:r w:rsidRPr="0084320A">
        <w:rPr>
          <w:rFonts w:ascii="Arial" w:hAnsi="Arial" w:cs="Arial"/>
          <w:b/>
          <w:snapToGrid w:val="0"/>
          <w:kern w:val="2"/>
          <w:sz w:val="18"/>
        </w:rPr>
        <w:t>VII.</w:t>
      </w:r>
      <w:r w:rsidRPr="0084320A">
        <w:rPr>
          <w:rFonts w:ascii="Arial" w:hAnsi="Arial" w:cs="Arial"/>
          <w:b/>
          <w:snapToGrid w:val="0"/>
          <w:kern w:val="2"/>
          <w:sz w:val="18"/>
        </w:rPr>
        <w:tab/>
        <w:t>INDEX</w:t>
      </w:r>
      <w:r w:rsidRPr="0084320A">
        <w:rPr>
          <w:rFonts w:ascii="Arial" w:hAnsi="Arial" w:cs="Arial"/>
          <w:b/>
          <w:snapToGrid w:val="0"/>
          <w:kern w:val="2"/>
          <w:sz w:val="18"/>
        </w:rPr>
        <w:tab/>
      </w:r>
      <w:r w:rsidRPr="0084320A">
        <w:rPr>
          <w:rFonts w:ascii="Arial" w:hAnsi="Arial" w:cs="Arial"/>
          <w:snapToGrid w:val="0"/>
          <w:kern w:val="2"/>
          <w:sz w:val="18"/>
        </w:rPr>
        <w:tab/>
        <w:t>1458</w:t>
      </w:r>
    </w:p>
    <w:p w14:paraId="5B079CB2"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
          <w:kern w:val="2"/>
          <w:sz w:val="18"/>
        </w:rPr>
      </w:pPr>
    </w:p>
    <w:p w14:paraId="27324126"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
          <w:kern w:val="2"/>
          <w:sz w:val="18"/>
        </w:rPr>
      </w:pPr>
      <w:r w:rsidRPr="008E0186">
        <w:rPr>
          <w:noProof/>
          <w:spacing w:val="-1"/>
          <w:sz w:val="18"/>
          <w:szCs w:val="18"/>
        </w:rPr>
        <mc:AlternateContent>
          <mc:Choice Requires="wps">
            <w:drawing>
              <wp:anchor distT="0" distB="0" distL="114300" distR="114300" simplePos="0" relativeHeight="251659264" behindDoc="0" locked="0" layoutInCell="1" allowOverlap="1" wp14:anchorId="1E9C59AA" wp14:editId="6F28896D">
                <wp:simplePos x="0" y="0"/>
                <wp:positionH relativeFrom="column">
                  <wp:posOffset>-19050</wp:posOffset>
                </wp:positionH>
                <wp:positionV relativeFrom="paragraph">
                  <wp:posOffset>120721</wp:posOffset>
                </wp:positionV>
                <wp:extent cx="6703345" cy="487730"/>
                <wp:effectExtent l="0" t="0" r="21590" b="26670"/>
                <wp:wrapNone/>
                <wp:docPr id="937532991" name="Rectangle 3"/>
                <wp:cNvGraphicFramePr/>
                <a:graphic xmlns:a="http://schemas.openxmlformats.org/drawingml/2006/main">
                  <a:graphicData uri="http://schemas.microsoft.com/office/word/2010/wordprocessingShape">
                    <wps:wsp>
                      <wps:cNvSpPr/>
                      <wps:spPr>
                        <a:xfrm>
                          <a:off x="0" y="0"/>
                          <a:ext cx="6703345" cy="487730"/>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ADBC07" id="Rectangle 3" o:spid="_x0000_s1026" style="position:absolute;margin-left:-1.5pt;margin-top:9.5pt;width:527.8pt;height:38.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" filled="f" strokecolor="#042433" strokeweight="1pt"/>
            </w:pict>
          </mc:Fallback>
        </mc:AlternateContent>
      </w:r>
    </w:p>
    <w:p w14:paraId="4DFA092C"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snapToGrid w:val="0"/>
          <w:spacing w:val="-1"/>
          <w:sz w:val="18"/>
          <w:szCs w:val="18"/>
        </w:rPr>
      </w:pPr>
      <w:r w:rsidRPr="008E0186">
        <w:rPr>
          <w:snapToGrid w:val="0"/>
          <w:spacing w:val="-1"/>
          <w:sz w:val="18"/>
          <w:szCs w:val="18"/>
        </w:rPr>
        <w:t>This</w:t>
      </w:r>
      <w:r w:rsidRPr="008E0186">
        <w:rPr>
          <w:snapToGrid w:val="0"/>
          <w:spacing w:val="12"/>
          <w:sz w:val="18"/>
          <w:szCs w:val="18"/>
        </w:rPr>
        <w:t xml:space="preserve"> </w:t>
      </w:r>
      <w:r w:rsidRPr="008E0186">
        <w:rPr>
          <w:snapToGrid w:val="0"/>
          <w:sz w:val="18"/>
          <w:szCs w:val="18"/>
        </w:rPr>
        <w:t>public</w:t>
      </w:r>
      <w:r w:rsidRPr="008E0186">
        <w:rPr>
          <w:snapToGrid w:val="0"/>
          <w:spacing w:val="12"/>
          <w:sz w:val="18"/>
          <w:szCs w:val="18"/>
        </w:rPr>
        <w:t xml:space="preserve"> </w:t>
      </w:r>
      <w:r w:rsidRPr="008E0186">
        <w:rPr>
          <w:snapToGrid w:val="0"/>
          <w:spacing w:val="-1"/>
          <w:sz w:val="18"/>
          <w:szCs w:val="18"/>
        </w:rPr>
        <w:t>document</w:t>
      </w:r>
      <w:r w:rsidRPr="008E0186">
        <w:rPr>
          <w:snapToGrid w:val="0"/>
          <w:spacing w:val="13"/>
          <w:sz w:val="18"/>
          <w:szCs w:val="18"/>
        </w:rPr>
        <w:t xml:space="preserve"> </w:t>
      </w:r>
      <w:r w:rsidRPr="008E0186">
        <w:rPr>
          <w:snapToGrid w:val="0"/>
          <w:sz w:val="18"/>
          <w:szCs w:val="18"/>
        </w:rPr>
        <w:t>is</w:t>
      </w:r>
      <w:r w:rsidRPr="008E0186">
        <w:rPr>
          <w:snapToGrid w:val="0"/>
          <w:spacing w:val="12"/>
          <w:sz w:val="18"/>
          <w:szCs w:val="18"/>
        </w:rPr>
        <w:t xml:space="preserve"> </w:t>
      </w:r>
      <w:r w:rsidRPr="008E0186">
        <w:rPr>
          <w:snapToGrid w:val="0"/>
          <w:sz w:val="18"/>
          <w:szCs w:val="18"/>
        </w:rPr>
        <w:t>published</w:t>
      </w:r>
      <w:r w:rsidRPr="008E0186">
        <w:rPr>
          <w:snapToGrid w:val="0"/>
          <w:spacing w:val="14"/>
          <w:sz w:val="18"/>
          <w:szCs w:val="18"/>
        </w:rPr>
        <w:t xml:space="preserve"> </w:t>
      </w:r>
      <w:r w:rsidRPr="008E0186">
        <w:rPr>
          <w:snapToGrid w:val="0"/>
          <w:sz w:val="18"/>
          <w:szCs w:val="18"/>
        </w:rPr>
        <w:t>in</w:t>
      </w:r>
      <w:r w:rsidRPr="008E0186">
        <w:rPr>
          <w:snapToGrid w:val="0"/>
          <w:spacing w:val="12"/>
          <w:sz w:val="18"/>
          <w:szCs w:val="18"/>
        </w:rPr>
        <w:t xml:space="preserve"> </w:t>
      </w:r>
      <w:r w:rsidRPr="008E0186">
        <w:rPr>
          <w:snapToGrid w:val="0"/>
          <w:spacing w:val="-1"/>
          <w:sz w:val="18"/>
          <w:szCs w:val="18"/>
        </w:rPr>
        <w:t>accordance</w:t>
      </w:r>
      <w:r w:rsidRPr="008E0186">
        <w:rPr>
          <w:snapToGrid w:val="0"/>
          <w:spacing w:val="12"/>
          <w:sz w:val="18"/>
          <w:szCs w:val="18"/>
        </w:rPr>
        <w:t xml:space="preserve"> </w:t>
      </w:r>
      <w:r w:rsidRPr="008E0186">
        <w:rPr>
          <w:snapToGrid w:val="0"/>
          <w:spacing w:val="-1"/>
          <w:sz w:val="18"/>
          <w:szCs w:val="18"/>
        </w:rPr>
        <w:t>with</w:t>
      </w:r>
      <w:r w:rsidRPr="008E0186">
        <w:rPr>
          <w:snapToGrid w:val="0"/>
          <w:sz w:val="18"/>
          <w:szCs w:val="18"/>
        </w:rPr>
        <w:t xml:space="preserve"> R.S.</w:t>
      </w:r>
      <w:r w:rsidRPr="008E0186">
        <w:rPr>
          <w:snapToGrid w:val="0"/>
          <w:spacing w:val="11"/>
          <w:sz w:val="18"/>
          <w:szCs w:val="18"/>
        </w:rPr>
        <w:t xml:space="preserve"> </w:t>
      </w:r>
      <w:r w:rsidRPr="008E0186">
        <w:rPr>
          <w:snapToGrid w:val="0"/>
          <w:sz w:val="18"/>
          <w:szCs w:val="18"/>
        </w:rPr>
        <w:t xml:space="preserve">49:953. </w:t>
      </w:r>
      <w:r w:rsidRPr="008E0186">
        <w:rPr>
          <w:snapToGrid w:val="0"/>
          <w:spacing w:val="-1"/>
          <w:sz w:val="18"/>
          <w:szCs w:val="18"/>
        </w:rPr>
        <w:t>The</w:t>
      </w:r>
      <w:r w:rsidRPr="008E0186">
        <w:rPr>
          <w:snapToGrid w:val="0"/>
          <w:spacing w:val="12"/>
          <w:sz w:val="18"/>
          <w:szCs w:val="18"/>
        </w:rPr>
        <w:t xml:space="preserve"> </w:t>
      </w:r>
      <w:r w:rsidRPr="008E0186">
        <w:rPr>
          <w:snapToGrid w:val="0"/>
          <w:spacing w:val="-1"/>
          <w:sz w:val="18"/>
          <w:szCs w:val="18"/>
        </w:rPr>
        <w:t>publication</w:t>
      </w:r>
      <w:r w:rsidRPr="008E0186">
        <w:rPr>
          <w:snapToGrid w:val="0"/>
          <w:spacing w:val="14"/>
          <w:sz w:val="18"/>
          <w:szCs w:val="18"/>
        </w:rPr>
        <w:t xml:space="preserve"> </w:t>
      </w:r>
      <w:r w:rsidRPr="008E0186">
        <w:rPr>
          <w:snapToGrid w:val="0"/>
          <w:sz w:val="18"/>
          <w:szCs w:val="18"/>
        </w:rPr>
        <w:t xml:space="preserve">date </w:t>
      </w:r>
      <w:r w:rsidRPr="008E0186">
        <w:rPr>
          <w:snapToGrid w:val="0"/>
          <w:spacing w:val="-1"/>
          <w:sz w:val="18"/>
          <w:szCs w:val="18"/>
        </w:rPr>
        <w:t>for</w:t>
      </w:r>
      <w:r w:rsidRPr="008E0186">
        <w:rPr>
          <w:snapToGrid w:val="0"/>
          <w:sz w:val="18"/>
          <w:szCs w:val="18"/>
        </w:rPr>
        <w:t xml:space="preserve"> this</w:t>
      </w:r>
      <w:r w:rsidRPr="008E0186">
        <w:rPr>
          <w:snapToGrid w:val="0"/>
          <w:spacing w:val="12"/>
          <w:sz w:val="18"/>
          <w:szCs w:val="18"/>
        </w:rPr>
        <w:t xml:space="preserve"> </w:t>
      </w:r>
      <w:r w:rsidRPr="008E0186">
        <w:rPr>
          <w:snapToGrid w:val="0"/>
          <w:sz w:val="18"/>
          <w:szCs w:val="18"/>
        </w:rPr>
        <w:t xml:space="preserve">issue of the </w:t>
      </w:r>
      <w:r w:rsidRPr="008E0186">
        <w:rPr>
          <w:i/>
          <w:iCs/>
          <w:snapToGrid w:val="0"/>
          <w:spacing w:val="-1"/>
          <w:sz w:val="18"/>
          <w:szCs w:val="18"/>
        </w:rPr>
        <w:t>Louisiana</w:t>
      </w:r>
      <w:r w:rsidRPr="008E0186">
        <w:rPr>
          <w:i/>
          <w:iCs/>
          <w:snapToGrid w:val="0"/>
          <w:sz w:val="18"/>
          <w:szCs w:val="18"/>
        </w:rPr>
        <w:t xml:space="preserve"> Register </w:t>
      </w:r>
      <w:r w:rsidRPr="008E0186">
        <w:rPr>
          <w:snapToGrid w:val="0"/>
          <w:sz w:val="18"/>
          <w:szCs w:val="18"/>
        </w:rPr>
        <w:t>is</w:t>
      </w:r>
      <w:r w:rsidRPr="008E0186">
        <w:rPr>
          <w:snapToGrid w:val="0"/>
          <w:spacing w:val="69"/>
          <w:sz w:val="18"/>
          <w:szCs w:val="18"/>
        </w:rPr>
        <w:t xml:space="preserve"> </w:t>
      </w:r>
      <w:r w:rsidRPr="008E0186">
        <w:rPr>
          <w:snapToGrid w:val="0"/>
          <w:spacing w:val="69"/>
          <w:sz w:val="18"/>
          <w:szCs w:val="18"/>
        </w:rPr>
        <w:br/>
      </w:r>
      <w:r w:rsidRPr="008E0186">
        <w:rPr>
          <w:snapToGrid w:val="0"/>
          <w:sz w:val="18"/>
          <w:szCs w:val="18"/>
        </w:rPr>
        <w:t>August</w:t>
      </w:r>
      <w:r w:rsidRPr="008E0186">
        <w:rPr>
          <w:snapToGrid w:val="0"/>
          <w:spacing w:val="25"/>
          <w:sz w:val="18"/>
          <w:szCs w:val="18"/>
        </w:rPr>
        <w:t xml:space="preserve"> </w:t>
      </w:r>
      <w:r w:rsidRPr="008E0186">
        <w:rPr>
          <w:snapToGrid w:val="0"/>
          <w:sz w:val="18"/>
          <w:szCs w:val="18"/>
        </w:rPr>
        <w:t>20,</w:t>
      </w:r>
      <w:r w:rsidRPr="008E0186">
        <w:rPr>
          <w:snapToGrid w:val="0"/>
          <w:spacing w:val="29"/>
          <w:sz w:val="18"/>
          <w:szCs w:val="18"/>
        </w:rPr>
        <w:t xml:space="preserve"> </w:t>
      </w:r>
      <w:r w:rsidRPr="008E0186">
        <w:rPr>
          <w:snapToGrid w:val="0"/>
          <w:spacing w:val="-1"/>
          <w:sz w:val="18"/>
          <w:szCs w:val="18"/>
        </w:rPr>
        <w:t>2026.</w:t>
      </w:r>
      <w:r w:rsidRPr="008E0186">
        <w:rPr>
          <w:snapToGrid w:val="0"/>
          <w:spacing w:val="27"/>
          <w:sz w:val="18"/>
          <w:szCs w:val="18"/>
        </w:rPr>
        <w:t xml:space="preserve"> </w:t>
      </w:r>
      <w:r w:rsidRPr="008E0186">
        <w:rPr>
          <w:snapToGrid w:val="0"/>
          <w:spacing w:val="-1"/>
          <w:sz w:val="18"/>
          <w:szCs w:val="18"/>
        </w:rPr>
        <w:t>The</w:t>
      </w:r>
      <w:r w:rsidRPr="008E0186">
        <w:rPr>
          <w:snapToGrid w:val="0"/>
          <w:spacing w:val="28"/>
          <w:sz w:val="18"/>
          <w:szCs w:val="18"/>
        </w:rPr>
        <w:t xml:space="preserve"> </w:t>
      </w:r>
      <w:r w:rsidRPr="008E0186">
        <w:rPr>
          <w:snapToGrid w:val="0"/>
          <w:spacing w:val="-1"/>
          <w:sz w:val="18"/>
          <w:szCs w:val="18"/>
        </w:rPr>
        <w:t>Office</w:t>
      </w:r>
      <w:r w:rsidRPr="008E0186">
        <w:rPr>
          <w:snapToGrid w:val="0"/>
          <w:spacing w:val="28"/>
          <w:sz w:val="18"/>
          <w:szCs w:val="18"/>
        </w:rPr>
        <w:t xml:space="preserve"> </w:t>
      </w:r>
      <w:r w:rsidRPr="008E0186">
        <w:rPr>
          <w:snapToGrid w:val="0"/>
          <w:sz w:val="18"/>
          <w:szCs w:val="18"/>
        </w:rPr>
        <w:t>of</w:t>
      </w:r>
      <w:r w:rsidRPr="008E0186">
        <w:rPr>
          <w:snapToGrid w:val="0"/>
          <w:spacing w:val="26"/>
          <w:sz w:val="18"/>
          <w:szCs w:val="18"/>
        </w:rPr>
        <w:t xml:space="preserve"> </w:t>
      </w:r>
      <w:r w:rsidRPr="008E0186">
        <w:rPr>
          <w:snapToGrid w:val="0"/>
          <w:sz w:val="18"/>
          <w:szCs w:val="18"/>
        </w:rPr>
        <w:t>the</w:t>
      </w:r>
      <w:r w:rsidRPr="008E0186">
        <w:rPr>
          <w:snapToGrid w:val="0"/>
          <w:spacing w:val="28"/>
          <w:sz w:val="18"/>
          <w:szCs w:val="18"/>
        </w:rPr>
        <w:t xml:space="preserve"> </w:t>
      </w:r>
      <w:r w:rsidRPr="008E0186">
        <w:rPr>
          <w:snapToGrid w:val="0"/>
          <w:sz w:val="18"/>
          <w:szCs w:val="18"/>
        </w:rPr>
        <w:t>State</w:t>
      </w:r>
      <w:r w:rsidRPr="008E0186">
        <w:rPr>
          <w:snapToGrid w:val="0"/>
          <w:spacing w:val="28"/>
          <w:sz w:val="18"/>
          <w:szCs w:val="18"/>
        </w:rPr>
        <w:t xml:space="preserve"> </w:t>
      </w:r>
      <w:r w:rsidRPr="008E0186">
        <w:rPr>
          <w:snapToGrid w:val="0"/>
          <w:spacing w:val="-1"/>
          <w:sz w:val="18"/>
          <w:szCs w:val="18"/>
        </w:rPr>
        <w:t>Register</w:t>
      </w:r>
      <w:r w:rsidRPr="008E0186">
        <w:rPr>
          <w:snapToGrid w:val="0"/>
          <w:spacing w:val="28"/>
          <w:sz w:val="18"/>
          <w:szCs w:val="18"/>
        </w:rPr>
        <w:t xml:space="preserve"> </w:t>
      </w:r>
      <w:r w:rsidRPr="008E0186">
        <w:rPr>
          <w:snapToGrid w:val="0"/>
          <w:sz w:val="18"/>
          <w:szCs w:val="18"/>
        </w:rPr>
        <w:t>is</w:t>
      </w:r>
      <w:r w:rsidRPr="008E0186">
        <w:rPr>
          <w:snapToGrid w:val="0"/>
          <w:spacing w:val="29"/>
          <w:sz w:val="18"/>
          <w:szCs w:val="18"/>
        </w:rPr>
        <w:t xml:space="preserve"> </w:t>
      </w:r>
      <w:r w:rsidRPr="008E0186">
        <w:rPr>
          <w:snapToGrid w:val="0"/>
          <w:sz w:val="18"/>
          <w:szCs w:val="18"/>
        </w:rPr>
        <w:t>the</w:t>
      </w:r>
      <w:r w:rsidRPr="008E0186">
        <w:rPr>
          <w:snapToGrid w:val="0"/>
          <w:spacing w:val="28"/>
          <w:sz w:val="18"/>
          <w:szCs w:val="18"/>
        </w:rPr>
        <w:t xml:space="preserve"> </w:t>
      </w:r>
      <w:r w:rsidRPr="008E0186">
        <w:rPr>
          <w:snapToGrid w:val="0"/>
          <w:spacing w:val="-1"/>
          <w:sz w:val="18"/>
          <w:szCs w:val="18"/>
        </w:rPr>
        <w:t>official</w:t>
      </w:r>
      <w:r w:rsidRPr="008E0186">
        <w:rPr>
          <w:snapToGrid w:val="0"/>
          <w:spacing w:val="29"/>
          <w:sz w:val="18"/>
          <w:szCs w:val="18"/>
        </w:rPr>
        <w:t xml:space="preserve"> </w:t>
      </w:r>
      <w:r w:rsidRPr="008E0186">
        <w:rPr>
          <w:snapToGrid w:val="0"/>
          <w:spacing w:val="-1"/>
          <w:sz w:val="18"/>
          <w:szCs w:val="18"/>
        </w:rPr>
        <w:t>state</w:t>
      </w:r>
      <w:r w:rsidRPr="008E0186">
        <w:rPr>
          <w:snapToGrid w:val="0"/>
          <w:spacing w:val="28"/>
          <w:sz w:val="18"/>
          <w:szCs w:val="18"/>
        </w:rPr>
        <w:t xml:space="preserve"> </w:t>
      </w:r>
      <w:r w:rsidRPr="008E0186">
        <w:rPr>
          <w:snapToGrid w:val="0"/>
          <w:sz w:val="18"/>
          <w:szCs w:val="18"/>
        </w:rPr>
        <w:t>entity</w:t>
      </w:r>
      <w:r w:rsidRPr="008E0186">
        <w:rPr>
          <w:snapToGrid w:val="0"/>
          <w:spacing w:val="25"/>
          <w:sz w:val="18"/>
          <w:szCs w:val="18"/>
        </w:rPr>
        <w:t xml:space="preserve"> </w:t>
      </w:r>
      <w:r w:rsidRPr="008E0186">
        <w:rPr>
          <w:snapToGrid w:val="0"/>
          <w:spacing w:val="-1"/>
          <w:sz w:val="18"/>
          <w:szCs w:val="18"/>
        </w:rPr>
        <w:t>for</w:t>
      </w:r>
      <w:r w:rsidRPr="008E0186">
        <w:rPr>
          <w:snapToGrid w:val="0"/>
          <w:spacing w:val="29"/>
          <w:sz w:val="18"/>
          <w:szCs w:val="18"/>
        </w:rPr>
        <w:t xml:space="preserve"> </w:t>
      </w:r>
      <w:r w:rsidRPr="008E0186">
        <w:rPr>
          <w:snapToGrid w:val="0"/>
          <w:spacing w:val="-1"/>
          <w:sz w:val="18"/>
          <w:szCs w:val="18"/>
        </w:rPr>
        <w:t>all</w:t>
      </w:r>
      <w:r w:rsidRPr="008E0186">
        <w:rPr>
          <w:snapToGrid w:val="0"/>
          <w:spacing w:val="29"/>
          <w:sz w:val="18"/>
          <w:szCs w:val="18"/>
        </w:rPr>
        <w:t xml:space="preserve"> </w:t>
      </w:r>
      <w:r w:rsidRPr="008E0186">
        <w:rPr>
          <w:snapToGrid w:val="0"/>
          <w:spacing w:val="-1"/>
          <w:sz w:val="18"/>
          <w:szCs w:val="18"/>
        </w:rPr>
        <w:t>certified</w:t>
      </w:r>
      <w:r w:rsidRPr="008E0186">
        <w:rPr>
          <w:snapToGrid w:val="0"/>
          <w:spacing w:val="29"/>
          <w:sz w:val="18"/>
          <w:szCs w:val="18"/>
        </w:rPr>
        <w:t xml:space="preserve"> </w:t>
      </w:r>
      <w:r w:rsidRPr="008E0186">
        <w:rPr>
          <w:snapToGrid w:val="0"/>
          <w:sz w:val="18"/>
          <w:szCs w:val="18"/>
        </w:rPr>
        <w:t>copies</w:t>
      </w:r>
      <w:r w:rsidRPr="008E0186">
        <w:rPr>
          <w:snapToGrid w:val="0"/>
          <w:spacing w:val="28"/>
          <w:sz w:val="18"/>
          <w:szCs w:val="18"/>
        </w:rPr>
        <w:t xml:space="preserve"> </w:t>
      </w:r>
      <w:r w:rsidRPr="008E0186">
        <w:rPr>
          <w:snapToGrid w:val="0"/>
          <w:sz w:val="18"/>
          <w:szCs w:val="18"/>
        </w:rPr>
        <w:t>of</w:t>
      </w:r>
      <w:r w:rsidRPr="008E0186">
        <w:rPr>
          <w:snapToGrid w:val="0"/>
          <w:spacing w:val="26"/>
          <w:sz w:val="18"/>
          <w:szCs w:val="18"/>
        </w:rPr>
        <w:t xml:space="preserve"> </w:t>
      </w:r>
      <w:r w:rsidRPr="008E0186">
        <w:rPr>
          <w:snapToGrid w:val="0"/>
          <w:sz w:val="18"/>
          <w:szCs w:val="18"/>
        </w:rPr>
        <w:t>the</w:t>
      </w:r>
      <w:r w:rsidRPr="008E0186">
        <w:rPr>
          <w:snapToGrid w:val="0"/>
          <w:spacing w:val="37"/>
          <w:sz w:val="18"/>
          <w:szCs w:val="18"/>
        </w:rPr>
        <w:t xml:space="preserve"> </w:t>
      </w:r>
      <w:r w:rsidRPr="008E0186">
        <w:rPr>
          <w:i/>
          <w:iCs/>
          <w:snapToGrid w:val="0"/>
          <w:spacing w:val="-1"/>
          <w:sz w:val="18"/>
          <w:szCs w:val="18"/>
        </w:rPr>
        <w:t>Louisiana</w:t>
      </w:r>
      <w:r w:rsidRPr="008E0186">
        <w:rPr>
          <w:i/>
          <w:iCs/>
          <w:snapToGrid w:val="0"/>
          <w:spacing w:val="30"/>
          <w:sz w:val="18"/>
          <w:szCs w:val="18"/>
        </w:rPr>
        <w:t xml:space="preserve"> </w:t>
      </w:r>
      <w:r w:rsidRPr="008E0186">
        <w:rPr>
          <w:i/>
          <w:iCs/>
          <w:snapToGrid w:val="0"/>
          <w:spacing w:val="-1"/>
          <w:sz w:val="18"/>
          <w:szCs w:val="18"/>
        </w:rPr>
        <w:t>Register</w:t>
      </w:r>
      <w:r w:rsidRPr="008E0186">
        <w:rPr>
          <w:i/>
          <w:iCs/>
          <w:snapToGrid w:val="0"/>
          <w:spacing w:val="28"/>
          <w:sz w:val="18"/>
          <w:szCs w:val="18"/>
        </w:rPr>
        <w:t xml:space="preserve"> </w:t>
      </w:r>
      <w:r w:rsidRPr="008E0186">
        <w:rPr>
          <w:snapToGrid w:val="0"/>
          <w:sz w:val="18"/>
          <w:szCs w:val="18"/>
        </w:rPr>
        <w:t>and</w:t>
      </w:r>
      <w:r w:rsidRPr="008E0186">
        <w:rPr>
          <w:snapToGrid w:val="0"/>
          <w:spacing w:val="27"/>
          <w:sz w:val="18"/>
          <w:szCs w:val="18"/>
        </w:rPr>
        <w:t xml:space="preserve"> </w:t>
      </w:r>
      <w:r w:rsidRPr="008E0186">
        <w:rPr>
          <w:snapToGrid w:val="0"/>
          <w:sz w:val="18"/>
          <w:szCs w:val="18"/>
        </w:rPr>
        <w:t>the</w:t>
      </w:r>
      <w:r w:rsidRPr="008E0186">
        <w:rPr>
          <w:snapToGrid w:val="0"/>
          <w:spacing w:val="28"/>
          <w:sz w:val="18"/>
          <w:szCs w:val="18"/>
        </w:rPr>
        <w:t xml:space="preserve"> </w:t>
      </w:r>
      <w:r w:rsidRPr="008E0186">
        <w:rPr>
          <w:snapToGrid w:val="0"/>
          <w:spacing w:val="-1"/>
          <w:sz w:val="18"/>
          <w:szCs w:val="18"/>
        </w:rPr>
        <w:t>content</w:t>
      </w:r>
      <w:r w:rsidRPr="008E0186">
        <w:rPr>
          <w:snapToGrid w:val="0"/>
          <w:spacing w:val="103"/>
          <w:sz w:val="18"/>
          <w:szCs w:val="18"/>
        </w:rPr>
        <w:t xml:space="preserve"> </w:t>
      </w:r>
      <w:r w:rsidRPr="008E0186">
        <w:rPr>
          <w:snapToGrid w:val="0"/>
          <w:sz w:val="18"/>
          <w:szCs w:val="18"/>
        </w:rPr>
        <w:t>contained</w:t>
      </w:r>
      <w:r w:rsidRPr="008E0186">
        <w:rPr>
          <w:snapToGrid w:val="0"/>
          <w:spacing w:val="-1"/>
          <w:sz w:val="18"/>
          <w:szCs w:val="18"/>
        </w:rPr>
        <w:t xml:space="preserve"> herein.</w:t>
      </w:r>
    </w:p>
    <w:p w14:paraId="0C3EC9EF" w14:textId="77777777" w:rsidR="008E0186" w:rsidRPr="008E0186" w:rsidRDefault="008E0186" w:rsidP="008E0186">
      <w:pPr>
        <w:widowControl w:val="0"/>
        <w:kinsoku w:val="0"/>
        <w:overflowPunct w:val="0"/>
        <w:spacing w:after="120" w:line="242" w:lineRule="auto"/>
        <w:ind w:left="66" w:right="102"/>
        <w:jc w:val="both"/>
        <w:rPr>
          <w:snapToGrid w:val="0"/>
          <w:spacing w:val="-1"/>
          <w:sz w:val="18"/>
          <w:szCs w:val="18"/>
        </w:rPr>
      </w:pPr>
      <w:r w:rsidRPr="008E0186">
        <w:rPr>
          <w:noProof/>
          <w:spacing w:val="-1"/>
          <w:sz w:val="18"/>
          <w:szCs w:val="18"/>
        </w:rPr>
        <mc:AlternateContent>
          <mc:Choice Requires="wps">
            <w:drawing>
              <wp:anchor distT="0" distB="0" distL="114300" distR="114300" simplePos="0" relativeHeight="251660288" behindDoc="0" locked="0" layoutInCell="1" allowOverlap="1" wp14:anchorId="012CFD0F" wp14:editId="35F4CFA3">
                <wp:simplePos x="0" y="0"/>
                <wp:positionH relativeFrom="column">
                  <wp:posOffset>-45206</wp:posOffset>
                </wp:positionH>
                <wp:positionV relativeFrom="paragraph">
                  <wp:posOffset>174589</wp:posOffset>
                </wp:positionV>
                <wp:extent cx="6765532" cy="513423"/>
                <wp:effectExtent l="0" t="0" r="16510" b="20320"/>
                <wp:wrapNone/>
                <wp:docPr id="801513694" name="Rectangle 3"/>
                <wp:cNvGraphicFramePr/>
                <a:graphic xmlns:a="http://schemas.openxmlformats.org/drawingml/2006/main">
                  <a:graphicData uri="http://schemas.microsoft.com/office/word/2010/wordprocessingShape">
                    <wps:wsp>
                      <wps:cNvSpPr/>
                      <wps:spPr>
                        <a:xfrm>
                          <a:off x="0" y="0"/>
                          <a:ext cx="6765532" cy="513423"/>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0CE2B7" id="Rectangle 3" o:spid="_x0000_s1026" style="position:absolute;margin-left:-3.55pt;margin-top:13.75pt;width:532.7pt;height:40.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" filled="f" strokecolor="#042433" strokeweight="1pt"/>
            </w:pict>
          </mc:Fallback>
        </mc:AlternateContent>
      </w:r>
    </w:p>
    <w:p w14:paraId="5FD58D58"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
          <w:kern w:val="2"/>
          <w:sz w:val="18"/>
        </w:rPr>
      </w:pPr>
      <w:r w:rsidRPr="008E0186">
        <w:rPr>
          <w:snapToGrid w:val="0"/>
          <w:spacing w:val="-1"/>
          <w:sz w:val="18"/>
          <w:szCs w:val="18"/>
        </w:rPr>
        <w:t>The</w:t>
      </w:r>
      <w:r w:rsidRPr="008E0186">
        <w:rPr>
          <w:snapToGrid w:val="0"/>
          <w:spacing w:val="30"/>
          <w:sz w:val="18"/>
          <w:szCs w:val="18"/>
        </w:rPr>
        <w:t xml:space="preserve"> </w:t>
      </w:r>
      <w:r w:rsidRPr="008E0186">
        <w:rPr>
          <w:snapToGrid w:val="0"/>
          <w:spacing w:val="-1"/>
          <w:sz w:val="18"/>
          <w:szCs w:val="18"/>
        </w:rPr>
        <w:t>Office</w:t>
      </w:r>
      <w:r w:rsidRPr="008E0186">
        <w:rPr>
          <w:snapToGrid w:val="0"/>
          <w:spacing w:val="30"/>
          <w:sz w:val="18"/>
          <w:szCs w:val="18"/>
        </w:rPr>
        <w:t xml:space="preserve"> </w:t>
      </w:r>
      <w:r w:rsidRPr="008E0186">
        <w:rPr>
          <w:snapToGrid w:val="0"/>
          <w:sz w:val="18"/>
          <w:szCs w:val="18"/>
        </w:rPr>
        <w:t>of</w:t>
      </w:r>
      <w:r w:rsidRPr="008E0186">
        <w:rPr>
          <w:snapToGrid w:val="0"/>
          <w:spacing w:val="29"/>
          <w:sz w:val="18"/>
          <w:szCs w:val="18"/>
        </w:rPr>
        <w:t xml:space="preserve"> </w:t>
      </w:r>
      <w:r w:rsidRPr="008E0186">
        <w:rPr>
          <w:snapToGrid w:val="0"/>
          <w:sz w:val="18"/>
          <w:szCs w:val="18"/>
        </w:rPr>
        <w:t>the</w:t>
      </w:r>
      <w:r w:rsidRPr="008E0186">
        <w:rPr>
          <w:snapToGrid w:val="0"/>
          <w:spacing w:val="30"/>
          <w:sz w:val="18"/>
          <w:szCs w:val="18"/>
        </w:rPr>
        <w:t xml:space="preserve"> </w:t>
      </w:r>
      <w:r w:rsidRPr="008E0186">
        <w:rPr>
          <w:snapToGrid w:val="0"/>
          <w:spacing w:val="-1"/>
          <w:sz w:val="18"/>
          <w:szCs w:val="18"/>
        </w:rPr>
        <w:t>State</w:t>
      </w:r>
      <w:r w:rsidRPr="008E0186">
        <w:rPr>
          <w:snapToGrid w:val="0"/>
          <w:spacing w:val="30"/>
          <w:sz w:val="18"/>
          <w:szCs w:val="18"/>
        </w:rPr>
        <w:t xml:space="preserve"> </w:t>
      </w:r>
      <w:r w:rsidRPr="008E0186">
        <w:rPr>
          <w:snapToGrid w:val="0"/>
          <w:spacing w:val="-1"/>
          <w:sz w:val="18"/>
          <w:szCs w:val="18"/>
        </w:rPr>
        <w:t>Register</w:t>
      </w:r>
      <w:r w:rsidRPr="008E0186">
        <w:rPr>
          <w:snapToGrid w:val="0"/>
          <w:spacing w:val="33"/>
          <w:sz w:val="18"/>
          <w:szCs w:val="18"/>
        </w:rPr>
        <w:t xml:space="preserve"> </w:t>
      </w:r>
      <w:r w:rsidRPr="008E0186">
        <w:rPr>
          <w:snapToGrid w:val="0"/>
          <w:sz w:val="18"/>
          <w:szCs w:val="18"/>
        </w:rPr>
        <w:t>provides</w:t>
      </w:r>
      <w:r w:rsidRPr="008E0186">
        <w:rPr>
          <w:snapToGrid w:val="0"/>
          <w:spacing w:val="31"/>
          <w:sz w:val="18"/>
          <w:szCs w:val="18"/>
        </w:rPr>
        <w:t xml:space="preserve"> </w:t>
      </w:r>
      <w:r w:rsidRPr="008E0186">
        <w:rPr>
          <w:snapToGrid w:val="0"/>
          <w:spacing w:val="-1"/>
          <w:sz w:val="18"/>
          <w:szCs w:val="18"/>
        </w:rPr>
        <w:t>auxiliary</w:t>
      </w:r>
      <w:r w:rsidRPr="008E0186">
        <w:rPr>
          <w:snapToGrid w:val="0"/>
          <w:spacing w:val="27"/>
          <w:sz w:val="18"/>
          <w:szCs w:val="18"/>
        </w:rPr>
        <w:t xml:space="preserve"> </w:t>
      </w:r>
      <w:r w:rsidRPr="008E0186">
        <w:rPr>
          <w:snapToGrid w:val="0"/>
          <w:sz w:val="18"/>
          <w:szCs w:val="18"/>
        </w:rPr>
        <w:t>aids</w:t>
      </w:r>
      <w:r w:rsidRPr="008E0186">
        <w:rPr>
          <w:snapToGrid w:val="0"/>
          <w:spacing w:val="31"/>
          <w:sz w:val="18"/>
          <w:szCs w:val="18"/>
        </w:rPr>
        <w:t xml:space="preserve"> </w:t>
      </w:r>
      <w:r w:rsidRPr="008E0186">
        <w:rPr>
          <w:snapToGrid w:val="0"/>
          <w:spacing w:val="-1"/>
          <w:sz w:val="18"/>
          <w:szCs w:val="18"/>
        </w:rPr>
        <w:t>for</w:t>
      </w:r>
      <w:r w:rsidRPr="008E0186">
        <w:rPr>
          <w:snapToGrid w:val="0"/>
          <w:spacing w:val="31"/>
          <w:sz w:val="18"/>
          <w:szCs w:val="18"/>
        </w:rPr>
        <w:t xml:space="preserve"> </w:t>
      </w:r>
      <w:r w:rsidRPr="008E0186">
        <w:rPr>
          <w:snapToGrid w:val="0"/>
          <w:sz w:val="18"/>
          <w:szCs w:val="18"/>
        </w:rPr>
        <w:t>the</w:t>
      </w:r>
      <w:r w:rsidRPr="008E0186">
        <w:rPr>
          <w:snapToGrid w:val="0"/>
          <w:spacing w:val="35"/>
          <w:sz w:val="18"/>
          <w:szCs w:val="18"/>
        </w:rPr>
        <w:t xml:space="preserve"> </w:t>
      </w:r>
      <w:r w:rsidRPr="008E0186">
        <w:rPr>
          <w:i/>
          <w:iCs/>
          <w:snapToGrid w:val="0"/>
          <w:spacing w:val="-1"/>
          <w:sz w:val="18"/>
          <w:szCs w:val="18"/>
        </w:rPr>
        <w:t>Louisiana</w:t>
      </w:r>
      <w:r w:rsidRPr="008E0186">
        <w:rPr>
          <w:i/>
          <w:iCs/>
          <w:snapToGrid w:val="0"/>
          <w:spacing w:val="32"/>
          <w:sz w:val="18"/>
          <w:szCs w:val="18"/>
        </w:rPr>
        <w:t xml:space="preserve"> </w:t>
      </w:r>
      <w:r w:rsidRPr="008E0186">
        <w:rPr>
          <w:i/>
          <w:iCs/>
          <w:snapToGrid w:val="0"/>
          <w:spacing w:val="-1"/>
          <w:sz w:val="18"/>
          <w:szCs w:val="18"/>
        </w:rPr>
        <w:t>Register</w:t>
      </w:r>
      <w:r w:rsidRPr="008E0186">
        <w:rPr>
          <w:i/>
          <w:iCs/>
          <w:snapToGrid w:val="0"/>
          <w:spacing w:val="32"/>
          <w:sz w:val="18"/>
          <w:szCs w:val="18"/>
        </w:rPr>
        <w:t xml:space="preserve"> </w:t>
      </w:r>
      <w:r w:rsidRPr="008E0186">
        <w:rPr>
          <w:snapToGrid w:val="0"/>
          <w:spacing w:val="-1"/>
          <w:sz w:val="18"/>
          <w:szCs w:val="18"/>
        </w:rPr>
        <w:t>for</w:t>
      </w:r>
      <w:r w:rsidRPr="008E0186">
        <w:rPr>
          <w:snapToGrid w:val="0"/>
          <w:spacing w:val="31"/>
          <w:sz w:val="18"/>
          <w:szCs w:val="18"/>
        </w:rPr>
        <w:t xml:space="preserve"> </w:t>
      </w:r>
      <w:r w:rsidRPr="008E0186">
        <w:rPr>
          <w:snapToGrid w:val="0"/>
          <w:spacing w:val="-1"/>
          <w:sz w:val="18"/>
          <w:szCs w:val="18"/>
        </w:rPr>
        <w:t>visually</w:t>
      </w:r>
      <w:r w:rsidRPr="008E0186">
        <w:rPr>
          <w:snapToGrid w:val="0"/>
          <w:spacing w:val="28"/>
          <w:sz w:val="18"/>
          <w:szCs w:val="18"/>
        </w:rPr>
        <w:t xml:space="preserve"> </w:t>
      </w:r>
      <w:r w:rsidRPr="008E0186">
        <w:rPr>
          <w:snapToGrid w:val="0"/>
          <w:spacing w:val="-1"/>
          <w:sz w:val="18"/>
          <w:szCs w:val="18"/>
        </w:rPr>
        <w:t>impaired</w:t>
      </w:r>
      <w:r w:rsidRPr="008E0186">
        <w:rPr>
          <w:snapToGrid w:val="0"/>
          <w:spacing w:val="32"/>
          <w:sz w:val="18"/>
          <w:szCs w:val="18"/>
        </w:rPr>
        <w:t xml:space="preserve"> </w:t>
      </w:r>
      <w:r w:rsidRPr="008E0186">
        <w:rPr>
          <w:snapToGrid w:val="0"/>
          <w:sz w:val="18"/>
          <w:szCs w:val="18"/>
        </w:rPr>
        <w:t>individuals.</w:t>
      </w:r>
      <w:r w:rsidRPr="008E0186">
        <w:rPr>
          <w:snapToGrid w:val="0"/>
          <w:spacing w:val="29"/>
          <w:sz w:val="18"/>
          <w:szCs w:val="18"/>
        </w:rPr>
        <w:t xml:space="preserve"> </w:t>
      </w:r>
      <w:r w:rsidRPr="008E0186">
        <w:rPr>
          <w:snapToGrid w:val="0"/>
          <w:sz w:val="18"/>
          <w:szCs w:val="18"/>
        </w:rPr>
        <w:t>By</w:t>
      </w:r>
      <w:r w:rsidRPr="008E0186">
        <w:rPr>
          <w:snapToGrid w:val="0"/>
          <w:spacing w:val="28"/>
          <w:sz w:val="18"/>
          <w:szCs w:val="18"/>
        </w:rPr>
        <w:t xml:space="preserve"> </w:t>
      </w:r>
      <w:r w:rsidRPr="008E0186">
        <w:rPr>
          <w:snapToGrid w:val="0"/>
          <w:sz w:val="18"/>
          <w:szCs w:val="18"/>
        </w:rPr>
        <w:t>appointment,</w:t>
      </w:r>
      <w:r w:rsidRPr="008E0186">
        <w:rPr>
          <w:snapToGrid w:val="0"/>
          <w:spacing w:val="32"/>
          <w:sz w:val="18"/>
          <w:szCs w:val="18"/>
        </w:rPr>
        <w:t xml:space="preserve"> </w:t>
      </w:r>
      <w:r w:rsidRPr="008E0186">
        <w:rPr>
          <w:snapToGrid w:val="0"/>
          <w:spacing w:val="-1"/>
          <w:sz w:val="18"/>
          <w:szCs w:val="18"/>
        </w:rPr>
        <w:t>oral</w:t>
      </w:r>
      <w:r w:rsidRPr="008E0186">
        <w:rPr>
          <w:snapToGrid w:val="0"/>
          <w:spacing w:val="101"/>
          <w:sz w:val="18"/>
          <w:szCs w:val="18"/>
        </w:rPr>
        <w:t xml:space="preserve"> </w:t>
      </w:r>
      <w:r w:rsidRPr="008E0186">
        <w:rPr>
          <w:snapToGrid w:val="0"/>
          <w:sz w:val="18"/>
          <w:szCs w:val="18"/>
        </w:rPr>
        <w:t>presentation</w:t>
      </w:r>
      <w:r w:rsidRPr="008E0186">
        <w:rPr>
          <w:snapToGrid w:val="0"/>
          <w:spacing w:val="20"/>
          <w:sz w:val="18"/>
          <w:szCs w:val="18"/>
        </w:rPr>
        <w:t xml:space="preserve"> </w:t>
      </w:r>
      <w:r w:rsidRPr="008E0186">
        <w:rPr>
          <w:snapToGrid w:val="0"/>
          <w:sz w:val="18"/>
          <w:szCs w:val="18"/>
        </w:rPr>
        <w:t>of</w:t>
      </w:r>
      <w:r w:rsidRPr="008E0186">
        <w:rPr>
          <w:snapToGrid w:val="0"/>
          <w:spacing w:val="19"/>
          <w:sz w:val="18"/>
          <w:szCs w:val="18"/>
        </w:rPr>
        <w:t xml:space="preserve"> </w:t>
      </w:r>
      <w:r w:rsidRPr="008E0186">
        <w:rPr>
          <w:snapToGrid w:val="0"/>
          <w:sz w:val="18"/>
          <w:szCs w:val="18"/>
        </w:rPr>
        <w:t>the</w:t>
      </w:r>
      <w:r w:rsidRPr="008E0186">
        <w:rPr>
          <w:snapToGrid w:val="0"/>
          <w:spacing w:val="23"/>
          <w:sz w:val="18"/>
          <w:szCs w:val="18"/>
        </w:rPr>
        <w:t xml:space="preserve"> </w:t>
      </w:r>
      <w:r w:rsidRPr="008E0186">
        <w:rPr>
          <w:i/>
          <w:iCs/>
          <w:snapToGrid w:val="0"/>
          <w:spacing w:val="-1"/>
          <w:sz w:val="18"/>
          <w:szCs w:val="18"/>
        </w:rPr>
        <w:t>Louisiana</w:t>
      </w:r>
      <w:r w:rsidRPr="008E0186">
        <w:rPr>
          <w:i/>
          <w:iCs/>
          <w:snapToGrid w:val="0"/>
          <w:spacing w:val="23"/>
          <w:sz w:val="18"/>
          <w:szCs w:val="18"/>
        </w:rPr>
        <w:t xml:space="preserve"> </w:t>
      </w:r>
      <w:r w:rsidRPr="008E0186">
        <w:rPr>
          <w:i/>
          <w:iCs/>
          <w:snapToGrid w:val="0"/>
          <w:spacing w:val="-1"/>
          <w:sz w:val="18"/>
          <w:szCs w:val="18"/>
        </w:rPr>
        <w:t>Register</w:t>
      </w:r>
      <w:r w:rsidRPr="008E0186">
        <w:rPr>
          <w:i/>
          <w:iCs/>
          <w:snapToGrid w:val="0"/>
          <w:spacing w:val="22"/>
          <w:sz w:val="18"/>
          <w:szCs w:val="18"/>
        </w:rPr>
        <w:t xml:space="preserve"> </w:t>
      </w:r>
      <w:r w:rsidRPr="008E0186">
        <w:rPr>
          <w:snapToGrid w:val="0"/>
          <w:sz w:val="18"/>
          <w:szCs w:val="18"/>
        </w:rPr>
        <w:t>is</w:t>
      </w:r>
      <w:r w:rsidRPr="008E0186">
        <w:rPr>
          <w:snapToGrid w:val="0"/>
          <w:spacing w:val="21"/>
          <w:sz w:val="18"/>
          <w:szCs w:val="18"/>
        </w:rPr>
        <w:t xml:space="preserve"> </w:t>
      </w:r>
      <w:r w:rsidRPr="008E0186">
        <w:rPr>
          <w:snapToGrid w:val="0"/>
          <w:spacing w:val="-1"/>
          <w:sz w:val="18"/>
          <w:szCs w:val="18"/>
        </w:rPr>
        <w:t>available</w:t>
      </w:r>
      <w:r w:rsidRPr="008E0186">
        <w:rPr>
          <w:snapToGrid w:val="0"/>
          <w:spacing w:val="21"/>
          <w:sz w:val="18"/>
          <w:szCs w:val="18"/>
        </w:rPr>
        <w:t xml:space="preserve"> </w:t>
      </w:r>
      <w:r w:rsidRPr="008E0186">
        <w:rPr>
          <w:snapToGrid w:val="0"/>
          <w:spacing w:val="-1"/>
          <w:sz w:val="18"/>
          <w:szCs w:val="18"/>
        </w:rPr>
        <w:t>at</w:t>
      </w:r>
      <w:r w:rsidRPr="008E0186">
        <w:rPr>
          <w:snapToGrid w:val="0"/>
          <w:spacing w:val="22"/>
          <w:sz w:val="18"/>
          <w:szCs w:val="18"/>
        </w:rPr>
        <w:t xml:space="preserve"> </w:t>
      </w:r>
      <w:r w:rsidRPr="008E0186">
        <w:rPr>
          <w:snapToGrid w:val="0"/>
          <w:sz w:val="18"/>
          <w:szCs w:val="18"/>
        </w:rPr>
        <w:t>the</w:t>
      </w:r>
      <w:r w:rsidRPr="008E0186">
        <w:rPr>
          <w:snapToGrid w:val="0"/>
          <w:spacing w:val="21"/>
          <w:sz w:val="18"/>
          <w:szCs w:val="18"/>
        </w:rPr>
        <w:t xml:space="preserve"> </w:t>
      </w:r>
      <w:r w:rsidRPr="008E0186">
        <w:rPr>
          <w:snapToGrid w:val="0"/>
          <w:spacing w:val="-2"/>
          <w:sz w:val="18"/>
          <w:szCs w:val="18"/>
        </w:rPr>
        <w:t>Office</w:t>
      </w:r>
      <w:r w:rsidRPr="008E0186">
        <w:rPr>
          <w:snapToGrid w:val="0"/>
          <w:spacing w:val="23"/>
          <w:sz w:val="18"/>
          <w:szCs w:val="18"/>
        </w:rPr>
        <w:t xml:space="preserve"> </w:t>
      </w:r>
      <w:r w:rsidRPr="008E0186">
        <w:rPr>
          <w:snapToGrid w:val="0"/>
          <w:sz w:val="18"/>
          <w:szCs w:val="18"/>
        </w:rPr>
        <w:t>of</w:t>
      </w:r>
      <w:r w:rsidRPr="008E0186">
        <w:rPr>
          <w:snapToGrid w:val="0"/>
          <w:spacing w:val="19"/>
          <w:sz w:val="18"/>
          <w:szCs w:val="18"/>
        </w:rPr>
        <w:t xml:space="preserve"> </w:t>
      </w:r>
      <w:r w:rsidRPr="008E0186">
        <w:rPr>
          <w:snapToGrid w:val="0"/>
          <w:sz w:val="18"/>
          <w:szCs w:val="18"/>
        </w:rPr>
        <w:t>the</w:t>
      </w:r>
      <w:r w:rsidRPr="008E0186">
        <w:rPr>
          <w:snapToGrid w:val="0"/>
          <w:spacing w:val="21"/>
          <w:sz w:val="18"/>
          <w:szCs w:val="18"/>
        </w:rPr>
        <w:t xml:space="preserve"> </w:t>
      </w:r>
      <w:r w:rsidRPr="008E0186">
        <w:rPr>
          <w:snapToGrid w:val="0"/>
          <w:sz w:val="18"/>
          <w:szCs w:val="18"/>
        </w:rPr>
        <w:t>State</w:t>
      </w:r>
      <w:r w:rsidRPr="008E0186">
        <w:rPr>
          <w:snapToGrid w:val="0"/>
          <w:spacing w:val="21"/>
          <w:sz w:val="18"/>
          <w:szCs w:val="18"/>
        </w:rPr>
        <w:t xml:space="preserve"> </w:t>
      </w:r>
      <w:r w:rsidRPr="008E0186">
        <w:rPr>
          <w:snapToGrid w:val="0"/>
          <w:spacing w:val="-2"/>
          <w:sz w:val="18"/>
          <w:szCs w:val="18"/>
        </w:rPr>
        <w:t>Register,</w:t>
      </w:r>
      <w:r w:rsidRPr="008E0186">
        <w:rPr>
          <w:snapToGrid w:val="0"/>
          <w:spacing w:val="22"/>
          <w:sz w:val="18"/>
          <w:szCs w:val="18"/>
        </w:rPr>
        <w:t xml:space="preserve"> </w:t>
      </w:r>
      <w:r w:rsidRPr="008E0186">
        <w:rPr>
          <w:snapToGrid w:val="0"/>
          <w:sz w:val="18"/>
          <w:szCs w:val="18"/>
        </w:rPr>
        <w:t>or</w:t>
      </w:r>
      <w:r w:rsidRPr="008E0186">
        <w:rPr>
          <w:snapToGrid w:val="0"/>
          <w:spacing w:val="22"/>
          <w:sz w:val="18"/>
          <w:szCs w:val="18"/>
        </w:rPr>
        <w:t xml:space="preserve"> </w:t>
      </w:r>
      <w:r w:rsidRPr="008E0186">
        <w:rPr>
          <w:snapToGrid w:val="0"/>
          <w:spacing w:val="-1"/>
          <w:sz w:val="18"/>
          <w:szCs w:val="18"/>
        </w:rPr>
        <w:t>an</w:t>
      </w:r>
      <w:r w:rsidRPr="008E0186">
        <w:rPr>
          <w:snapToGrid w:val="0"/>
          <w:spacing w:val="20"/>
          <w:sz w:val="18"/>
          <w:szCs w:val="18"/>
        </w:rPr>
        <w:t xml:space="preserve"> </w:t>
      </w:r>
      <w:r w:rsidRPr="008E0186">
        <w:rPr>
          <w:snapToGrid w:val="0"/>
          <w:spacing w:val="-1"/>
          <w:sz w:val="18"/>
          <w:szCs w:val="18"/>
        </w:rPr>
        <w:t>audio</w:t>
      </w:r>
      <w:r w:rsidRPr="008E0186">
        <w:rPr>
          <w:snapToGrid w:val="0"/>
          <w:spacing w:val="23"/>
          <w:sz w:val="18"/>
          <w:szCs w:val="18"/>
        </w:rPr>
        <w:t xml:space="preserve"> </w:t>
      </w:r>
      <w:r w:rsidRPr="008E0186">
        <w:rPr>
          <w:snapToGrid w:val="0"/>
          <w:spacing w:val="-1"/>
          <w:sz w:val="18"/>
          <w:szCs w:val="18"/>
        </w:rPr>
        <w:t>file</w:t>
      </w:r>
      <w:r w:rsidRPr="008E0186">
        <w:rPr>
          <w:snapToGrid w:val="0"/>
          <w:spacing w:val="21"/>
          <w:sz w:val="18"/>
          <w:szCs w:val="18"/>
        </w:rPr>
        <w:t xml:space="preserve"> </w:t>
      </w:r>
      <w:r w:rsidRPr="008E0186">
        <w:rPr>
          <w:snapToGrid w:val="0"/>
          <w:sz w:val="18"/>
          <w:szCs w:val="18"/>
        </w:rPr>
        <w:t>of</w:t>
      </w:r>
      <w:r w:rsidRPr="008E0186">
        <w:rPr>
          <w:snapToGrid w:val="0"/>
          <w:spacing w:val="19"/>
          <w:sz w:val="18"/>
          <w:szCs w:val="18"/>
        </w:rPr>
        <w:t xml:space="preserve"> </w:t>
      </w:r>
      <w:r w:rsidRPr="008E0186">
        <w:rPr>
          <w:snapToGrid w:val="0"/>
          <w:spacing w:val="-1"/>
          <w:sz w:val="18"/>
          <w:szCs w:val="18"/>
        </w:rPr>
        <w:t>requested</w:t>
      </w:r>
      <w:r w:rsidRPr="008E0186">
        <w:rPr>
          <w:snapToGrid w:val="0"/>
          <w:spacing w:val="23"/>
          <w:sz w:val="18"/>
          <w:szCs w:val="18"/>
        </w:rPr>
        <w:t xml:space="preserve"> </w:t>
      </w:r>
      <w:r w:rsidRPr="008E0186">
        <w:rPr>
          <w:snapToGrid w:val="0"/>
          <w:spacing w:val="-1"/>
          <w:sz w:val="18"/>
          <w:szCs w:val="18"/>
        </w:rPr>
        <w:t>sections</w:t>
      </w:r>
      <w:r w:rsidRPr="008E0186">
        <w:rPr>
          <w:snapToGrid w:val="0"/>
          <w:spacing w:val="19"/>
          <w:sz w:val="18"/>
          <w:szCs w:val="18"/>
        </w:rPr>
        <w:t xml:space="preserve"> </w:t>
      </w:r>
      <w:r w:rsidRPr="008E0186">
        <w:rPr>
          <w:snapToGrid w:val="0"/>
          <w:sz w:val="18"/>
          <w:szCs w:val="18"/>
        </w:rPr>
        <w:t>of</w:t>
      </w:r>
      <w:r w:rsidRPr="008E0186">
        <w:rPr>
          <w:snapToGrid w:val="0"/>
          <w:spacing w:val="19"/>
          <w:sz w:val="18"/>
          <w:szCs w:val="18"/>
        </w:rPr>
        <w:t xml:space="preserve"> </w:t>
      </w:r>
      <w:r w:rsidRPr="008E0186">
        <w:rPr>
          <w:snapToGrid w:val="0"/>
          <w:spacing w:val="-1"/>
          <w:sz w:val="18"/>
          <w:szCs w:val="18"/>
        </w:rPr>
        <w:t>the</w:t>
      </w:r>
      <w:r w:rsidRPr="008E0186">
        <w:rPr>
          <w:snapToGrid w:val="0"/>
          <w:spacing w:val="26"/>
          <w:sz w:val="18"/>
          <w:szCs w:val="18"/>
        </w:rPr>
        <w:t xml:space="preserve"> </w:t>
      </w:r>
      <w:r w:rsidRPr="008E0186">
        <w:rPr>
          <w:i/>
          <w:iCs/>
          <w:snapToGrid w:val="0"/>
          <w:spacing w:val="-1"/>
          <w:sz w:val="18"/>
          <w:szCs w:val="18"/>
        </w:rPr>
        <w:t>Louisiana</w:t>
      </w:r>
      <w:r w:rsidRPr="008E0186">
        <w:rPr>
          <w:i/>
          <w:iCs/>
          <w:snapToGrid w:val="0"/>
          <w:spacing w:val="131"/>
          <w:sz w:val="18"/>
          <w:szCs w:val="18"/>
        </w:rPr>
        <w:t xml:space="preserve"> </w:t>
      </w:r>
      <w:r w:rsidRPr="008E0186">
        <w:rPr>
          <w:i/>
          <w:iCs/>
          <w:snapToGrid w:val="0"/>
          <w:sz w:val="18"/>
          <w:szCs w:val="18"/>
        </w:rPr>
        <w:t xml:space="preserve">Register </w:t>
      </w:r>
      <w:r w:rsidRPr="008E0186">
        <w:rPr>
          <w:snapToGrid w:val="0"/>
          <w:spacing w:val="-1"/>
          <w:sz w:val="18"/>
          <w:szCs w:val="18"/>
        </w:rPr>
        <w:t>can</w:t>
      </w:r>
      <w:r w:rsidRPr="008E0186">
        <w:rPr>
          <w:snapToGrid w:val="0"/>
          <w:spacing w:val="1"/>
          <w:sz w:val="18"/>
          <w:szCs w:val="18"/>
        </w:rPr>
        <w:t xml:space="preserve"> </w:t>
      </w:r>
      <w:r w:rsidRPr="008E0186">
        <w:rPr>
          <w:snapToGrid w:val="0"/>
          <w:sz w:val="18"/>
          <w:szCs w:val="18"/>
        </w:rPr>
        <w:t>be</w:t>
      </w:r>
      <w:r w:rsidRPr="008E0186">
        <w:rPr>
          <w:snapToGrid w:val="0"/>
          <w:spacing w:val="-1"/>
          <w:sz w:val="18"/>
          <w:szCs w:val="18"/>
        </w:rPr>
        <w:t xml:space="preserve"> provided for</w:t>
      </w:r>
      <w:r w:rsidRPr="008E0186">
        <w:rPr>
          <w:snapToGrid w:val="0"/>
          <w:sz w:val="18"/>
          <w:szCs w:val="18"/>
        </w:rPr>
        <w:t xml:space="preserve"> the</w:t>
      </w:r>
      <w:r w:rsidRPr="008E0186">
        <w:rPr>
          <w:snapToGrid w:val="0"/>
          <w:spacing w:val="-1"/>
          <w:sz w:val="18"/>
          <w:szCs w:val="18"/>
        </w:rPr>
        <w:t xml:space="preserve"> production</w:t>
      </w:r>
      <w:r w:rsidRPr="008E0186">
        <w:rPr>
          <w:snapToGrid w:val="0"/>
          <w:spacing w:val="1"/>
          <w:sz w:val="18"/>
          <w:szCs w:val="18"/>
        </w:rPr>
        <w:t xml:space="preserve"> </w:t>
      </w:r>
      <w:r w:rsidRPr="008E0186">
        <w:rPr>
          <w:snapToGrid w:val="0"/>
          <w:sz w:val="18"/>
          <w:szCs w:val="18"/>
        </w:rPr>
        <w:t xml:space="preserve">cost </w:t>
      </w:r>
      <w:r w:rsidRPr="008E0186">
        <w:rPr>
          <w:snapToGrid w:val="0"/>
          <w:spacing w:val="-1"/>
          <w:sz w:val="18"/>
          <w:szCs w:val="18"/>
        </w:rPr>
        <w:t>incurred.</w:t>
      </w:r>
      <w:r w:rsidRPr="008E0186">
        <w:rPr>
          <w:snapToGrid w:val="0"/>
          <w:sz w:val="18"/>
          <w:szCs w:val="18"/>
        </w:rPr>
        <w:t xml:space="preserve"> </w:t>
      </w:r>
      <w:r w:rsidRPr="008E0186">
        <w:rPr>
          <w:snapToGrid w:val="0"/>
          <w:spacing w:val="-1"/>
          <w:sz w:val="18"/>
          <w:szCs w:val="18"/>
        </w:rPr>
        <w:t>For</w:t>
      </w:r>
      <w:r w:rsidRPr="008E0186">
        <w:rPr>
          <w:snapToGrid w:val="0"/>
          <w:sz w:val="18"/>
          <w:szCs w:val="18"/>
        </w:rPr>
        <w:t xml:space="preserve"> </w:t>
      </w:r>
      <w:r w:rsidRPr="008E0186">
        <w:rPr>
          <w:snapToGrid w:val="0"/>
          <w:spacing w:val="-1"/>
          <w:sz w:val="18"/>
          <w:szCs w:val="18"/>
        </w:rPr>
        <w:t>more information,</w:t>
      </w:r>
      <w:r w:rsidRPr="008E0186">
        <w:rPr>
          <w:snapToGrid w:val="0"/>
          <w:sz w:val="18"/>
          <w:szCs w:val="18"/>
        </w:rPr>
        <w:t xml:space="preserve"> </w:t>
      </w:r>
      <w:r w:rsidRPr="008E0186">
        <w:rPr>
          <w:snapToGrid w:val="0"/>
          <w:spacing w:val="-1"/>
          <w:sz w:val="18"/>
          <w:szCs w:val="18"/>
        </w:rPr>
        <w:t>contact the Office of the State Register.</w:t>
      </w:r>
    </w:p>
    <w:p w14:paraId="5F78DFAA" w14:textId="77777777" w:rsidR="008E0186" w:rsidRDefault="008E0186" w:rsidP="00943207">
      <w:pPr>
        <w:pStyle w:val="RegSectionTitle"/>
        <w:sectPr w:rsidR="008E0186" w:rsidSect="008E0186">
          <w:footerReference w:type="even" r:id="rId8"/>
          <w:footerReference w:type="default" r:id="rId9"/>
          <w:type w:val="continuous"/>
          <w:pgSz w:w="12240" w:h="15840"/>
          <w:pgMar w:top="720" w:right="864" w:bottom="864" w:left="864" w:header="576" w:footer="432" w:gutter="0"/>
          <w:pgNumType w:fmt="lowerRoman" w:start="1"/>
          <w:cols w:space="720"/>
          <w:docGrid w:linePitch="272"/>
        </w:sectPr>
      </w:pPr>
    </w:p>
    <w:p w14:paraId="138D511F" w14:textId="0A06B7BA" w:rsidR="00943207" w:rsidRPr="00943207" w:rsidRDefault="00943207" w:rsidP="00943207">
      <w:pPr>
        <w:pStyle w:val="RegSectionTitle"/>
      </w:pPr>
      <w:r>
        <w:lastRenderedPageBreak/>
        <w:t>Executive Orders</w:t>
      </w:r>
    </w:p>
    <w:p w14:paraId="2F6DC98F" w14:textId="6BD35BE2" w:rsidR="00943207" w:rsidRPr="00943207" w:rsidRDefault="00943207" w:rsidP="00943207"/>
    <w:p w14:paraId="21DA4EBD" w14:textId="77777777" w:rsidR="00943207" w:rsidRPr="00943207" w:rsidRDefault="00943207" w:rsidP="00943207"/>
    <w:p w14:paraId="4F0B6FB1" w14:textId="77777777" w:rsidR="00943207" w:rsidRPr="00943207" w:rsidRDefault="00943207" w:rsidP="00943207">
      <w:pPr>
        <w:sectPr w:rsidR="00943207" w:rsidRPr="00943207" w:rsidSect="008E0186">
          <w:footerReference w:type="even" r:id="rId10"/>
          <w:type w:val="evenPage"/>
          <w:pgSz w:w="12240" w:h="15840"/>
          <w:pgMar w:top="720" w:right="864" w:bottom="864" w:left="864" w:header="576" w:footer="432" w:gutter="0"/>
          <w:pgNumType w:start="1306"/>
          <w:cols w:space="720"/>
          <w:docGrid w:linePitch="272"/>
        </w:sectPr>
      </w:pPr>
    </w:p>
    <w:p w14:paraId="65CF6410" w14:textId="77777777" w:rsidR="00943207" w:rsidRDefault="00943207" w:rsidP="000C44FD">
      <w:pPr>
        <w:pStyle w:val="RegItemFirstLine"/>
      </w:pPr>
      <w:bookmarkStart w:id="2" w:name="MergeStartHere"/>
      <w:bookmarkStart w:id="3" w:name="ParasHere"/>
      <w:bookmarkStart w:id="4" w:name="TextCutPoint"/>
      <w:bookmarkEnd w:id="2"/>
      <w:bookmarkEnd w:id="3"/>
      <w:r>
        <w:t>EXECUTIVE ORDER JML 26-063</w:t>
      </w:r>
    </w:p>
    <w:p w14:paraId="603E94D9" w14:textId="77777777" w:rsidR="00943207" w:rsidRDefault="00943207" w:rsidP="000C44FD">
      <w:pPr>
        <w:pStyle w:val="RegItemTitle"/>
      </w:pPr>
      <w:r w:rsidRPr="00E74787">
        <w:rPr>
          <w:spacing w:val="1"/>
        </w:rPr>
        <w:t>Renewal of S</w:t>
      </w:r>
      <w:r w:rsidRPr="00E74787">
        <w:t>tate</w:t>
      </w:r>
      <w:r w:rsidRPr="00E74787">
        <w:rPr>
          <w:spacing w:val="1"/>
        </w:rPr>
        <w:t xml:space="preserve"> </w:t>
      </w:r>
      <w:r w:rsidRPr="00E74787">
        <w:t xml:space="preserve">of </w:t>
      </w:r>
      <w:r w:rsidRPr="00E74787">
        <w:rPr>
          <w:spacing w:val="1"/>
        </w:rPr>
        <w:t>E</w:t>
      </w:r>
      <w:r w:rsidRPr="00E74787">
        <w:rPr>
          <w:spacing w:val="-2"/>
        </w:rPr>
        <w:t>m</w:t>
      </w:r>
      <w:r w:rsidRPr="00E74787">
        <w:t>erge</w:t>
      </w:r>
      <w:r w:rsidRPr="00E74787">
        <w:rPr>
          <w:spacing w:val="-3"/>
        </w:rPr>
        <w:t>n</w:t>
      </w:r>
      <w:r w:rsidRPr="00E74787">
        <w:t>cy</w:t>
      </w:r>
      <w:r>
        <w:t>—</w:t>
      </w:r>
      <w:r w:rsidRPr="00E74787">
        <w:t>Cybersecurity Incidents</w:t>
      </w:r>
    </w:p>
    <w:p w14:paraId="5BE13D45" w14:textId="77777777" w:rsidR="00943207" w:rsidRPr="00E74787" w:rsidRDefault="00943207" w:rsidP="000C44FD">
      <w:pPr>
        <w:pStyle w:val="ExoNormal"/>
      </w:pPr>
      <w:r w:rsidRPr="00E74787">
        <w:t xml:space="preserve">WHEREAS, the Louisiana Homeland Security and Emergency Assistance and Disaster Act, R.S. 29:721, </w:t>
      </w:r>
      <w:r w:rsidRPr="00E74787">
        <w:rPr>
          <w:i/>
        </w:rPr>
        <w:t>et seq</w:t>
      </w:r>
      <w:r w:rsidRPr="00E74787">
        <w:t xml:space="preserve">., </w:t>
      </w:r>
      <w:r w:rsidRPr="00E74787">
        <w:rPr>
          <w:bCs/>
          <w:color w:val="313131"/>
        </w:rPr>
        <w:t>confers</w:t>
      </w:r>
      <w:r w:rsidRPr="00E74787">
        <w:t xml:space="preserve"> upon the Governor of the State of Louisiana emergency powers to deal with emergencies, including those caused by breach of cybersecurity, in order to ensure that preparations of this State will be adequate to deal with such emergencies or disasters and to preserve the lives and property of the people of the State of Louisiana;</w:t>
      </w:r>
    </w:p>
    <w:p w14:paraId="6AF8643E" w14:textId="77777777" w:rsidR="00943207" w:rsidRPr="00E74787" w:rsidRDefault="00943207" w:rsidP="000C44FD">
      <w:pPr>
        <w:pStyle w:val="ExoNormal"/>
      </w:pPr>
      <w:r w:rsidRPr="00E74787">
        <w:t>WHEREAS, pursuant to</w:t>
      </w:r>
      <w:r w:rsidRPr="00E74787">
        <w:rPr>
          <w:spacing w:val="2"/>
        </w:rPr>
        <w:t xml:space="preserve"> </w:t>
      </w:r>
      <w:r w:rsidRPr="00E74787">
        <w:t>R.</w:t>
      </w:r>
      <w:r w:rsidRPr="00E74787">
        <w:rPr>
          <w:spacing w:val="1"/>
        </w:rPr>
        <w:t>S</w:t>
      </w:r>
      <w:r w:rsidRPr="00E74787">
        <w:t>.</w:t>
      </w:r>
      <w:r w:rsidRPr="00E74787">
        <w:rPr>
          <w:spacing w:val="2"/>
        </w:rPr>
        <w:t xml:space="preserve"> </w:t>
      </w:r>
      <w:r w:rsidRPr="00E74787">
        <w:t>29:</w:t>
      </w:r>
      <w:r w:rsidRPr="00E74787">
        <w:rPr>
          <w:spacing w:val="-2"/>
        </w:rPr>
        <w:t>7</w:t>
      </w:r>
      <w:r w:rsidRPr="00E74787">
        <w:t>24(</w:t>
      </w:r>
      <w:r w:rsidRPr="00E74787">
        <w:rPr>
          <w:spacing w:val="-2"/>
        </w:rPr>
        <w:t>B</w:t>
      </w:r>
      <w:r w:rsidRPr="00E74787">
        <w:rPr>
          <w:spacing w:val="1"/>
        </w:rPr>
        <w:t>)</w:t>
      </w:r>
      <w:r w:rsidRPr="00E74787">
        <w:t xml:space="preserve">(1), </w:t>
      </w:r>
      <w:r w:rsidRPr="00E74787">
        <w:rPr>
          <w:bCs/>
          <w:color w:val="313131"/>
        </w:rPr>
        <w:t>Gov</w:t>
      </w:r>
      <w:r w:rsidRPr="00E74787">
        <w:rPr>
          <w:bCs/>
          <w:color w:val="313131"/>
          <w:spacing w:val="1"/>
        </w:rPr>
        <w:t>e</w:t>
      </w:r>
      <w:r w:rsidRPr="00E74787">
        <w:rPr>
          <w:bCs/>
          <w:color w:val="313131"/>
        </w:rPr>
        <w:t>rnor</w:t>
      </w:r>
      <w:r w:rsidRPr="00E74787">
        <w:rPr>
          <w:spacing w:val="13"/>
        </w:rPr>
        <w:t xml:space="preserve"> John Bel Edwards declared a </w:t>
      </w:r>
      <w:r w:rsidRPr="00E74787">
        <w:t>state of</w:t>
      </w:r>
      <w:r w:rsidRPr="00E74787">
        <w:rPr>
          <w:spacing w:val="13"/>
        </w:rPr>
        <w:t xml:space="preserve"> </w:t>
      </w:r>
      <w:r w:rsidRPr="00E74787">
        <w:rPr>
          <w:spacing w:val="1"/>
        </w:rPr>
        <w:t>e</w:t>
      </w:r>
      <w:r w:rsidRPr="00E74787">
        <w:t>me</w:t>
      </w:r>
      <w:r w:rsidRPr="00E74787">
        <w:rPr>
          <w:spacing w:val="-1"/>
        </w:rPr>
        <w:t>r</w:t>
      </w:r>
      <w:r w:rsidRPr="00E74787">
        <w:t>g</w:t>
      </w:r>
      <w:r w:rsidRPr="00E74787">
        <w:rPr>
          <w:spacing w:val="-1"/>
        </w:rPr>
        <w:t>e</w:t>
      </w:r>
      <w:r w:rsidRPr="00E74787">
        <w:t>n</w:t>
      </w:r>
      <w:r w:rsidRPr="00E74787">
        <w:rPr>
          <w:spacing w:val="4"/>
        </w:rPr>
        <w:t>c</w:t>
      </w:r>
      <w:r w:rsidRPr="00E74787">
        <w:t>y</w:t>
      </w:r>
      <w:r w:rsidRPr="00E74787">
        <w:rPr>
          <w:spacing w:val="9"/>
        </w:rPr>
        <w:t xml:space="preserve"> on December 28, 2023, in Proclamation Number 236 JBE 2023 in response to </w:t>
      </w:r>
      <w:r w:rsidRPr="00E74787">
        <w:t>the</w:t>
      </w:r>
      <w:r w:rsidRPr="00E74787">
        <w:rPr>
          <w:spacing w:val="1"/>
        </w:rPr>
        <w:t xml:space="preserve"> </w:t>
      </w:r>
      <w:r w:rsidRPr="00E74787">
        <w:t>thr</w:t>
      </w:r>
      <w:r w:rsidRPr="00E74787">
        <w:rPr>
          <w:spacing w:val="-1"/>
        </w:rPr>
        <w:t>ea</w:t>
      </w:r>
      <w:r w:rsidRPr="00E74787">
        <w:t>t</w:t>
      </w:r>
      <w:r w:rsidRPr="00E74787">
        <w:rPr>
          <w:spacing w:val="2"/>
        </w:rPr>
        <w:t xml:space="preserve"> </w:t>
      </w:r>
      <w:r w:rsidRPr="00E74787">
        <w:t>of intentional cybersecurity breaches of public entities throughout the State of Louisiana;</w:t>
      </w:r>
    </w:p>
    <w:p w14:paraId="562A991B" w14:textId="77777777" w:rsidR="00943207" w:rsidRPr="00E74787" w:rsidRDefault="00943207" w:rsidP="000C44FD">
      <w:pPr>
        <w:pStyle w:val="ExoNormal"/>
        <w:rPr>
          <w:rFonts w:eastAsia="Calibri"/>
        </w:rPr>
      </w:pPr>
      <w:r w:rsidRPr="00E74787">
        <w:rPr>
          <w:rFonts w:eastAsia="Calibri"/>
        </w:rPr>
        <w:t>WHEREAS,</w:t>
      </w:r>
      <w:r w:rsidRPr="00E74787">
        <w:rPr>
          <w:rFonts w:eastAsia="Calibri"/>
        </w:rPr>
        <w:tab/>
        <w:t>Proclamation Number 263 JBE 2023 has been renewed and extended every thirty (30) days through JML 26-052, which is in effect through Sunday, July 12, 2026;</w:t>
      </w:r>
    </w:p>
    <w:p w14:paraId="3B4080F1" w14:textId="77777777" w:rsidR="00943207" w:rsidRPr="00E74787" w:rsidRDefault="00943207" w:rsidP="000C44FD">
      <w:pPr>
        <w:pStyle w:val="ExoNormal"/>
      </w:pPr>
      <w:r w:rsidRPr="00E74787">
        <w:t>WHEREAS, there have been severe, intentional cybersecurity breaches of public entities throughout the State of Louisiana;</w:t>
      </w:r>
    </w:p>
    <w:p w14:paraId="349F791D" w14:textId="77777777" w:rsidR="00943207" w:rsidRPr="00E74787" w:rsidRDefault="00943207" w:rsidP="000C44FD">
      <w:pPr>
        <w:pStyle w:val="ExoNormal"/>
      </w:pPr>
      <w:r w:rsidRPr="00E74787">
        <w:rPr>
          <w:rFonts w:eastAsia="Calibri"/>
        </w:rPr>
        <w:t>WHEREAS, R.S. 29:724 authorizes the governor during a declared state of emergency to suspend the provisions of any state regulatory statute prescribing procedures for conducting state business, or the orders, rules or regulations of any state agency, if strict compliance with the provision of any statute, order, rule, or regulation would in any way prevent, hinder, or delay necessary action in coping with the emergency;</w:t>
      </w:r>
    </w:p>
    <w:p w14:paraId="64F62606" w14:textId="77777777" w:rsidR="00943207" w:rsidRPr="00E74787" w:rsidRDefault="00943207" w:rsidP="000C44FD">
      <w:pPr>
        <w:pStyle w:val="ExoNormal"/>
      </w:pPr>
      <w:r w:rsidRPr="00E74787">
        <w:rPr>
          <w:bCs/>
        </w:rPr>
        <w:t xml:space="preserve">WHEREAS, </w:t>
      </w:r>
      <w:r w:rsidRPr="00E74787">
        <w:t>it is necessary for the State to continue to work cooperatively to mitigate any damages, current or future from cybersecurity breaches and to address cybersecurity vulnerabilities in current systems;</w:t>
      </w:r>
    </w:p>
    <w:p w14:paraId="521DA1E0" w14:textId="77777777" w:rsidR="00943207" w:rsidRPr="00E74787" w:rsidRDefault="00943207" w:rsidP="000C44FD">
      <w:pPr>
        <w:pStyle w:val="ExoNormal"/>
      </w:pPr>
      <w:r w:rsidRPr="00E74787">
        <w:rPr>
          <w:bCs/>
        </w:rPr>
        <w:t>NOW TH</w:t>
      </w:r>
      <w:r w:rsidRPr="00E74787">
        <w:rPr>
          <w:bCs/>
          <w:spacing w:val="1"/>
        </w:rPr>
        <w:t>E</w:t>
      </w:r>
      <w:r w:rsidRPr="00E74787">
        <w:rPr>
          <w:bCs/>
        </w:rPr>
        <w:t>RE</w:t>
      </w:r>
      <w:r w:rsidRPr="00E74787">
        <w:rPr>
          <w:bCs/>
          <w:spacing w:val="-2"/>
        </w:rPr>
        <w:t>F</w:t>
      </w:r>
      <w:r w:rsidRPr="00E74787">
        <w:rPr>
          <w:bCs/>
        </w:rPr>
        <w:t>ORE, I,</w:t>
      </w:r>
      <w:r w:rsidRPr="00E74787">
        <w:rPr>
          <w:bCs/>
          <w:spacing w:val="2"/>
        </w:rPr>
        <w:t xml:space="preserve"> JEFF LANDRY</w:t>
      </w:r>
      <w:r w:rsidRPr="00E74787">
        <w:rPr>
          <w:bCs/>
        </w:rPr>
        <w:t>,</w:t>
      </w:r>
      <w:r w:rsidRPr="00E74787">
        <w:rPr>
          <w:bCs/>
          <w:spacing w:val="2"/>
        </w:rPr>
        <w:t xml:space="preserve"> </w:t>
      </w:r>
      <w:r w:rsidRPr="00E74787">
        <w:t>Go</w:t>
      </w:r>
      <w:r w:rsidRPr="00E74787">
        <w:rPr>
          <w:spacing w:val="2"/>
        </w:rPr>
        <w:t>v</w:t>
      </w:r>
      <w:r w:rsidRPr="00E74787">
        <w:rPr>
          <w:spacing w:val="-1"/>
        </w:rPr>
        <w:t>e</w:t>
      </w:r>
      <w:r w:rsidRPr="00E74787">
        <w:t>rnor</w:t>
      </w:r>
      <w:r w:rsidRPr="00E74787">
        <w:rPr>
          <w:spacing w:val="-1"/>
        </w:rPr>
        <w:t xml:space="preserve"> </w:t>
      </w:r>
      <w:r w:rsidRPr="00E74787">
        <w:rPr>
          <w:spacing w:val="2"/>
        </w:rPr>
        <w:t>o</w:t>
      </w:r>
      <w:r w:rsidRPr="00E74787">
        <w:t>f the</w:t>
      </w:r>
      <w:r w:rsidRPr="00E74787">
        <w:rPr>
          <w:spacing w:val="1"/>
        </w:rPr>
        <w:t xml:space="preserve"> S</w:t>
      </w:r>
      <w:r w:rsidRPr="00E74787">
        <w:t>tate</w:t>
      </w:r>
      <w:r w:rsidRPr="00E74787">
        <w:rPr>
          <w:spacing w:val="-1"/>
        </w:rPr>
        <w:t xml:space="preserve"> </w:t>
      </w:r>
      <w:r w:rsidRPr="00E74787">
        <w:t>of</w:t>
      </w:r>
      <w:r w:rsidRPr="00E74787">
        <w:rPr>
          <w:spacing w:val="4"/>
        </w:rPr>
        <w:t xml:space="preserve"> </w:t>
      </w:r>
      <w:r w:rsidRPr="00E74787">
        <w:rPr>
          <w:spacing w:val="-3"/>
        </w:rPr>
        <w:t>L</w:t>
      </w:r>
      <w:r w:rsidRPr="00E74787">
        <w:t>ou</w:t>
      </w:r>
      <w:r w:rsidRPr="00E74787">
        <w:rPr>
          <w:spacing w:val="3"/>
        </w:rPr>
        <w:t>i</w:t>
      </w:r>
      <w:r w:rsidRPr="00E74787">
        <w:t>sian</w:t>
      </w:r>
      <w:r w:rsidRPr="00E74787">
        <w:rPr>
          <w:spacing w:val="-1"/>
        </w:rPr>
        <w:t>a</w:t>
      </w:r>
      <w:r w:rsidRPr="00E74787">
        <w:t xml:space="preserve">, </w:t>
      </w:r>
      <w:r w:rsidRPr="00E74787">
        <w:rPr>
          <w:spacing w:val="5"/>
        </w:rPr>
        <w:t>b</w:t>
      </w:r>
      <w:r w:rsidRPr="00E74787">
        <w:t>y</w:t>
      </w:r>
      <w:r w:rsidRPr="00E74787">
        <w:rPr>
          <w:spacing w:val="-5"/>
        </w:rPr>
        <w:t xml:space="preserve"> </w:t>
      </w:r>
      <w:r w:rsidRPr="00E74787">
        <w:t>virt</w:t>
      </w:r>
      <w:r w:rsidRPr="00E74787">
        <w:rPr>
          <w:spacing w:val="2"/>
        </w:rPr>
        <w:t>u</w:t>
      </w:r>
      <w:r w:rsidRPr="00E74787">
        <w:t>e</w:t>
      </w:r>
      <w:r w:rsidRPr="00E74787">
        <w:rPr>
          <w:spacing w:val="-1"/>
        </w:rPr>
        <w:t xml:space="preserve"> </w:t>
      </w:r>
      <w:r w:rsidRPr="00E74787">
        <w:t>of</w:t>
      </w:r>
      <w:r w:rsidRPr="00E74787">
        <w:rPr>
          <w:spacing w:val="1"/>
        </w:rPr>
        <w:t xml:space="preserve"> </w:t>
      </w:r>
      <w:r w:rsidRPr="00E74787">
        <w:t xml:space="preserve">the </w:t>
      </w:r>
      <w:r w:rsidRPr="00E74787">
        <w:rPr>
          <w:spacing w:val="-1"/>
        </w:rPr>
        <w:t>a</w:t>
      </w:r>
      <w:r w:rsidRPr="00E74787">
        <w:t>uthori</w:t>
      </w:r>
      <w:r w:rsidRPr="00E74787">
        <w:rPr>
          <w:spacing w:val="3"/>
        </w:rPr>
        <w:t>t</w:t>
      </w:r>
      <w:r w:rsidRPr="00E74787">
        <w:t>y</w:t>
      </w:r>
      <w:r w:rsidRPr="00E74787">
        <w:rPr>
          <w:spacing w:val="21"/>
        </w:rPr>
        <w:t xml:space="preserve"> </w:t>
      </w:r>
      <w:r w:rsidRPr="00E74787">
        <w:rPr>
          <w:spacing w:val="2"/>
        </w:rPr>
        <w:t>v</w:t>
      </w:r>
      <w:r w:rsidRPr="00E74787">
        <w:rPr>
          <w:spacing w:val="-1"/>
        </w:rPr>
        <w:t>e</w:t>
      </w:r>
      <w:r w:rsidRPr="00E74787">
        <w:t>sted</w:t>
      </w:r>
      <w:r w:rsidRPr="00E74787">
        <w:rPr>
          <w:spacing w:val="26"/>
        </w:rPr>
        <w:t xml:space="preserve"> </w:t>
      </w:r>
      <w:r w:rsidRPr="00E74787">
        <w:rPr>
          <w:spacing w:val="5"/>
        </w:rPr>
        <w:t>b</w:t>
      </w:r>
      <w:r w:rsidRPr="00E74787">
        <w:t>y</w:t>
      </w:r>
      <w:r w:rsidRPr="00E74787">
        <w:rPr>
          <w:spacing w:val="21"/>
        </w:rPr>
        <w:t xml:space="preserve"> </w:t>
      </w:r>
      <w:r w:rsidRPr="00E74787">
        <w:t>the</w:t>
      </w:r>
      <w:r w:rsidRPr="00E74787">
        <w:rPr>
          <w:spacing w:val="28"/>
        </w:rPr>
        <w:t xml:space="preserve"> </w:t>
      </w:r>
      <w:r w:rsidRPr="00E74787">
        <w:t>Consti</w:t>
      </w:r>
      <w:r w:rsidRPr="00E74787">
        <w:rPr>
          <w:spacing w:val="1"/>
        </w:rPr>
        <w:t>t</w:t>
      </w:r>
      <w:r w:rsidRPr="00E74787">
        <w:t>ut</w:t>
      </w:r>
      <w:r w:rsidRPr="00E74787">
        <w:rPr>
          <w:spacing w:val="1"/>
        </w:rPr>
        <w:t>i</w:t>
      </w:r>
      <w:r w:rsidRPr="00E74787">
        <w:t>on</w:t>
      </w:r>
      <w:r w:rsidRPr="00E74787">
        <w:rPr>
          <w:spacing w:val="26"/>
        </w:rPr>
        <w:t xml:space="preserve"> </w:t>
      </w:r>
      <w:r w:rsidRPr="00E74787">
        <w:rPr>
          <w:spacing w:val="-1"/>
        </w:rPr>
        <w:t>a</w:t>
      </w:r>
      <w:r w:rsidRPr="00E74787">
        <w:t>nd</w:t>
      </w:r>
      <w:r w:rsidRPr="00E74787">
        <w:rPr>
          <w:spacing w:val="26"/>
        </w:rPr>
        <w:t xml:space="preserve"> </w:t>
      </w:r>
      <w:r w:rsidRPr="00E74787">
        <w:t>the</w:t>
      </w:r>
      <w:r w:rsidRPr="00E74787">
        <w:rPr>
          <w:spacing w:val="26"/>
        </w:rPr>
        <w:t xml:space="preserve"> </w:t>
      </w:r>
      <w:r w:rsidRPr="00E74787">
        <w:t>la</w:t>
      </w:r>
      <w:r w:rsidRPr="00E74787">
        <w:rPr>
          <w:spacing w:val="-1"/>
        </w:rPr>
        <w:t>w</w:t>
      </w:r>
      <w:r w:rsidRPr="00E74787">
        <w:t>s</w:t>
      </w:r>
      <w:r w:rsidRPr="00E74787">
        <w:rPr>
          <w:spacing w:val="26"/>
        </w:rPr>
        <w:t xml:space="preserve"> </w:t>
      </w:r>
      <w:r w:rsidRPr="00E74787">
        <w:t>of</w:t>
      </w:r>
      <w:r w:rsidRPr="00E74787">
        <w:rPr>
          <w:spacing w:val="25"/>
        </w:rPr>
        <w:t xml:space="preserve"> </w:t>
      </w:r>
      <w:r w:rsidRPr="00E74787">
        <w:t>the</w:t>
      </w:r>
      <w:r w:rsidRPr="00E74787">
        <w:rPr>
          <w:spacing w:val="26"/>
        </w:rPr>
        <w:t xml:space="preserve"> </w:t>
      </w:r>
      <w:r w:rsidRPr="00E74787">
        <w:rPr>
          <w:spacing w:val="1"/>
        </w:rPr>
        <w:t>S</w:t>
      </w:r>
      <w:r w:rsidRPr="00E74787">
        <w:t>tate</w:t>
      </w:r>
      <w:r w:rsidRPr="00E74787">
        <w:rPr>
          <w:spacing w:val="25"/>
        </w:rPr>
        <w:t xml:space="preserve"> </w:t>
      </w:r>
      <w:r w:rsidRPr="00E74787">
        <w:t>of</w:t>
      </w:r>
      <w:r w:rsidRPr="00E74787">
        <w:rPr>
          <w:spacing w:val="30"/>
        </w:rPr>
        <w:t xml:space="preserve"> </w:t>
      </w:r>
      <w:r w:rsidRPr="00E74787">
        <w:rPr>
          <w:spacing w:val="-3"/>
        </w:rPr>
        <w:t>L</w:t>
      </w:r>
      <w:r w:rsidRPr="00E74787">
        <w:t>ouis</w:t>
      </w:r>
      <w:r w:rsidRPr="00E74787">
        <w:rPr>
          <w:spacing w:val="1"/>
        </w:rPr>
        <w:t>ia</w:t>
      </w:r>
      <w:r w:rsidRPr="00E74787">
        <w:t>n</w:t>
      </w:r>
      <w:r w:rsidRPr="00E74787">
        <w:rPr>
          <w:spacing w:val="-1"/>
        </w:rPr>
        <w:t>a</w:t>
      </w:r>
      <w:r w:rsidRPr="00E74787">
        <w:t>,</w:t>
      </w:r>
      <w:r w:rsidRPr="00E74787">
        <w:rPr>
          <w:spacing w:val="26"/>
        </w:rPr>
        <w:t xml:space="preserve"> </w:t>
      </w:r>
      <w:r w:rsidRPr="00E74787">
        <w:t>do</w:t>
      </w:r>
      <w:r w:rsidRPr="00E74787">
        <w:rPr>
          <w:spacing w:val="26"/>
        </w:rPr>
        <w:t xml:space="preserve"> </w:t>
      </w:r>
      <w:r w:rsidRPr="00E74787">
        <w:t>h</w:t>
      </w:r>
      <w:r w:rsidRPr="00E74787">
        <w:rPr>
          <w:spacing w:val="1"/>
        </w:rPr>
        <w:t>e</w:t>
      </w:r>
      <w:r w:rsidRPr="00E74787">
        <w:t>r</w:t>
      </w:r>
      <w:r w:rsidRPr="00E74787">
        <w:rPr>
          <w:spacing w:val="-2"/>
        </w:rPr>
        <w:t>e</w:t>
      </w:r>
      <w:r w:rsidRPr="00E74787">
        <w:rPr>
          <w:spacing w:val="5"/>
        </w:rPr>
        <w:t>b</w:t>
      </w:r>
      <w:r w:rsidRPr="00E74787">
        <w:t>y</w:t>
      </w:r>
      <w:r w:rsidRPr="00E74787">
        <w:rPr>
          <w:spacing w:val="21"/>
        </w:rPr>
        <w:t xml:space="preserve"> </w:t>
      </w:r>
      <w:r w:rsidRPr="00E74787">
        <w:rPr>
          <w:spacing w:val="2"/>
        </w:rPr>
        <w:t>o</w:t>
      </w:r>
      <w:r w:rsidRPr="00E74787">
        <w:t>rd</w:t>
      </w:r>
      <w:r w:rsidRPr="00E74787">
        <w:rPr>
          <w:spacing w:val="-2"/>
        </w:rPr>
        <w:t>e</w:t>
      </w:r>
      <w:r w:rsidRPr="00E74787">
        <w:t xml:space="preserve">r </w:t>
      </w:r>
      <w:r w:rsidRPr="00E74787">
        <w:rPr>
          <w:spacing w:val="-1"/>
        </w:rPr>
        <w:t>a</w:t>
      </w:r>
      <w:r w:rsidRPr="00E74787">
        <w:t>nd dir</w:t>
      </w:r>
      <w:r w:rsidRPr="00E74787">
        <w:rPr>
          <w:spacing w:val="-1"/>
        </w:rPr>
        <w:t>ec</w:t>
      </w:r>
      <w:r w:rsidRPr="00E74787">
        <w:t>t as</w:t>
      </w:r>
      <w:r w:rsidRPr="00E74787">
        <w:rPr>
          <w:spacing w:val="2"/>
        </w:rPr>
        <w:t xml:space="preserve"> </w:t>
      </w:r>
      <w:r w:rsidRPr="00E74787">
        <w:t>follows:</w:t>
      </w:r>
    </w:p>
    <w:p w14:paraId="55D7E537" w14:textId="77777777" w:rsidR="00943207" w:rsidRPr="00E74787" w:rsidRDefault="00943207" w:rsidP="000C44FD">
      <w:pPr>
        <w:pStyle w:val="1"/>
      </w:pPr>
      <w:r w:rsidRPr="00E74787">
        <w:rPr>
          <w:bCs/>
          <w:spacing w:val="1"/>
        </w:rPr>
        <w:t>S</w:t>
      </w:r>
      <w:r w:rsidRPr="00E74787">
        <w:rPr>
          <w:bCs/>
        </w:rPr>
        <w:t>ecti</w:t>
      </w:r>
      <w:r w:rsidRPr="00E74787">
        <w:rPr>
          <w:bCs/>
          <w:spacing w:val="1"/>
        </w:rPr>
        <w:t>o</w:t>
      </w:r>
      <w:r w:rsidRPr="00E74787">
        <w:rPr>
          <w:bCs/>
        </w:rPr>
        <w:t>n 1:</w:t>
      </w:r>
      <w:r w:rsidRPr="00E74787">
        <w:rPr>
          <w:bCs/>
        </w:rPr>
        <w:tab/>
      </w:r>
      <w:r w:rsidRPr="00E74787">
        <w:rPr>
          <w:spacing w:val="1"/>
        </w:rPr>
        <w:t>P</w:t>
      </w:r>
      <w:r w:rsidRPr="00E74787">
        <w:t>u</w:t>
      </w:r>
      <w:r w:rsidRPr="00E74787">
        <w:rPr>
          <w:spacing w:val="-1"/>
        </w:rPr>
        <w:t>r</w:t>
      </w:r>
      <w:r w:rsidRPr="00E74787">
        <w:t>suant</w:t>
      </w:r>
      <w:r w:rsidRPr="00E74787">
        <w:rPr>
          <w:spacing w:val="24"/>
        </w:rPr>
        <w:t xml:space="preserve"> </w:t>
      </w:r>
      <w:r w:rsidRPr="00E74787">
        <w:t>to</w:t>
      </w:r>
      <w:r w:rsidRPr="00E74787">
        <w:rPr>
          <w:spacing w:val="24"/>
        </w:rPr>
        <w:t xml:space="preserve"> </w:t>
      </w:r>
      <w:r w:rsidRPr="00E74787">
        <w:t>the</w:t>
      </w:r>
      <w:r w:rsidRPr="00E74787">
        <w:rPr>
          <w:spacing w:val="26"/>
        </w:rPr>
        <w:t xml:space="preserve"> </w:t>
      </w:r>
      <w:r w:rsidRPr="00E74787">
        <w:rPr>
          <w:spacing w:val="-5"/>
        </w:rPr>
        <w:t>L</w:t>
      </w:r>
      <w:r w:rsidRPr="00E74787">
        <w:t>ouis</w:t>
      </w:r>
      <w:r w:rsidRPr="00E74787">
        <w:rPr>
          <w:spacing w:val="1"/>
        </w:rPr>
        <w:t>i</w:t>
      </w:r>
      <w:r w:rsidRPr="00E74787">
        <w:rPr>
          <w:spacing w:val="-1"/>
        </w:rPr>
        <w:t>a</w:t>
      </w:r>
      <w:r w:rsidRPr="00E74787">
        <w:t>na</w:t>
      </w:r>
      <w:r w:rsidRPr="00E74787">
        <w:rPr>
          <w:spacing w:val="23"/>
        </w:rPr>
        <w:t xml:space="preserve"> </w:t>
      </w:r>
      <w:r w:rsidRPr="00E74787">
        <w:t>Hom</w:t>
      </w:r>
      <w:r w:rsidRPr="00E74787">
        <w:rPr>
          <w:spacing w:val="-1"/>
        </w:rPr>
        <w:t>e</w:t>
      </w:r>
      <w:r w:rsidRPr="00E74787">
        <w:t>land</w:t>
      </w:r>
      <w:r w:rsidRPr="00E74787">
        <w:rPr>
          <w:spacing w:val="23"/>
        </w:rPr>
        <w:t xml:space="preserve"> </w:t>
      </w:r>
      <w:r w:rsidRPr="00E74787">
        <w:rPr>
          <w:spacing w:val="1"/>
        </w:rPr>
        <w:t>S</w:t>
      </w:r>
      <w:r w:rsidRPr="00E74787">
        <w:rPr>
          <w:spacing w:val="-1"/>
        </w:rPr>
        <w:t>ec</w:t>
      </w:r>
      <w:r w:rsidRPr="00E74787">
        <w:t>u</w:t>
      </w:r>
      <w:r w:rsidRPr="00E74787">
        <w:rPr>
          <w:spacing w:val="-1"/>
        </w:rPr>
        <w:t>r</w:t>
      </w:r>
      <w:r w:rsidRPr="00E74787">
        <w:t>i</w:t>
      </w:r>
      <w:r w:rsidRPr="00E74787">
        <w:rPr>
          <w:spacing w:val="6"/>
        </w:rPr>
        <w:t>t</w:t>
      </w:r>
      <w:r w:rsidRPr="00E74787">
        <w:t>y</w:t>
      </w:r>
      <w:r w:rsidRPr="00E74787">
        <w:rPr>
          <w:spacing w:val="19"/>
        </w:rPr>
        <w:t xml:space="preserve"> </w:t>
      </w:r>
      <w:r w:rsidRPr="00E74787">
        <w:rPr>
          <w:spacing w:val="-1"/>
        </w:rPr>
        <w:t>a</w:t>
      </w:r>
      <w:r w:rsidRPr="00E74787">
        <w:rPr>
          <w:spacing w:val="2"/>
        </w:rPr>
        <w:t>n</w:t>
      </w:r>
      <w:r w:rsidRPr="00E74787">
        <w:t>d</w:t>
      </w:r>
      <w:r w:rsidRPr="00E74787">
        <w:rPr>
          <w:spacing w:val="24"/>
        </w:rPr>
        <w:t xml:space="preserve"> </w:t>
      </w:r>
      <w:r w:rsidRPr="00E74787">
        <w:t>Eme</w:t>
      </w:r>
      <w:r w:rsidRPr="00E74787">
        <w:rPr>
          <w:spacing w:val="-1"/>
        </w:rPr>
        <w:t>r</w:t>
      </w:r>
      <w:r w:rsidRPr="00E74787">
        <w:t>g</w:t>
      </w:r>
      <w:r w:rsidRPr="00E74787">
        <w:rPr>
          <w:spacing w:val="-1"/>
        </w:rPr>
        <w:t>e</w:t>
      </w:r>
      <w:r w:rsidRPr="00E74787">
        <w:t>n</w:t>
      </w:r>
      <w:r w:rsidRPr="00E74787">
        <w:rPr>
          <w:spacing w:val="4"/>
        </w:rPr>
        <w:t>c</w:t>
      </w:r>
      <w:r w:rsidRPr="00E74787">
        <w:t>y</w:t>
      </w:r>
      <w:r w:rsidRPr="00E74787">
        <w:rPr>
          <w:spacing w:val="19"/>
        </w:rPr>
        <w:t xml:space="preserve"> </w:t>
      </w:r>
      <w:r w:rsidRPr="00E74787">
        <w:t>Assistan</w:t>
      </w:r>
      <w:r w:rsidRPr="00E74787">
        <w:rPr>
          <w:spacing w:val="1"/>
        </w:rPr>
        <w:t>c</w:t>
      </w:r>
      <w:r w:rsidRPr="00E74787">
        <w:t xml:space="preserve">e </w:t>
      </w:r>
      <w:r w:rsidRPr="00E74787">
        <w:rPr>
          <w:spacing w:val="-1"/>
        </w:rPr>
        <w:t>a</w:t>
      </w:r>
      <w:r w:rsidRPr="00E74787">
        <w:t>nd</w:t>
      </w:r>
      <w:r w:rsidRPr="00E74787">
        <w:rPr>
          <w:spacing w:val="5"/>
        </w:rPr>
        <w:t xml:space="preserve"> </w:t>
      </w:r>
      <w:r w:rsidRPr="00E74787">
        <w:t>Disast</w:t>
      </w:r>
      <w:r w:rsidRPr="00E74787">
        <w:rPr>
          <w:spacing w:val="-1"/>
        </w:rPr>
        <w:t>e</w:t>
      </w:r>
      <w:r w:rsidRPr="00E74787">
        <w:t>r</w:t>
      </w:r>
      <w:r w:rsidRPr="00E74787">
        <w:rPr>
          <w:spacing w:val="4"/>
        </w:rPr>
        <w:t xml:space="preserve"> </w:t>
      </w:r>
      <w:r w:rsidRPr="00E74787">
        <w:rPr>
          <w:spacing w:val="2"/>
        </w:rPr>
        <w:t>A</w:t>
      </w:r>
      <w:r w:rsidRPr="00E74787">
        <w:rPr>
          <w:spacing w:val="-1"/>
        </w:rPr>
        <w:t>c</w:t>
      </w:r>
      <w:r w:rsidRPr="00E74787">
        <w:t>t,</w:t>
      </w:r>
      <w:r w:rsidRPr="00E74787">
        <w:rPr>
          <w:spacing w:val="5"/>
        </w:rPr>
        <w:t xml:space="preserve"> </w:t>
      </w:r>
      <w:r w:rsidRPr="00E74787">
        <w:t>R.</w:t>
      </w:r>
      <w:r w:rsidRPr="00E74787">
        <w:rPr>
          <w:spacing w:val="1"/>
        </w:rPr>
        <w:t>S</w:t>
      </w:r>
      <w:r w:rsidRPr="00E74787">
        <w:t>.</w:t>
      </w:r>
      <w:r w:rsidRPr="00E74787">
        <w:rPr>
          <w:spacing w:val="5"/>
        </w:rPr>
        <w:t xml:space="preserve"> </w:t>
      </w:r>
      <w:r w:rsidRPr="00E74787">
        <w:t>29:721,</w:t>
      </w:r>
      <w:r w:rsidRPr="00E74787">
        <w:rPr>
          <w:spacing w:val="8"/>
        </w:rPr>
        <w:t xml:space="preserve"> </w:t>
      </w:r>
      <w:r w:rsidRPr="00E74787">
        <w:rPr>
          <w:i/>
          <w:spacing w:val="-1"/>
        </w:rPr>
        <w:t>e</w:t>
      </w:r>
      <w:r w:rsidRPr="00E74787">
        <w:rPr>
          <w:i/>
        </w:rPr>
        <w:t>t</w:t>
      </w:r>
      <w:r w:rsidRPr="00E74787">
        <w:rPr>
          <w:i/>
          <w:spacing w:val="5"/>
        </w:rPr>
        <w:t xml:space="preserve"> </w:t>
      </w:r>
      <w:r w:rsidRPr="00E74787">
        <w:rPr>
          <w:i/>
        </w:rPr>
        <w:t>s</w:t>
      </w:r>
      <w:r w:rsidRPr="00E74787">
        <w:rPr>
          <w:i/>
          <w:spacing w:val="-1"/>
        </w:rPr>
        <w:t>e</w:t>
      </w:r>
      <w:r w:rsidRPr="00E74787">
        <w:rPr>
          <w:i/>
        </w:rPr>
        <w:t>q.</w:t>
      </w:r>
      <w:r w:rsidRPr="00E74787">
        <w:t>,</w:t>
      </w:r>
      <w:r w:rsidRPr="00E74787">
        <w:rPr>
          <w:spacing w:val="5"/>
        </w:rPr>
        <w:t xml:space="preserve"> </w:t>
      </w:r>
      <w:r w:rsidRPr="00E74787">
        <w:t>a</w:t>
      </w:r>
      <w:r w:rsidRPr="00E74787">
        <w:rPr>
          <w:spacing w:val="4"/>
        </w:rPr>
        <w:t xml:space="preserve"> </w:t>
      </w:r>
      <w:r w:rsidRPr="00E74787">
        <w:t>state</w:t>
      </w:r>
      <w:r w:rsidRPr="00E74787">
        <w:rPr>
          <w:spacing w:val="6"/>
        </w:rPr>
        <w:t xml:space="preserve"> </w:t>
      </w:r>
      <w:r w:rsidRPr="00E74787">
        <w:t>of</w:t>
      </w:r>
      <w:r w:rsidRPr="00E74787">
        <w:rPr>
          <w:spacing w:val="4"/>
        </w:rPr>
        <w:t xml:space="preserve"> </w:t>
      </w:r>
      <w:r w:rsidRPr="00E74787">
        <w:rPr>
          <w:spacing w:val="-1"/>
        </w:rPr>
        <w:t>e</w:t>
      </w:r>
      <w:r w:rsidRPr="00E74787">
        <w:t>me</w:t>
      </w:r>
      <w:r w:rsidRPr="00E74787">
        <w:rPr>
          <w:spacing w:val="1"/>
        </w:rPr>
        <w:t>r</w:t>
      </w:r>
      <w:r w:rsidRPr="00E74787">
        <w:t>g</w:t>
      </w:r>
      <w:r w:rsidRPr="00E74787">
        <w:rPr>
          <w:spacing w:val="-1"/>
        </w:rPr>
        <w:t>e</w:t>
      </w:r>
      <w:r w:rsidRPr="00E74787">
        <w:t>n</w:t>
      </w:r>
      <w:r w:rsidRPr="00E74787">
        <w:rPr>
          <w:spacing w:val="4"/>
        </w:rPr>
        <w:t>c</w:t>
      </w:r>
      <w:r w:rsidRPr="00E74787">
        <w:t>y is</w:t>
      </w:r>
      <w:r w:rsidRPr="00E74787">
        <w:rPr>
          <w:spacing w:val="5"/>
        </w:rPr>
        <w:t xml:space="preserve"> </w:t>
      </w:r>
      <w:r w:rsidRPr="00E74787">
        <w:t>h</w:t>
      </w:r>
      <w:r w:rsidRPr="00E74787">
        <w:rPr>
          <w:spacing w:val="-1"/>
        </w:rPr>
        <w:t>e</w:t>
      </w:r>
      <w:r w:rsidRPr="00E74787">
        <w:rPr>
          <w:spacing w:val="1"/>
        </w:rPr>
        <w:t>r</w:t>
      </w:r>
      <w:r w:rsidRPr="00E74787">
        <w:rPr>
          <w:spacing w:val="-1"/>
        </w:rPr>
        <w:t>e</w:t>
      </w:r>
      <w:r w:rsidRPr="00E74787">
        <w:rPr>
          <w:spacing w:val="5"/>
        </w:rPr>
        <w:t>b</w:t>
      </w:r>
      <w:r w:rsidRPr="00E74787">
        <w:t>y d</w:t>
      </w:r>
      <w:r w:rsidRPr="00E74787">
        <w:rPr>
          <w:spacing w:val="-1"/>
        </w:rPr>
        <w:t>ec</w:t>
      </w:r>
      <w:r w:rsidRPr="00E74787">
        <w:t>la</w:t>
      </w:r>
      <w:r w:rsidRPr="00E74787">
        <w:rPr>
          <w:spacing w:val="1"/>
        </w:rPr>
        <w:t>r</w:t>
      </w:r>
      <w:r w:rsidRPr="00E74787">
        <w:rPr>
          <w:spacing w:val="-1"/>
        </w:rPr>
        <w:t>e</w:t>
      </w:r>
      <w:r w:rsidRPr="00E74787">
        <w:t>d</w:t>
      </w:r>
      <w:r w:rsidRPr="00E74787">
        <w:rPr>
          <w:spacing w:val="5"/>
        </w:rPr>
        <w:t xml:space="preserve"> </w:t>
      </w:r>
      <w:r w:rsidRPr="00E74787">
        <w:t>to</w:t>
      </w:r>
      <w:r w:rsidRPr="00E74787">
        <w:rPr>
          <w:spacing w:val="5"/>
        </w:rPr>
        <w:t xml:space="preserve"> continue to </w:t>
      </w:r>
      <w:r w:rsidRPr="00E74787">
        <w:rPr>
          <w:spacing w:val="-1"/>
        </w:rPr>
        <w:t>e</w:t>
      </w:r>
      <w:r w:rsidRPr="00E74787">
        <w:rPr>
          <w:spacing w:val="2"/>
        </w:rPr>
        <w:t>xi</w:t>
      </w:r>
      <w:r w:rsidRPr="00E74787">
        <w:t>st</w:t>
      </w:r>
      <w:r w:rsidRPr="00E74787">
        <w:rPr>
          <w:spacing w:val="6"/>
        </w:rPr>
        <w:t xml:space="preserve"> statewide in the State of Louisiana</w:t>
      </w:r>
      <w:r w:rsidRPr="00E74787">
        <w:rPr>
          <w:spacing w:val="4"/>
        </w:rPr>
        <w:t xml:space="preserve"> </w:t>
      </w:r>
      <w:r w:rsidRPr="00E74787">
        <w:rPr>
          <w:spacing w:val="-1"/>
        </w:rPr>
        <w:t>a</w:t>
      </w:r>
      <w:r w:rsidRPr="00E74787">
        <w:t>s</w:t>
      </w:r>
      <w:r w:rsidRPr="00E74787">
        <w:rPr>
          <w:spacing w:val="5"/>
        </w:rPr>
        <w:t xml:space="preserve"> </w:t>
      </w:r>
      <w:r w:rsidRPr="00E74787">
        <w:t>a</w:t>
      </w:r>
      <w:r w:rsidRPr="00E74787">
        <w:rPr>
          <w:spacing w:val="6"/>
        </w:rPr>
        <w:t xml:space="preserve"> </w:t>
      </w:r>
      <w:r w:rsidRPr="00E74787">
        <w:t>r</w:t>
      </w:r>
      <w:r w:rsidRPr="00E74787">
        <w:rPr>
          <w:spacing w:val="-2"/>
        </w:rPr>
        <w:t>e</w:t>
      </w:r>
      <w:r w:rsidRPr="00E74787">
        <w:t>sult</w:t>
      </w:r>
      <w:r w:rsidRPr="00E74787">
        <w:rPr>
          <w:spacing w:val="6"/>
        </w:rPr>
        <w:t xml:space="preserve"> </w:t>
      </w:r>
      <w:r w:rsidRPr="00E74787">
        <w:t>of</w:t>
      </w:r>
      <w:r w:rsidRPr="00E74787">
        <w:rPr>
          <w:spacing w:val="4"/>
        </w:rPr>
        <w:t xml:space="preserve"> the imminent threat to </w:t>
      </w:r>
      <w:r w:rsidRPr="00E74787">
        <w:t>the</w:t>
      </w:r>
      <w:r w:rsidRPr="00E74787">
        <w:rPr>
          <w:spacing w:val="-1"/>
        </w:rPr>
        <w:t xml:space="preserve"> c</w:t>
      </w:r>
      <w:r w:rsidRPr="00E74787">
        <w:rPr>
          <w:spacing w:val="3"/>
        </w:rPr>
        <w:t>i</w:t>
      </w:r>
      <w:r w:rsidRPr="00E74787">
        <w:t>t</w:t>
      </w:r>
      <w:r w:rsidRPr="00E74787">
        <w:rPr>
          <w:spacing w:val="1"/>
        </w:rPr>
        <w:t>iz</w:t>
      </w:r>
      <w:r w:rsidRPr="00E74787">
        <w:rPr>
          <w:spacing w:val="-1"/>
        </w:rPr>
        <w:t>e</w:t>
      </w:r>
      <w:r w:rsidRPr="00E74787">
        <w:t>ns of the</w:t>
      </w:r>
      <w:r w:rsidRPr="00E74787">
        <w:rPr>
          <w:spacing w:val="-1"/>
        </w:rPr>
        <w:t xml:space="preserve"> </w:t>
      </w:r>
      <w:r w:rsidRPr="00E74787">
        <w:rPr>
          <w:spacing w:val="1"/>
        </w:rPr>
        <w:t>S</w:t>
      </w:r>
      <w:r w:rsidRPr="00E74787">
        <w:t>tat</w:t>
      </w:r>
      <w:r w:rsidRPr="00E74787">
        <w:rPr>
          <w:spacing w:val="-1"/>
        </w:rPr>
        <w:t>e</w:t>
      </w:r>
      <w:r w:rsidRPr="00E74787">
        <w:t>.</w:t>
      </w:r>
    </w:p>
    <w:p w14:paraId="56815CD3" w14:textId="77777777" w:rsidR="00943207" w:rsidRPr="00E74787" w:rsidRDefault="00943207" w:rsidP="000C44FD">
      <w:pPr>
        <w:pStyle w:val="1"/>
      </w:pPr>
      <w:r w:rsidRPr="00E74787">
        <w:t>Section 2:</w:t>
      </w:r>
      <w:r w:rsidRPr="00E74787">
        <w:tab/>
        <w:t>The Director of the Governor’s Office of Homeland Security and Emergency Preparedness (GOHSEP) is hereby authorized to continue to undertake any activity authorized by law that he deems appropriate in response to this declaration.</w:t>
      </w:r>
    </w:p>
    <w:p w14:paraId="3BD2EF6E" w14:textId="7C7FC196" w:rsidR="00943207" w:rsidRPr="00E74787" w:rsidRDefault="00943207" w:rsidP="000C44FD">
      <w:pPr>
        <w:pStyle w:val="1"/>
        <w:rPr>
          <w:bCs/>
          <w:spacing w:val="1"/>
        </w:rPr>
      </w:pPr>
      <w:r w:rsidRPr="00E74787">
        <w:t>Section 3:</w:t>
      </w:r>
      <w:r w:rsidRPr="00E74787">
        <w:tab/>
        <w:t xml:space="preserve">Pursuant to R.S. 29:732, during a declared state of emergency, the prices charged or value received for goods and services sold within the designated emergency area may not exceed the prices ordinarily charged for comparable goods and services in the same market area at or immediately before the time of the state of emergency, unless the price by the seller is attributable to fluctuations in applicable commodity markets, fluctuations in applicable regional or </w:t>
      </w:r>
      <w:r w:rsidR="00C214A3">
        <w:br w:type="column"/>
      </w:r>
      <w:r w:rsidRPr="00E74787">
        <w:t>national market trends, or to reasonable expenses and charges and attendant business risk incurred in procuring or selling the goods or services during the state of emergency.</w:t>
      </w:r>
    </w:p>
    <w:p w14:paraId="26383491" w14:textId="77777777" w:rsidR="00943207" w:rsidRPr="00E74787" w:rsidRDefault="00943207" w:rsidP="000C44FD">
      <w:pPr>
        <w:pStyle w:val="1"/>
      </w:pPr>
      <w:r w:rsidRPr="00E74787">
        <w:rPr>
          <w:bCs/>
        </w:rPr>
        <w:t>Section 4:</w:t>
      </w:r>
      <w:r w:rsidRPr="00E74787">
        <w:rPr>
          <w:bCs/>
        </w:rPr>
        <w:tab/>
      </w:r>
      <w:r w:rsidRPr="00E74787">
        <w:t>All</w:t>
      </w:r>
      <w:r w:rsidRPr="00E74787">
        <w:rPr>
          <w:spacing w:val="19"/>
        </w:rPr>
        <w:t xml:space="preserve"> </w:t>
      </w:r>
      <w:r w:rsidRPr="00E74787">
        <w:t>d</w:t>
      </w:r>
      <w:r w:rsidRPr="00E74787">
        <w:rPr>
          <w:spacing w:val="-1"/>
        </w:rPr>
        <w:t>e</w:t>
      </w:r>
      <w:r w:rsidRPr="00E74787">
        <w:t>p</w:t>
      </w:r>
      <w:r w:rsidRPr="00E74787">
        <w:rPr>
          <w:spacing w:val="-1"/>
        </w:rPr>
        <w:t>a</w:t>
      </w:r>
      <w:r w:rsidRPr="00E74787">
        <w:t>rtme</w:t>
      </w:r>
      <w:r w:rsidRPr="00E74787">
        <w:rPr>
          <w:spacing w:val="-1"/>
        </w:rPr>
        <w:t>n</w:t>
      </w:r>
      <w:r w:rsidRPr="00E74787">
        <w:t>ts,</w:t>
      </w:r>
      <w:r w:rsidRPr="00E74787">
        <w:rPr>
          <w:spacing w:val="20"/>
        </w:rPr>
        <w:t xml:space="preserve"> </w:t>
      </w:r>
      <w:r w:rsidRPr="00E74787">
        <w:rPr>
          <w:spacing w:val="-1"/>
        </w:rPr>
        <w:t>c</w:t>
      </w:r>
      <w:r w:rsidRPr="00E74787">
        <w:t>ommissions,</w:t>
      </w:r>
      <w:r w:rsidRPr="00E74787">
        <w:rPr>
          <w:spacing w:val="20"/>
        </w:rPr>
        <w:t xml:space="preserve"> </w:t>
      </w:r>
      <w:r w:rsidRPr="00E74787">
        <w:t>bo</w:t>
      </w:r>
      <w:r w:rsidRPr="00E74787">
        <w:rPr>
          <w:spacing w:val="-1"/>
        </w:rPr>
        <w:t>a</w:t>
      </w:r>
      <w:r w:rsidRPr="00E74787">
        <w:t>rds,</w:t>
      </w:r>
      <w:r w:rsidRPr="00E74787">
        <w:rPr>
          <w:spacing w:val="18"/>
        </w:rPr>
        <w:t xml:space="preserve"> </w:t>
      </w:r>
      <w:r w:rsidRPr="00E74787">
        <w:rPr>
          <w:spacing w:val="-1"/>
        </w:rPr>
        <w:t>a</w:t>
      </w:r>
      <w:r w:rsidRPr="00E74787">
        <w:t>g</w:t>
      </w:r>
      <w:r w:rsidRPr="00E74787">
        <w:rPr>
          <w:spacing w:val="-1"/>
        </w:rPr>
        <w:t>e</w:t>
      </w:r>
      <w:r w:rsidRPr="00E74787">
        <w:t>n</w:t>
      </w:r>
      <w:r w:rsidRPr="00E74787">
        <w:rPr>
          <w:spacing w:val="-1"/>
        </w:rPr>
        <w:t>c</w:t>
      </w:r>
      <w:r w:rsidRPr="00E74787">
        <w:t>ies</w:t>
      </w:r>
      <w:r w:rsidRPr="00E74787">
        <w:rPr>
          <w:spacing w:val="21"/>
        </w:rPr>
        <w:t xml:space="preserve"> </w:t>
      </w:r>
      <w:r w:rsidRPr="00E74787">
        <w:rPr>
          <w:spacing w:val="-1"/>
        </w:rPr>
        <w:t>a</w:t>
      </w:r>
      <w:r w:rsidRPr="00E74787">
        <w:t>nd</w:t>
      </w:r>
      <w:r w:rsidRPr="00E74787">
        <w:rPr>
          <w:spacing w:val="19"/>
        </w:rPr>
        <w:t xml:space="preserve"> </w:t>
      </w:r>
      <w:r w:rsidRPr="00E74787">
        <w:t>o</w:t>
      </w:r>
      <w:r w:rsidRPr="00E74787">
        <w:rPr>
          <w:spacing w:val="-1"/>
        </w:rPr>
        <w:t>f</w:t>
      </w:r>
      <w:r w:rsidRPr="00E74787">
        <w:t>fi</w:t>
      </w:r>
      <w:r w:rsidRPr="00E74787">
        <w:rPr>
          <w:spacing w:val="-1"/>
        </w:rPr>
        <w:t>c</w:t>
      </w:r>
      <w:r w:rsidRPr="00E74787">
        <w:t>ers</w:t>
      </w:r>
      <w:r w:rsidRPr="00E74787">
        <w:rPr>
          <w:spacing w:val="18"/>
        </w:rPr>
        <w:t xml:space="preserve"> </w:t>
      </w:r>
      <w:r w:rsidRPr="00E74787">
        <w:t>of</w:t>
      </w:r>
      <w:r w:rsidRPr="00E74787">
        <w:rPr>
          <w:spacing w:val="18"/>
        </w:rPr>
        <w:t xml:space="preserve"> </w:t>
      </w:r>
      <w:r w:rsidRPr="00E74787">
        <w:t>the</w:t>
      </w:r>
      <w:r w:rsidRPr="00E74787">
        <w:rPr>
          <w:spacing w:val="18"/>
        </w:rPr>
        <w:t xml:space="preserve"> </w:t>
      </w:r>
      <w:r w:rsidRPr="00E74787">
        <w:t>stat</w:t>
      </w:r>
      <w:r w:rsidRPr="00E74787">
        <w:rPr>
          <w:spacing w:val="-1"/>
        </w:rPr>
        <w:t>e</w:t>
      </w:r>
      <w:r w:rsidRPr="00E74787">
        <w:t>, or</w:t>
      </w:r>
      <w:r w:rsidRPr="00E74787">
        <w:rPr>
          <w:spacing w:val="4"/>
        </w:rPr>
        <w:t xml:space="preserve"> </w:t>
      </w:r>
      <w:r w:rsidRPr="00E74787">
        <w:rPr>
          <w:spacing w:val="-1"/>
        </w:rPr>
        <w:t>a</w:t>
      </w:r>
      <w:r w:rsidRPr="00E74787">
        <w:rPr>
          <w:spacing w:val="2"/>
        </w:rPr>
        <w:t>n</w:t>
      </w:r>
      <w:r w:rsidRPr="00E74787">
        <w:t>y politi</w:t>
      </w:r>
      <w:r w:rsidRPr="00E74787">
        <w:rPr>
          <w:spacing w:val="-1"/>
        </w:rPr>
        <w:t>ca</w:t>
      </w:r>
      <w:r w:rsidRPr="00E74787">
        <w:t>l</w:t>
      </w:r>
      <w:r w:rsidRPr="00E74787">
        <w:rPr>
          <w:spacing w:val="5"/>
        </w:rPr>
        <w:t xml:space="preserve"> </w:t>
      </w:r>
      <w:r w:rsidRPr="00E74787">
        <w:t>subdivis</w:t>
      </w:r>
      <w:r w:rsidRPr="00E74787">
        <w:rPr>
          <w:spacing w:val="-1"/>
        </w:rPr>
        <w:t>i</w:t>
      </w:r>
      <w:r w:rsidRPr="00E74787">
        <w:t>on</w:t>
      </w:r>
      <w:r w:rsidRPr="00E74787">
        <w:rPr>
          <w:spacing w:val="5"/>
        </w:rPr>
        <w:t xml:space="preserve"> </w:t>
      </w:r>
      <w:r w:rsidRPr="00E74787">
        <w:t>the</w:t>
      </w:r>
      <w:r w:rsidRPr="00E74787">
        <w:rPr>
          <w:spacing w:val="-1"/>
        </w:rPr>
        <w:t>re</w:t>
      </w:r>
      <w:r w:rsidRPr="00E74787">
        <w:t>o</w:t>
      </w:r>
      <w:r w:rsidRPr="00E74787">
        <w:rPr>
          <w:spacing w:val="-1"/>
        </w:rPr>
        <w:t>f</w:t>
      </w:r>
      <w:r w:rsidRPr="00E74787">
        <w:t>,</w:t>
      </w:r>
      <w:r w:rsidRPr="00E74787">
        <w:rPr>
          <w:spacing w:val="5"/>
        </w:rPr>
        <w:t xml:space="preserve"> </w:t>
      </w:r>
      <w:r w:rsidRPr="00E74787">
        <w:t>are</w:t>
      </w:r>
      <w:r w:rsidRPr="00E74787">
        <w:rPr>
          <w:spacing w:val="2"/>
        </w:rPr>
        <w:t xml:space="preserve"> </w:t>
      </w:r>
      <w:r w:rsidRPr="00E74787">
        <w:rPr>
          <w:spacing w:val="-1"/>
        </w:rPr>
        <w:t>a</w:t>
      </w:r>
      <w:r w:rsidRPr="00E74787">
        <w:t>uthoriz</w:t>
      </w:r>
      <w:r w:rsidRPr="00E74787">
        <w:rPr>
          <w:spacing w:val="-1"/>
        </w:rPr>
        <w:t>e</w:t>
      </w:r>
      <w:r w:rsidRPr="00E74787">
        <w:t>d</w:t>
      </w:r>
      <w:r w:rsidRPr="00E74787">
        <w:rPr>
          <w:spacing w:val="3"/>
        </w:rPr>
        <w:t xml:space="preserve"> </w:t>
      </w:r>
      <w:r w:rsidRPr="00E74787">
        <w:rPr>
          <w:spacing w:val="-1"/>
        </w:rPr>
        <w:t>a</w:t>
      </w:r>
      <w:r w:rsidRPr="00E74787">
        <w:t>nd</w:t>
      </w:r>
      <w:r w:rsidRPr="00E74787">
        <w:rPr>
          <w:spacing w:val="3"/>
        </w:rPr>
        <w:t xml:space="preserve"> </w:t>
      </w:r>
      <w:r w:rsidRPr="00E74787">
        <w:t>di</w:t>
      </w:r>
      <w:r w:rsidRPr="00E74787">
        <w:rPr>
          <w:spacing w:val="2"/>
        </w:rPr>
        <w:t>r</w:t>
      </w:r>
      <w:r w:rsidRPr="00E74787">
        <w:rPr>
          <w:spacing w:val="-1"/>
        </w:rPr>
        <w:t>ec</w:t>
      </w:r>
      <w:r w:rsidRPr="00E74787">
        <w:t>ted to cooperate in actions the state may take in response to the effects of this cybersecurity event.</w:t>
      </w:r>
    </w:p>
    <w:p w14:paraId="55455DD7" w14:textId="77777777" w:rsidR="00943207" w:rsidRPr="00E74787" w:rsidRDefault="00943207" w:rsidP="000C44FD">
      <w:pPr>
        <w:pStyle w:val="1"/>
      </w:pPr>
      <w:r w:rsidRPr="00E74787">
        <w:rPr>
          <w:bCs/>
        </w:rPr>
        <w:t>Section 5:</w:t>
      </w:r>
      <w:r w:rsidRPr="00E74787">
        <w:rPr>
          <w:bCs/>
        </w:rPr>
        <w:tab/>
      </w:r>
      <w:r w:rsidRPr="00E74787">
        <w:t>All</w:t>
      </w:r>
      <w:r w:rsidRPr="00E74787">
        <w:rPr>
          <w:spacing w:val="19"/>
        </w:rPr>
        <w:t xml:space="preserve"> </w:t>
      </w:r>
      <w:r w:rsidRPr="00E74787">
        <w:t>d</w:t>
      </w:r>
      <w:r w:rsidRPr="00E74787">
        <w:rPr>
          <w:spacing w:val="-1"/>
        </w:rPr>
        <w:t>e</w:t>
      </w:r>
      <w:r w:rsidRPr="00E74787">
        <w:t>p</w:t>
      </w:r>
      <w:r w:rsidRPr="00E74787">
        <w:rPr>
          <w:spacing w:val="-1"/>
        </w:rPr>
        <w:t>a</w:t>
      </w:r>
      <w:r w:rsidRPr="00E74787">
        <w:t>rtme</w:t>
      </w:r>
      <w:r w:rsidRPr="00E74787">
        <w:rPr>
          <w:spacing w:val="-1"/>
        </w:rPr>
        <w:t>n</w:t>
      </w:r>
      <w:r w:rsidRPr="00E74787">
        <w:t>ts,</w:t>
      </w:r>
      <w:r w:rsidRPr="00E74787">
        <w:rPr>
          <w:spacing w:val="20"/>
        </w:rPr>
        <w:t xml:space="preserve"> </w:t>
      </w:r>
      <w:r w:rsidRPr="00E74787">
        <w:rPr>
          <w:spacing w:val="-1"/>
        </w:rPr>
        <w:t>c</w:t>
      </w:r>
      <w:r w:rsidRPr="00E74787">
        <w:t>ommissions,</w:t>
      </w:r>
      <w:r w:rsidRPr="00E74787">
        <w:rPr>
          <w:spacing w:val="20"/>
        </w:rPr>
        <w:t xml:space="preserve"> </w:t>
      </w:r>
      <w:r w:rsidRPr="00E74787">
        <w:t>bo</w:t>
      </w:r>
      <w:r w:rsidRPr="00E74787">
        <w:rPr>
          <w:spacing w:val="-1"/>
        </w:rPr>
        <w:t>a</w:t>
      </w:r>
      <w:r w:rsidRPr="00E74787">
        <w:t>rds,</w:t>
      </w:r>
      <w:r w:rsidRPr="00E74787">
        <w:rPr>
          <w:spacing w:val="18"/>
        </w:rPr>
        <w:t xml:space="preserve"> </w:t>
      </w:r>
      <w:r w:rsidRPr="00E74787">
        <w:rPr>
          <w:spacing w:val="-1"/>
        </w:rPr>
        <w:t>a</w:t>
      </w:r>
      <w:r w:rsidRPr="00E74787">
        <w:t>g</w:t>
      </w:r>
      <w:r w:rsidRPr="00E74787">
        <w:rPr>
          <w:spacing w:val="-1"/>
        </w:rPr>
        <w:t>e</w:t>
      </w:r>
      <w:r w:rsidRPr="00E74787">
        <w:t>n</w:t>
      </w:r>
      <w:r w:rsidRPr="00E74787">
        <w:rPr>
          <w:spacing w:val="-1"/>
        </w:rPr>
        <w:t>c</w:t>
      </w:r>
      <w:r w:rsidRPr="00E74787">
        <w:t>ies</w:t>
      </w:r>
      <w:r w:rsidRPr="00E74787">
        <w:rPr>
          <w:spacing w:val="21"/>
        </w:rPr>
        <w:t xml:space="preserve"> </w:t>
      </w:r>
      <w:r w:rsidRPr="00E74787">
        <w:rPr>
          <w:spacing w:val="-1"/>
        </w:rPr>
        <w:t>a</w:t>
      </w:r>
      <w:r w:rsidRPr="00E74787">
        <w:t>nd</w:t>
      </w:r>
      <w:r w:rsidRPr="00E74787">
        <w:rPr>
          <w:spacing w:val="19"/>
        </w:rPr>
        <w:t xml:space="preserve"> </w:t>
      </w:r>
      <w:r w:rsidRPr="00E74787">
        <w:t>o</w:t>
      </w:r>
      <w:r w:rsidRPr="00E74787">
        <w:rPr>
          <w:spacing w:val="-1"/>
        </w:rPr>
        <w:t>f</w:t>
      </w:r>
      <w:r w:rsidRPr="00E74787">
        <w:t>fi</w:t>
      </w:r>
      <w:r w:rsidRPr="00E74787">
        <w:rPr>
          <w:spacing w:val="-1"/>
        </w:rPr>
        <w:t>c</w:t>
      </w:r>
      <w:r w:rsidRPr="00E74787">
        <w:t>ers</w:t>
      </w:r>
      <w:r w:rsidRPr="00E74787">
        <w:rPr>
          <w:spacing w:val="18"/>
        </w:rPr>
        <w:t xml:space="preserve"> </w:t>
      </w:r>
      <w:r w:rsidRPr="00E74787">
        <w:t>of</w:t>
      </w:r>
      <w:r w:rsidRPr="00E74787">
        <w:rPr>
          <w:spacing w:val="18"/>
        </w:rPr>
        <w:t xml:space="preserve"> </w:t>
      </w:r>
      <w:r w:rsidRPr="00E74787">
        <w:t>the</w:t>
      </w:r>
      <w:r w:rsidRPr="00E74787">
        <w:rPr>
          <w:spacing w:val="18"/>
        </w:rPr>
        <w:t xml:space="preserve"> </w:t>
      </w:r>
      <w:r w:rsidRPr="00E74787">
        <w:t>stat</w:t>
      </w:r>
      <w:r w:rsidRPr="00E74787">
        <w:rPr>
          <w:spacing w:val="-1"/>
        </w:rPr>
        <w:t>e</w:t>
      </w:r>
      <w:r w:rsidRPr="00E74787">
        <w:t>, or</w:t>
      </w:r>
      <w:r w:rsidRPr="00E74787">
        <w:rPr>
          <w:spacing w:val="4"/>
        </w:rPr>
        <w:t xml:space="preserve"> </w:t>
      </w:r>
      <w:r w:rsidRPr="00E74787">
        <w:rPr>
          <w:spacing w:val="-1"/>
        </w:rPr>
        <w:t>a</w:t>
      </w:r>
      <w:r w:rsidRPr="00E74787">
        <w:rPr>
          <w:spacing w:val="2"/>
        </w:rPr>
        <w:t>n</w:t>
      </w:r>
      <w:r w:rsidRPr="00E74787">
        <w:t xml:space="preserve">y </w:t>
      </w:r>
      <w:r w:rsidRPr="00E74787">
        <w:rPr>
          <w:spacing w:val="5"/>
        </w:rPr>
        <w:t xml:space="preserve">political </w:t>
      </w:r>
      <w:r w:rsidRPr="00E74787">
        <w:t>subdivis</w:t>
      </w:r>
      <w:r w:rsidRPr="00E74787">
        <w:rPr>
          <w:spacing w:val="-1"/>
        </w:rPr>
        <w:t>i</w:t>
      </w:r>
      <w:r w:rsidRPr="00E74787">
        <w:t>on</w:t>
      </w:r>
      <w:r w:rsidRPr="00E74787">
        <w:rPr>
          <w:spacing w:val="5"/>
        </w:rPr>
        <w:t xml:space="preserve"> </w:t>
      </w:r>
      <w:r w:rsidRPr="00E74787">
        <w:t>the</w:t>
      </w:r>
      <w:r w:rsidRPr="00E74787">
        <w:rPr>
          <w:spacing w:val="-1"/>
        </w:rPr>
        <w:t>re</w:t>
      </w:r>
      <w:r w:rsidRPr="00E74787">
        <w:t>o</w:t>
      </w:r>
      <w:r w:rsidRPr="00E74787">
        <w:rPr>
          <w:spacing w:val="-1"/>
        </w:rPr>
        <w:t>f</w:t>
      </w:r>
      <w:r w:rsidRPr="00E74787">
        <w:t>,</w:t>
      </w:r>
      <w:r w:rsidRPr="00E74787">
        <w:rPr>
          <w:spacing w:val="5"/>
        </w:rPr>
        <w:t xml:space="preserve"> </w:t>
      </w:r>
      <w:r w:rsidRPr="00E74787">
        <w:t>are</w:t>
      </w:r>
      <w:r w:rsidRPr="00E74787">
        <w:rPr>
          <w:spacing w:val="2"/>
        </w:rPr>
        <w:t xml:space="preserve"> further </w:t>
      </w:r>
      <w:r w:rsidRPr="00E74787">
        <w:rPr>
          <w:spacing w:val="-1"/>
        </w:rPr>
        <w:t>a</w:t>
      </w:r>
      <w:r w:rsidRPr="00E74787">
        <w:t>uthoriz</w:t>
      </w:r>
      <w:r w:rsidRPr="00E74787">
        <w:rPr>
          <w:spacing w:val="-1"/>
        </w:rPr>
        <w:t>e</w:t>
      </w:r>
      <w:r w:rsidRPr="00E74787">
        <w:t>d</w:t>
      </w:r>
      <w:r w:rsidRPr="00E74787">
        <w:rPr>
          <w:spacing w:val="3"/>
        </w:rPr>
        <w:t xml:space="preserve"> </w:t>
      </w:r>
      <w:r w:rsidRPr="00E74787">
        <w:rPr>
          <w:spacing w:val="-1"/>
        </w:rPr>
        <w:t>a</w:t>
      </w:r>
      <w:r w:rsidRPr="00E74787">
        <w:t>nd</w:t>
      </w:r>
      <w:r w:rsidRPr="00E74787">
        <w:rPr>
          <w:spacing w:val="3"/>
        </w:rPr>
        <w:t xml:space="preserve"> </w:t>
      </w:r>
      <w:r w:rsidRPr="00E74787">
        <w:t>di</w:t>
      </w:r>
      <w:r w:rsidRPr="00E74787">
        <w:rPr>
          <w:spacing w:val="2"/>
        </w:rPr>
        <w:t>r</w:t>
      </w:r>
      <w:r w:rsidRPr="00E74787">
        <w:rPr>
          <w:spacing w:val="-1"/>
        </w:rPr>
        <w:t>ec</w:t>
      </w:r>
      <w:r w:rsidRPr="00E74787">
        <w:t>ted to take all actions necessary to preserve the security and confidentiality of any data related to this emergency, including the execution of Memoranda of Understanding (MOUs), Non-Disclosure Agreements (NDAs), and/or any other related documents.</w:t>
      </w:r>
    </w:p>
    <w:p w14:paraId="612DDFAA" w14:textId="77777777" w:rsidR="00943207" w:rsidRPr="00E74787" w:rsidRDefault="00943207" w:rsidP="000C44FD">
      <w:pPr>
        <w:pStyle w:val="1"/>
        <w:rPr>
          <w:spacing w:val="1"/>
        </w:rPr>
      </w:pPr>
      <w:r w:rsidRPr="00E74787">
        <w:rPr>
          <w:bCs/>
          <w:spacing w:val="1"/>
        </w:rPr>
        <w:t>S</w:t>
      </w:r>
      <w:r w:rsidRPr="00E74787">
        <w:rPr>
          <w:bCs/>
        </w:rPr>
        <w:t>ecti</w:t>
      </w:r>
      <w:r w:rsidRPr="00E74787">
        <w:rPr>
          <w:bCs/>
          <w:spacing w:val="1"/>
        </w:rPr>
        <w:t>o</w:t>
      </w:r>
      <w:r w:rsidRPr="00E74787">
        <w:rPr>
          <w:bCs/>
        </w:rPr>
        <w:t>n 6:</w:t>
      </w:r>
      <w:r w:rsidRPr="00E74787">
        <w:rPr>
          <w:bCs/>
        </w:rPr>
        <w:tab/>
        <w:t xml:space="preserve">Any </w:t>
      </w:r>
      <w:r w:rsidRPr="00E74787">
        <w:t>d</w:t>
      </w:r>
      <w:r w:rsidRPr="00E74787">
        <w:rPr>
          <w:spacing w:val="-1"/>
        </w:rPr>
        <w:t>e</w:t>
      </w:r>
      <w:r w:rsidRPr="00E74787">
        <w:t>p</w:t>
      </w:r>
      <w:r w:rsidRPr="00E74787">
        <w:rPr>
          <w:spacing w:val="-1"/>
        </w:rPr>
        <w:t>a</w:t>
      </w:r>
      <w:r w:rsidRPr="00E74787">
        <w:t>rtme</w:t>
      </w:r>
      <w:r w:rsidRPr="00E74787">
        <w:rPr>
          <w:spacing w:val="-1"/>
        </w:rPr>
        <w:t>n</w:t>
      </w:r>
      <w:r w:rsidRPr="00E74787">
        <w:t>ts,</w:t>
      </w:r>
      <w:r w:rsidRPr="00E74787">
        <w:rPr>
          <w:spacing w:val="20"/>
        </w:rPr>
        <w:t xml:space="preserve"> </w:t>
      </w:r>
      <w:r w:rsidRPr="00E74787">
        <w:rPr>
          <w:spacing w:val="-1"/>
        </w:rPr>
        <w:t>c</w:t>
      </w:r>
      <w:r w:rsidRPr="00E74787">
        <w:t>om</w:t>
      </w:r>
      <w:r w:rsidRPr="00E74787">
        <w:rPr>
          <w:spacing w:val="1"/>
        </w:rPr>
        <w:t>m</w:t>
      </w:r>
      <w:r w:rsidRPr="00E74787">
        <w:t>is</w:t>
      </w:r>
      <w:r w:rsidRPr="00E74787">
        <w:rPr>
          <w:spacing w:val="1"/>
        </w:rPr>
        <w:t>s</w:t>
      </w:r>
      <w:r w:rsidRPr="00E74787">
        <w:t>ions,</w:t>
      </w:r>
      <w:r w:rsidRPr="00E74787">
        <w:rPr>
          <w:spacing w:val="20"/>
        </w:rPr>
        <w:t xml:space="preserve"> </w:t>
      </w:r>
      <w:r w:rsidRPr="00E74787">
        <w:t>bo</w:t>
      </w:r>
      <w:r w:rsidRPr="00E74787">
        <w:rPr>
          <w:spacing w:val="-1"/>
        </w:rPr>
        <w:t>a</w:t>
      </w:r>
      <w:r w:rsidRPr="00E74787">
        <w:t>rds,</w:t>
      </w:r>
      <w:r w:rsidRPr="00E74787">
        <w:rPr>
          <w:spacing w:val="18"/>
        </w:rPr>
        <w:t xml:space="preserve"> </w:t>
      </w:r>
      <w:r w:rsidRPr="00E74787">
        <w:rPr>
          <w:spacing w:val="-1"/>
        </w:rPr>
        <w:t>a</w:t>
      </w:r>
      <w:r w:rsidRPr="00E74787">
        <w:t>g</w:t>
      </w:r>
      <w:r w:rsidRPr="00E74787">
        <w:rPr>
          <w:spacing w:val="-1"/>
        </w:rPr>
        <w:t>e</w:t>
      </w:r>
      <w:r w:rsidRPr="00E74787">
        <w:t>n</w:t>
      </w:r>
      <w:r w:rsidRPr="00E74787">
        <w:rPr>
          <w:spacing w:val="-1"/>
        </w:rPr>
        <w:t>c</w:t>
      </w:r>
      <w:r w:rsidRPr="00E74787">
        <w:t>ies</w:t>
      </w:r>
      <w:r w:rsidRPr="00E74787">
        <w:rPr>
          <w:spacing w:val="21"/>
        </w:rPr>
        <w:t xml:space="preserve"> </w:t>
      </w:r>
      <w:r w:rsidRPr="00E74787">
        <w:rPr>
          <w:spacing w:val="-1"/>
        </w:rPr>
        <w:t>a</w:t>
      </w:r>
      <w:r w:rsidRPr="00E74787">
        <w:t>nd</w:t>
      </w:r>
      <w:r w:rsidRPr="00E74787">
        <w:rPr>
          <w:spacing w:val="19"/>
        </w:rPr>
        <w:t xml:space="preserve"> </w:t>
      </w:r>
      <w:r w:rsidRPr="00E74787">
        <w:t>o</w:t>
      </w:r>
      <w:r w:rsidRPr="00E74787">
        <w:rPr>
          <w:spacing w:val="-1"/>
        </w:rPr>
        <w:t>f</w:t>
      </w:r>
      <w:r w:rsidRPr="00E74787">
        <w:t>fi</w:t>
      </w:r>
      <w:r w:rsidRPr="00E74787">
        <w:rPr>
          <w:spacing w:val="-1"/>
        </w:rPr>
        <w:t>c</w:t>
      </w:r>
      <w:r w:rsidRPr="00E74787">
        <w:rPr>
          <w:spacing w:val="1"/>
        </w:rPr>
        <w:t>e</w:t>
      </w:r>
      <w:r w:rsidRPr="00E74787">
        <w:t>rs</w:t>
      </w:r>
      <w:r w:rsidRPr="00E74787">
        <w:rPr>
          <w:spacing w:val="18"/>
        </w:rPr>
        <w:t xml:space="preserve"> </w:t>
      </w:r>
      <w:r w:rsidRPr="00E74787">
        <w:t>of</w:t>
      </w:r>
      <w:r w:rsidRPr="00E74787">
        <w:rPr>
          <w:spacing w:val="18"/>
        </w:rPr>
        <w:t xml:space="preserve"> </w:t>
      </w:r>
      <w:r w:rsidRPr="00E74787">
        <w:t>the</w:t>
      </w:r>
      <w:r w:rsidRPr="00E74787">
        <w:rPr>
          <w:spacing w:val="18"/>
        </w:rPr>
        <w:t xml:space="preserve"> s</w:t>
      </w:r>
      <w:r w:rsidRPr="00E74787">
        <w:t>tat</w:t>
      </w:r>
      <w:r w:rsidRPr="00E74787">
        <w:rPr>
          <w:spacing w:val="-1"/>
        </w:rPr>
        <w:t>e</w:t>
      </w:r>
      <w:r w:rsidRPr="00E74787">
        <w:t>, or</w:t>
      </w:r>
      <w:r w:rsidRPr="00E74787">
        <w:rPr>
          <w:spacing w:val="4"/>
        </w:rPr>
        <w:t xml:space="preserve"> </w:t>
      </w:r>
      <w:r w:rsidRPr="00E74787">
        <w:rPr>
          <w:spacing w:val="-1"/>
        </w:rPr>
        <w:t>a</w:t>
      </w:r>
      <w:r w:rsidRPr="00E74787">
        <w:rPr>
          <w:spacing w:val="2"/>
        </w:rPr>
        <w:t>n</w:t>
      </w:r>
      <w:r w:rsidRPr="00E74787">
        <w:t>y pol</w:t>
      </w:r>
      <w:r w:rsidRPr="00E74787">
        <w:rPr>
          <w:spacing w:val="1"/>
        </w:rPr>
        <w:t>i</w:t>
      </w:r>
      <w:r w:rsidRPr="00E74787">
        <w:t>t</w:t>
      </w:r>
      <w:r w:rsidRPr="00E74787">
        <w:rPr>
          <w:spacing w:val="1"/>
        </w:rPr>
        <w:t>i</w:t>
      </w:r>
      <w:r w:rsidRPr="00E74787">
        <w:rPr>
          <w:spacing w:val="-1"/>
        </w:rPr>
        <w:t>ca</w:t>
      </w:r>
      <w:r w:rsidRPr="00E74787">
        <w:t>l</w:t>
      </w:r>
      <w:r w:rsidRPr="00E74787">
        <w:rPr>
          <w:spacing w:val="5"/>
        </w:rPr>
        <w:t xml:space="preserve"> </w:t>
      </w:r>
      <w:r w:rsidRPr="00E74787">
        <w:t>subdivis</w:t>
      </w:r>
      <w:r w:rsidRPr="00E74787">
        <w:rPr>
          <w:spacing w:val="-1"/>
        </w:rPr>
        <w:t>i</w:t>
      </w:r>
      <w:r w:rsidRPr="00E74787">
        <w:t>on</w:t>
      </w:r>
      <w:r w:rsidRPr="00E74787">
        <w:rPr>
          <w:spacing w:val="5"/>
        </w:rPr>
        <w:t xml:space="preserve"> </w:t>
      </w:r>
      <w:r w:rsidRPr="00E74787">
        <w:t>the</w:t>
      </w:r>
      <w:r w:rsidRPr="00E74787">
        <w:rPr>
          <w:spacing w:val="-1"/>
        </w:rPr>
        <w:t>re</w:t>
      </w:r>
      <w:r w:rsidRPr="00E74787">
        <w:t>o</w:t>
      </w:r>
      <w:r w:rsidRPr="00E74787">
        <w:rPr>
          <w:spacing w:val="-1"/>
        </w:rPr>
        <w:t>f,</w:t>
      </w:r>
      <w:r w:rsidRPr="00E74787">
        <w:t xml:space="preserve"> that may be affected by this cybersecurity emergency are directed to work with state officials to ensure there is a coordinated response to this event and are further directed to comply with the requirements of the Database Security Breach Notification Law, R.S. 51:3071 </w:t>
      </w:r>
      <w:r w:rsidRPr="00E74787">
        <w:rPr>
          <w:i/>
        </w:rPr>
        <w:t>et seq</w:t>
      </w:r>
      <w:r w:rsidRPr="00E74787">
        <w:t>.</w:t>
      </w:r>
    </w:p>
    <w:p w14:paraId="37EA5F70" w14:textId="77777777" w:rsidR="00943207" w:rsidRPr="00E74787" w:rsidRDefault="00943207" w:rsidP="000C44FD">
      <w:pPr>
        <w:pStyle w:val="1"/>
      </w:pPr>
      <w:r w:rsidRPr="00E74787">
        <w:t>Section 7:</w:t>
      </w:r>
      <w:r w:rsidRPr="00E74787">
        <w:tab/>
        <w:t xml:space="preserve">Pursuant to R.S. 29:724(D)(1), the Louisiana Procurement Code (R.S. 39:1551 </w:t>
      </w:r>
      <w:r w:rsidRPr="00E74787">
        <w:rPr>
          <w:i/>
        </w:rPr>
        <w:t>et seq</w:t>
      </w:r>
      <w:r w:rsidRPr="00E74787">
        <w:t xml:space="preserve">.), Louisiana Public Bid Law (R.S. 38:2211, </w:t>
      </w:r>
      <w:r w:rsidRPr="00E74787">
        <w:rPr>
          <w:i/>
        </w:rPr>
        <w:t>et seq</w:t>
      </w:r>
      <w:r w:rsidRPr="00E74787">
        <w:t>.), and the Louisiana Information Technology Procurement Code (R.S. 39:196-200), and their corresponding rules and regulations are hereby suspended if strict compliance therewith would in any way prevent, hinder, or delay necessary action in coping with this emergency.</w:t>
      </w:r>
    </w:p>
    <w:p w14:paraId="355C2DFF" w14:textId="77777777" w:rsidR="00943207" w:rsidRPr="00E74787" w:rsidRDefault="00943207" w:rsidP="000C44FD">
      <w:pPr>
        <w:pStyle w:val="1"/>
      </w:pPr>
      <w:r w:rsidRPr="00E74787">
        <w:rPr>
          <w:spacing w:val="1"/>
        </w:rPr>
        <w:t>S</w:t>
      </w:r>
      <w:r w:rsidRPr="00E74787">
        <w:t>ecti</w:t>
      </w:r>
      <w:r w:rsidRPr="00E74787">
        <w:rPr>
          <w:spacing w:val="1"/>
        </w:rPr>
        <w:t>o</w:t>
      </w:r>
      <w:r w:rsidRPr="00E74787">
        <w:t>n 8:</w:t>
      </w:r>
      <w:r w:rsidRPr="00E74787">
        <w:rPr>
          <w:bCs/>
        </w:rPr>
        <w:tab/>
      </w:r>
      <w:r w:rsidRPr="00E74787">
        <w:t>This Order is effective Friday, July 10, 2026, and shall continue in effect until Sunday, August 9, 2026, unless terminated sooner.</w:t>
      </w:r>
    </w:p>
    <w:p w14:paraId="2C5D4F1A" w14:textId="77777777" w:rsidR="00943207" w:rsidRDefault="00943207" w:rsidP="000C44FD">
      <w:pPr>
        <w:pStyle w:val="ExoNormal"/>
      </w:pPr>
      <w:r w:rsidRPr="00E74787">
        <w:rPr>
          <w:bCs/>
        </w:rPr>
        <w:t xml:space="preserve">IN WITNESS WHEREOF, </w:t>
      </w:r>
      <w:r w:rsidRPr="00E74787">
        <w:t>I have set my hand officially and caused to be affixed the Great Seal of Louisiana in the City of Baton Rouge, on this 10</w:t>
      </w:r>
      <w:r w:rsidRPr="00E74787">
        <w:rPr>
          <w:vertAlign w:val="superscript"/>
        </w:rPr>
        <w:t>th</w:t>
      </w:r>
      <w:r w:rsidRPr="00E74787">
        <w:t xml:space="preserve"> day of July, 2026.</w:t>
      </w:r>
    </w:p>
    <w:p w14:paraId="12B06C85" w14:textId="77777777" w:rsidR="00943207" w:rsidRDefault="00943207" w:rsidP="000C44FD">
      <w:pPr>
        <w:pStyle w:val="RegSignature"/>
      </w:pPr>
    </w:p>
    <w:p w14:paraId="153FD627" w14:textId="77777777" w:rsidR="00943207" w:rsidRDefault="00943207" w:rsidP="000C44FD">
      <w:pPr>
        <w:pStyle w:val="RegSignature"/>
      </w:pPr>
      <w:r>
        <w:t>Jeff Landry</w:t>
      </w:r>
    </w:p>
    <w:p w14:paraId="4D07539C" w14:textId="77777777" w:rsidR="00943207" w:rsidRDefault="00943207" w:rsidP="000C44FD">
      <w:pPr>
        <w:pStyle w:val="RegSignature"/>
      </w:pPr>
      <w:r>
        <w:t>Governor</w:t>
      </w:r>
    </w:p>
    <w:p w14:paraId="2D1F5F6A" w14:textId="77777777" w:rsidR="00943207" w:rsidRDefault="00943207" w:rsidP="000C44FD">
      <w:pPr>
        <w:pStyle w:val="ExoSecOfState"/>
      </w:pPr>
      <w:r>
        <w:t>ATTEST BY</w:t>
      </w:r>
    </w:p>
    <w:p w14:paraId="279C33E2" w14:textId="77777777" w:rsidR="00943207" w:rsidRDefault="00943207" w:rsidP="000C44FD">
      <w:pPr>
        <w:pStyle w:val="ExoSecOfState"/>
      </w:pPr>
      <w:r>
        <w:t>THE GOVERNOR</w:t>
      </w:r>
    </w:p>
    <w:p w14:paraId="2E7F3ECB" w14:textId="77777777" w:rsidR="00943207" w:rsidRDefault="00943207" w:rsidP="000C44FD">
      <w:pPr>
        <w:pStyle w:val="ExoSecOfState"/>
      </w:pPr>
      <w:r>
        <w:t>Nancy Landry</w:t>
      </w:r>
    </w:p>
    <w:p w14:paraId="6298B57B" w14:textId="77777777" w:rsidR="00943207" w:rsidRDefault="00943207" w:rsidP="000C44FD">
      <w:pPr>
        <w:pStyle w:val="ExoSecOfState"/>
      </w:pPr>
      <w:r>
        <w:t>Secretary of State</w:t>
      </w:r>
    </w:p>
    <w:p w14:paraId="17771151" w14:textId="77777777" w:rsidR="00943207" w:rsidRPr="00E74787" w:rsidRDefault="00943207" w:rsidP="000C44FD">
      <w:pPr>
        <w:pStyle w:val="RegLogNumber"/>
      </w:pPr>
      <w:r>
        <w:t>2608#</w:t>
      </w:r>
      <w:bookmarkEnd w:id="4"/>
      <w:r>
        <w:t>058</w:t>
      </w:r>
    </w:p>
    <w:p w14:paraId="04C8BAA3" w14:textId="77777777" w:rsidR="00943207" w:rsidRPr="00943207" w:rsidRDefault="00943207" w:rsidP="00943207"/>
    <w:p w14:paraId="04B555A9" w14:textId="77777777" w:rsidR="00943207" w:rsidRDefault="00943207" w:rsidP="00D61EE2">
      <w:pPr>
        <w:pStyle w:val="RegItemFirstLine"/>
      </w:pPr>
      <w:r>
        <w:t>EXECUTIVE ORDER JML 26-064</w:t>
      </w:r>
    </w:p>
    <w:p w14:paraId="3BA3FA87" w14:textId="77777777" w:rsidR="00943207" w:rsidRDefault="00943207" w:rsidP="00D61EE2">
      <w:pPr>
        <w:pStyle w:val="RegItemTitle"/>
      </w:pPr>
      <w:r w:rsidRPr="00D60F53">
        <w:t>Flags at Half-Staff</w:t>
      </w:r>
      <w:r>
        <w:t>—</w:t>
      </w:r>
      <w:r w:rsidRPr="00D60F53">
        <w:t>Senator Larry Selders</w:t>
      </w:r>
    </w:p>
    <w:p w14:paraId="1CCEE77C" w14:textId="77777777" w:rsidR="00943207" w:rsidRPr="00D60F53" w:rsidRDefault="00943207" w:rsidP="00D61EE2">
      <w:pPr>
        <w:pStyle w:val="ExoNormal"/>
      </w:pPr>
      <w:r w:rsidRPr="00D60F53">
        <w:rPr>
          <w:bCs/>
        </w:rPr>
        <w:t xml:space="preserve">WHEREAS, </w:t>
      </w:r>
      <w:r w:rsidRPr="00D60F53">
        <w:t>Larry Selders, a Louisiana State Senator, tragically passed away on July 7, 2026, leaving behind a legacy of love and service:</w:t>
      </w:r>
    </w:p>
    <w:p w14:paraId="48933CBD" w14:textId="77777777" w:rsidR="00943207" w:rsidRPr="00D60F53" w:rsidRDefault="00943207" w:rsidP="00D61EE2">
      <w:pPr>
        <w:pStyle w:val="ExoNormal"/>
      </w:pPr>
      <w:r w:rsidRPr="00D60F53">
        <w:rPr>
          <w:bCs/>
        </w:rPr>
        <w:t xml:space="preserve">WHEREAS, </w:t>
      </w:r>
      <w:r w:rsidRPr="00D60F53">
        <w:t>he was married to Kendra and together they had two sons, Larry Jr. and Luke;</w:t>
      </w:r>
    </w:p>
    <w:p w14:paraId="538DFD72" w14:textId="77777777" w:rsidR="00943207" w:rsidRPr="00D60F53" w:rsidRDefault="00943207" w:rsidP="00D61EE2">
      <w:pPr>
        <w:pStyle w:val="ExoNormal"/>
      </w:pPr>
      <w:r w:rsidRPr="00D60F53">
        <w:rPr>
          <w:bCs/>
        </w:rPr>
        <w:t>WHEREAS</w:t>
      </w:r>
      <w:r w:rsidRPr="00D60F53">
        <w:t>, he attended Louisiana State University Laboratory School and earned a Bachelor of Science in Social Work from Southern University and A&amp;M College in 2005;</w:t>
      </w:r>
    </w:p>
    <w:p w14:paraId="0940CFA4" w14:textId="77777777" w:rsidR="00943207" w:rsidRPr="00D60F53" w:rsidRDefault="00943207" w:rsidP="00D61EE2">
      <w:pPr>
        <w:pStyle w:val="ExoNormal"/>
      </w:pPr>
      <w:r w:rsidRPr="00D60F53">
        <w:rPr>
          <w:bCs/>
        </w:rPr>
        <w:lastRenderedPageBreak/>
        <w:t>WHEREAS</w:t>
      </w:r>
      <w:r w:rsidRPr="00D60F53">
        <w:t xml:space="preserve">, he was a proud member of the Omega Psi Phi Fraternity, Inc.; </w:t>
      </w:r>
    </w:p>
    <w:p w14:paraId="166A7629" w14:textId="77777777" w:rsidR="00943207" w:rsidRPr="00D60F53" w:rsidRDefault="00943207" w:rsidP="00D61EE2">
      <w:pPr>
        <w:pStyle w:val="ExoNormal"/>
      </w:pPr>
      <w:r w:rsidRPr="00D60F53">
        <w:rPr>
          <w:bCs/>
        </w:rPr>
        <w:t xml:space="preserve">WHEREAS, </w:t>
      </w:r>
      <w:r w:rsidRPr="00D60F53">
        <w:t>he was a true public servant, serving the community on the Baton Rouge Recreation and Park Commission, as well as the Baton Rouge Metropolitan Airport Commission;</w:t>
      </w:r>
    </w:p>
    <w:p w14:paraId="0D43C37C" w14:textId="77777777" w:rsidR="00943207" w:rsidRPr="00D60F53" w:rsidRDefault="00943207" w:rsidP="00D61EE2">
      <w:pPr>
        <w:pStyle w:val="ExoNormal"/>
      </w:pPr>
      <w:r w:rsidRPr="00D60F53">
        <w:rPr>
          <w:bCs/>
        </w:rPr>
        <w:t>WHEREAS</w:t>
      </w:r>
      <w:r w:rsidRPr="00D60F53">
        <w:t xml:space="preserve">, he was elected to the Democratic Parish Executive Committee in 2012 where he served two terms; </w:t>
      </w:r>
    </w:p>
    <w:p w14:paraId="7BAF358C" w14:textId="77777777" w:rsidR="00943207" w:rsidRPr="00D60F53" w:rsidRDefault="00943207" w:rsidP="00D61EE2">
      <w:pPr>
        <w:pStyle w:val="ExoNormal"/>
      </w:pPr>
      <w:r w:rsidRPr="00D60F53">
        <w:rPr>
          <w:bCs/>
        </w:rPr>
        <w:t>WHEREAS,</w:t>
      </w:r>
      <w:r w:rsidRPr="00D60F53">
        <w:t xml:space="preserve"> he continued his public service by representing his community in the Louisiana Legislature, having been elected to the House of Representatives in 2019 and State Senate in 2025;</w:t>
      </w:r>
    </w:p>
    <w:p w14:paraId="0BA64355" w14:textId="77777777" w:rsidR="00943207" w:rsidRPr="00D60F53" w:rsidRDefault="00943207" w:rsidP="00D61EE2">
      <w:pPr>
        <w:pStyle w:val="ExoNormal"/>
      </w:pPr>
      <w:r w:rsidRPr="00D60F53">
        <w:rPr>
          <w:bCs/>
        </w:rPr>
        <w:t xml:space="preserve">WHEREAS, </w:t>
      </w:r>
      <w:r w:rsidRPr="00D60F53">
        <w:t>he served on the Senate Finance Committee, the Labor and Industrial Relations Committee, and the Joint Legislative Committee on the Budget;</w:t>
      </w:r>
    </w:p>
    <w:p w14:paraId="0471D6F2" w14:textId="77777777" w:rsidR="00943207" w:rsidRPr="00D60F53" w:rsidRDefault="00943207" w:rsidP="00D61EE2">
      <w:pPr>
        <w:pStyle w:val="ExoNormal"/>
      </w:pPr>
      <w:r w:rsidRPr="00D60F53">
        <w:rPr>
          <w:bCs/>
        </w:rPr>
        <w:t>WHEREAS</w:t>
      </w:r>
      <w:r w:rsidRPr="00D60F53">
        <w:t>, while in the Legislature, he was a member of the Louisiana Legislative Black Caucus, the Democratic Caucus, and the Capital Region Legislative Delegation;</w:t>
      </w:r>
    </w:p>
    <w:p w14:paraId="1E4FA4D5" w14:textId="77777777" w:rsidR="00943207" w:rsidRPr="00D60F53" w:rsidRDefault="00943207" w:rsidP="00D61EE2">
      <w:pPr>
        <w:pStyle w:val="ExoNormal"/>
      </w:pPr>
      <w:r w:rsidRPr="00D60F53">
        <w:rPr>
          <w:bCs/>
        </w:rPr>
        <w:t>WHEREAS</w:t>
      </w:r>
      <w:r w:rsidRPr="00D60F53">
        <w:t>, his policy work revolved around his community, centering around public health, education, parks and recreation, and community development;</w:t>
      </w:r>
    </w:p>
    <w:p w14:paraId="70734B94" w14:textId="77777777" w:rsidR="00943207" w:rsidRPr="00D60F53" w:rsidRDefault="00943207" w:rsidP="00D61EE2">
      <w:pPr>
        <w:pStyle w:val="ExoNormal"/>
      </w:pPr>
      <w:r w:rsidRPr="00D60F53">
        <w:rPr>
          <w:bCs/>
        </w:rPr>
        <w:t>WHEREAS</w:t>
      </w:r>
      <w:r w:rsidRPr="00D60F53">
        <w:t>, he found access to mental health treatment especially important, often authoring legislation surrounding behavioral health, one of which allowed school districts to offer mental health screenings in schools;</w:t>
      </w:r>
    </w:p>
    <w:p w14:paraId="1227628E" w14:textId="77777777" w:rsidR="00943207" w:rsidRPr="00D60F53" w:rsidRDefault="00943207" w:rsidP="00D61EE2">
      <w:pPr>
        <w:pStyle w:val="ExoNormal"/>
      </w:pPr>
      <w:r w:rsidRPr="00D60F53">
        <w:rPr>
          <w:bCs/>
        </w:rPr>
        <w:t>WHEREAS</w:t>
      </w:r>
      <w:r w:rsidRPr="00D60F53">
        <w:t xml:space="preserve">, his dedication to mental health was reflected in his life outside of the Legislature through his substance abuse and mental health clinic; </w:t>
      </w:r>
    </w:p>
    <w:p w14:paraId="0BFCA9BF" w14:textId="77777777" w:rsidR="00943207" w:rsidRPr="00D60F53" w:rsidRDefault="00943207" w:rsidP="00D61EE2">
      <w:pPr>
        <w:pStyle w:val="ExoNormal"/>
      </w:pPr>
      <w:r w:rsidRPr="00D60F53">
        <w:rPr>
          <w:bCs/>
        </w:rPr>
        <w:t>WHEREAS</w:t>
      </w:r>
      <w:r w:rsidRPr="00D60F53">
        <w:t xml:space="preserve">, his work as a businessman also reflected his love for his community, as he invested in real estate in the community to foster growth there; </w:t>
      </w:r>
    </w:p>
    <w:p w14:paraId="7708B4CA" w14:textId="77777777" w:rsidR="00943207" w:rsidRPr="00D60F53" w:rsidRDefault="00943207" w:rsidP="00D61EE2">
      <w:pPr>
        <w:pStyle w:val="ExoNormal"/>
      </w:pPr>
      <w:r w:rsidRPr="00D60F53">
        <w:rPr>
          <w:bCs/>
        </w:rPr>
        <w:t>WHEREAS,</w:t>
      </w:r>
      <w:r w:rsidRPr="00D60F53">
        <w:t xml:space="preserve"> he was known by his colleagues to serve with passion and dedication;</w:t>
      </w:r>
    </w:p>
    <w:p w14:paraId="240C9043" w14:textId="77777777" w:rsidR="00943207" w:rsidRPr="00D60F53" w:rsidRDefault="00943207" w:rsidP="00D61EE2">
      <w:pPr>
        <w:pStyle w:val="ExoNormal"/>
      </w:pPr>
      <w:r w:rsidRPr="00D60F53">
        <w:rPr>
          <w:bCs/>
        </w:rPr>
        <w:t>WHEREAS</w:t>
      </w:r>
      <w:r w:rsidRPr="00D60F53">
        <w:t>, he constantly gave his all to everyone and did so with positivity and kindness, described by those around him as a light in this world;</w:t>
      </w:r>
    </w:p>
    <w:p w14:paraId="11071CF4" w14:textId="77777777" w:rsidR="00943207" w:rsidRPr="00D60F53" w:rsidRDefault="00943207" w:rsidP="00D61EE2">
      <w:pPr>
        <w:pStyle w:val="ExoNormal"/>
      </w:pPr>
      <w:r w:rsidRPr="00D60F53">
        <w:rPr>
          <w:bCs/>
        </w:rPr>
        <w:t>WHEREAS,</w:t>
      </w:r>
      <w:r w:rsidRPr="00D60F53">
        <w:t xml:space="preserve"> he will be remembered for his tireless commitment, kindness, passion, and advocacy;</w:t>
      </w:r>
    </w:p>
    <w:p w14:paraId="58EE8279" w14:textId="77777777" w:rsidR="00943207" w:rsidRPr="00D60F53" w:rsidRDefault="00943207" w:rsidP="00D61EE2">
      <w:pPr>
        <w:pStyle w:val="ExoNormal"/>
      </w:pPr>
      <w:r w:rsidRPr="00D60F53">
        <w:rPr>
          <w:bCs/>
        </w:rPr>
        <w:t xml:space="preserve">WHEREAS, </w:t>
      </w:r>
      <w:r w:rsidRPr="00D60F53">
        <w:t>the State of Louisiana is indebted to him for his years of leadership and contributions;</w:t>
      </w:r>
    </w:p>
    <w:p w14:paraId="511040E2" w14:textId="77777777" w:rsidR="00943207" w:rsidRPr="00D60F53" w:rsidRDefault="00943207" w:rsidP="00D61EE2">
      <w:pPr>
        <w:pStyle w:val="ExoNormal"/>
      </w:pPr>
      <w:r w:rsidRPr="00D60F53">
        <w:rPr>
          <w:bCs/>
        </w:rPr>
        <w:t>NOW THEREFORE, I,</w:t>
      </w:r>
      <w:r w:rsidRPr="00D60F53">
        <w:t xml:space="preserve"> </w:t>
      </w:r>
      <w:r w:rsidRPr="00D60F53">
        <w:rPr>
          <w:bCs/>
        </w:rPr>
        <w:t xml:space="preserve">JEFF LANDRY, </w:t>
      </w:r>
      <w:r w:rsidRPr="00D60F53">
        <w:t>Governor of the State of Louisiana, by virtue of the authority vested by the Constitution and the laws of the State of Louisiana, do hereby order and direct as follows:</w:t>
      </w:r>
    </w:p>
    <w:p w14:paraId="779611A3" w14:textId="77777777" w:rsidR="00943207" w:rsidRPr="00D60F53" w:rsidRDefault="00943207" w:rsidP="00D61EE2">
      <w:pPr>
        <w:pStyle w:val="1"/>
      </w:pPr>
      <w:r w:rsidRPr="00D60F53">
        <w:t>Section 1:</w:t>
      </w:r>
      <w:r w:rsidRPr="00D60F53">
        <w:tab/>
        <w:t>As an expression of respect and to honor Senator Larry Selders, the flags of the United States and the State of Louisiana shall be flown at half-staff over the State Capitol and all state buildings from sunrise until sunset on July 14, 2026.</w:t>
      </w:r>
    </w:p>
    <w:p w14:paraId="532F9DDD" w14:textId="77777777" w:rsidR="00943207" w:rsidRPr="00D60F53" w:rsidRDefault="00943207" w:rsidP="00D61EE2">
      <w:pPr>
        <w:pStyle w:val="1"/>
      </w:pPr>
      <w:r w:rsidRPr="00D60F53">
        <w:t>Section 2:</w:t>
      </w:r>
      <w:r>
        <w:tab/>
      </w:r>
      <w:r w:rsidRPr="00D60F53">
        <w:t>This Order is effective upon signature and shall remain in effect until sunset, July 14, 2026.</w:t>
      </w:r>
    </w:p>
    <w:p w14:paraId="64C806AB" w14:textId="77777777" w:rsidR="00943207" w:rsidRDefault="00943207" w:rsidP="00D61EE2">
      <w:pPr>
        <w:pStyle w:val="ExoNormal"/>
        <w:rPr>
          <w:bCs/>
        </w:rPr>
      </w:pPr>
      <w:r w:rsidRPr="00D60F53">
        <w:rPr>
          <w:bCs/>
        </w:rPr>
        <w:t xml:space="preserve">IN WITNESS WHEREOF, </w:t>
      </w:r>
      <w:r w:rsidRPr="00D60F53">
        <w:t>I have set my hand officially and caused to be affixed the Great Seal of Louisiana in the City of Baton Rouge, on this 13</w:t>
      </w:r>
      <w:r w:rsidRPr="00D60F53">
        <w:rPr>
          <w:vertAlign w:val="superscript"/>
        </w:rPr>
        <w:t>th</w:t>
      </w:r>
      <w:r w:rsidRPr="00D60F53">
        <w:t xml:space="preserve"> day of July 2026.</w:t>
      </w:r>
    </w:p>
    <w:p w14:paraId="68B4B0B9" w14:textId="77777777" w:rsidR="00943207" w:rsidRDefault="00943207" w:rsidP="00D61EE2">
      <w:pPr>
        <w:pStyle w:val="RegSignature"/>
      </w:pPr>
    </w:p>
    <w:p w14:paraId="76ECAAE8" w14:textId="77777777" w:rsidR="00943207" w:rsidRDefault="00943207" w:rsidP="00D61EE2">
      <w:pPr>
        <w:pStyle w:val="RegSignature"/>
      </w:pPr>
      <w:r>
        <w:t>Jeff Landry</w:t>
      </w:r>
    </w:p>
    <w:p w14:paraId="7065703A" w14:textId="77777777" w:rsidR="00943207" w:rsidRDefault="00943207" w:rsidP="00D61EE2">
      <w:pPr>
        <w:pStyle w:val="RegSignature"/>
      </w:pPr>
      <w:r>
        <w:t>Governor</w:t>
      </w:r>
    </w:p>
    <w:p w14:paraId="7E8F5B46" w14:textId="77777777" w:rsidR="00943207" w:rsidRDefault="00943207" w:rsidP="00D61EE2">
      <w:pPr>
        <w:pStyle w:val="ExoSecOfState"/>
      </w:pPr>
      <w:r>
        <w:t>ATTEST BY</w:t>
      </w:r>
    </w:p>
    <w:p w14:paraId="5CAD9685" w14:textId="77777777" w:rsidR="00943207" w:rsidRDefault="00943207" w:rsidP="00D61EE2">
      <w:pPr>
        <w:pStyle w:val="ExoSecOfState"/>
      </w:pPr>
      <w:r>
        <w:t>THE GOVERNOR</w:t>
      </w:r>
    </w:p>
    <w:p w14:paraId="0A746388" w14:textId="77777777" w:rsidR="00943207" w:rsidRDefault="00943207" w:rsidP="00D61EE2">
      <w:pPr>
        <w:pStyle w:val="ExoSecOfState"/>
      </w:pPr>
      <w:r>
        <w:t>Nancy Landry</w:t>
      </w:r>
    </w:p>
    <w:p w14:paraId="2E1B0B82" w14:textId="77777777" w:rsidR="00943207" w:rsidRDefault="00943207" w:rsidP="00D61EE2">
      <w:pPr>
        <w:pStyle w:val="ExoSecOfState"/>
      </w:pPr>
      <w:r>
        <w:t>Secretary of State</w:t>
      </w:r>
    </w:p>
    <w:p w14:paraId="5E954F6B" w14:textId="77777777" w:rsidR="00943207" w:rsidRPr="00D60F53" w:rsidRDefault="00943207" w:rsidP="00D61EE2">
      <w:pPr>
        <w:pStyle w:val="RegLogNumber"/>
      </w:pPr>
      <w:r>
        <w:t>2608#059</w:t>
      </w:r>
    </w:p>
    <w:p w14:paraId="33082535" w14:textId="77777777" w:rsidR="00943207" w:rsidRPr="00943207" w:rsidRDefault="00943207" w:rsidP="00943207"/>
    <w:p w14:paraId="492D06D8" w14:textId="77777777" w:rsidR="00943207" w:rsidRDefault="00943207" w:rsidP="000B2E54">
      <w:pPr>
        <w:pStyle w:val="RegItemFirstLine"/>
      </w:pPr>
      <w:r>
        <w:t>EXECUTIVE ORDER JML 26-065</w:t>
      </w:r>
    </w:p>
    <w:p w14:paraId="5F6C6EA0" w14:textId="77777777" w:rsidR="00943207" w:rsidRPr="00672767" w:rsidRDefault="00943207" w:rsidP="000B2E54">
      <w:pPr>
        <w:pStyle w:val="RegItemTitle"/>
      </w:pPr>
      <w:r w:rsidRPr="00672767">
        <w:t xml:space="preserve">Flags </w:t>
      </w:r>
      <w:r>
        <w:t>a</w:t>
      </w:r>
      <w:r w:rsidRPr="00672767">
        <w:t>t Half-Staff</w:t>
      </w:r>
      <w:r>
        <w:br/>
      </w:r>
      <w:r w:rsidRPr="00672767">
        <w:t xml:space="preserve">Deputy United States Marshal </w:t>
      </w:r>
      <w:r>
        <w:br/>
      </w:r>
      <w:r w:rsidRPr="00672767">
        <w:t>Michael Andrew Hanson</w:t>
      </w:r>
    </w:p>
    <w:p w14:paraId="5DDCC804" w14:textId="77777777" w:rsidR="00943207" w:rsidRPr="00672767" w:rsidRDefault="00943207" w:rsidP="000B2E54">
      <w:pPr>
        <w:pStyle w:val="ExoNormal"/>
      </w:pPr>
      <w:r w:rsidRPr="00672767">
        <w:rPr>
          <w:bCs/>
        </w:rPr>
        <w:t xml:space="preserve">WHEREAS, </w:t>
      </w:r>
      <w:r w:rsidRPr="00672767">
        <w:t>on July 13, 2026, Deputy United States Marshal Michael Andrew Hanson tragically lost his life while bravely serving in the line of duty;</w:t>
      </w:r>
      <w:r w:rsidRPr="00672767">
        <w:rPr>
          <w:bCs/>
        </w:rPr>
        <w:t xml:space="preserve"> </w:t>
      </w:r>
    </w:p>
    <w:p w14:paraId="79F21DC3" w14:textId="77777777" w:rsidR="00943207" w:rsidRPr="00672767" w:rsidRDefault="00943207" w:rsidP="000B2E54">
      <w:pPr>
        <w:pStyle w:val="ExoNormal"/>
      </w:pPr>
      <w:r w:rsidRPr="00672767">
        <w:rPr>
          <w:bCs/>
        </w:rPr>
        <w:t>WHEREAS,</w:t>
      </w:r>
      <w:r w:rsidRPr="00672767">
        <w:t xml:space="preserve"> he was born on September 15, 1989, to Michael Dewayne Hanson and Sarah Joan Sharp Hanson;</w:t>
      </w:r>
    </w:p>
    <w:p w14:paraId="586CB9A6" w14:textId="77777777" w:rsidR="00943207" w:rsidRPr="00672767" w:rsidRDefault="00943207" w:rsidP="000B2E54">
      <w:pPr>
        <w:pStyle w:val="ExoNormal"/>
      </w:pPr>
      <w:r w:rsidRPr="00672767">
        <w:rPr>
          <w:bCs/>
        </w:rPr>
        <w:t xml:space="preserve">WHEREAS, </w:t>
      </w:r>
      <w:r w:rsidRPr="00672767">
        <w:t>he dedicated his entire life to serving his community, and his life reflects the heroic and remarkable service he offered to others;</w:t>
      </w:r>
    </w:p>
    <w:p w14:paraId="5E1B003A" w14:textId="77777777" w:rsidR="00943207" w:rsidRPr="00672767" w:rsidRDefault="00943207" w:rsidP="000B2E54">
      <w:pPr>
        <w:pStyle w:val="ExoNormal"/>
      </w:pPr>
      <w:r w:rsidRPr="00672767">
        <w:rPr>
          <w:bCs/>
        </w:rPr>
        <w:t>WHEREAS,</w:t>
      </w:r>
      <w:r w:rsidRPr="00672767">
        <w:t xml:space="preserve"> his passion for serving and protecting his fellow Louisianians was demonstrable his entire life, as he worked toward and achieved his lifelong dream of becoming a United States Marshal;</w:t>
      </w:r>
    </w:p>
    <w:p w14:paraId="4CE492A0" w14:textId="77777777" w:rsidR="00943207" w:rsidRPr="00672767" w:rsidRDefault="00943207" w:rsidP="000B2E54">
      <w:pPr>
        <w:pStyle w:val="ExoNormal"/>
      </w:pPr>
      <w:r w:rsidRPr="00672767">
        <w:rPr>
          <w:bCs/>
        </w:rPr>
        <w:t>WHEREAS,</w:t>
      </w:r>
      <w:r w:rsidRPr="00672767">
        <w:t xml:space="preserve"> his courage, commitment, and dedication to his community were acknowledged through multiple letters of recognition and citizen compliments; </w:t>
      </w:r>
    </w:p>
    <w:p w14:paraId="77D9F0FE" w14:textId="77777777" w:rsidR="00943207" w:rsidRPr="00672767" w:rsidRDefault="00943207" w:rsidP="000B2E54">
      <w:pPr>
        <w:pStyle w:val="ExoNormal"/>
      </w:pPr>
      <w:r w:rsidRPr="00672767">
        <w:rPr>
          <w:bCs/>
        </w:rPr>
        <w:t>WHEREAS,</w:t>
      </w:r>
      <w:r w:rsidRPr="00672767">
        <w:t xml:space="preserve"> he truly exemplified outstanding law enforcement as an honorable, brave, and selfless law enforcement officer by serving his country and his community with courage and integrity;</w:t>
      </w:r>
    </w:p>
    <w:p w14:paraId="7EFF3D8D" w14:textId="77777777" w:rsidR="00943207" w:rsidRPr="00672767" w:rsidRDefault="00943207" w:rsidP="000B2E54">
      <w:pPr>
        <w:pStyle w:val="ExoNormal"/>
      </w:pPr>
      <w:r w:rsidRPr="00672767">
        <w:rPr>
          <w:bCs/>
        </w:rPr>
        <w:t xml:space="preserve">WHEREAS, </w:t>
      </w:r>
      <w:r w:rsidRPr="00672767">
        <w:t>in addition to being an exemplary law enforcement officer, he was an incredibly dedicated husband, father, and son who showed all around him love, strength, and unwavering support;</w:t>
      </w:r>
    </w:p>
    <w:p w14:paraId="20E93F0A" w14:textId="77777777" w:rsidR="00943207" w:rsidRPr="00672767" w:rsidRDefault="00943207" w:rsidP="000B2E54">
      <w:pPr>
        <w:pStyle w:val="ExoNormal"/>
      </w:pPr>
      <w:r w:rsidRPr="00672767">
        <w:rPr>
          <w:bCs/>
        </w:rPr>
        <w:t>WHEREAS,</w:t>
      </w:r>
      <w:r w:rsidRPr="00672767">
        <w:t xml:space="preserve"> his greatest joy was found at home with those he loved, and his family was the center of his world; </w:t>
      </w:r>
    </w:p>
    <w:p w14:paraId="2F241D01" w14:textId="77777777" w:rsidR="00943207" w:rsidRPr="00672767" w:rsidRDefault="00943207" w:rsidP="000B2E54">
      <w:pPr>
        <w:pStyle w:val="ExoNormal"/>
      </w:pPr>
      <w:r w:rsidRPr="00672767">
        <w:rPr>
          <w:bCs/>
        </w:rPr>
        <w:t xml:space="preserve">WHEREAS, </w:t>
      </w:r>
      <w:r w:rsidRPr="00672767">
        <w:t>his life exemplified the courage and commitment of those who stand on the Thin Blue Line, a symbol of the brave men and women who dedicate their lives to protecting our communities;</w:t>
      </w:r>
    </w:p>
    <w:p w14:paraId="177975F3" w14:textId="77777777" w:rsidR="00943207" w:rsidRPr="00672767" w:rsidRDefault="00943207" w:rsidP="000B2E54">
      <w:pPr>
        <w:pStyle w:val="ExoNormal"/>
      </w:pPr>
      <w:r w:rsidRPr="00672767">
        <w:rPr>
          <w:bCs/>
        </w:rPr>
        <w:t>WHEREAS,</w:t>
      </w:r>
      <w:r w:rsidRPr="00672767">
        <w:t xml:space="preserve"> he will be remembered for his genuine kindness and humble spirit, gentle heart, and unwavering faith and character, as well as his warm smile, compassionate heart, and remarkable ability to make all feel welcome;</w:t>
      </w:r>
    </w:p>
    <w:p w14:paraId="29AEA2CD" w14:textId="77777777" w:rsidR="00943207" w:rsidRPr="00672767" w:rsidRDefault="00943207" w:rsidP="000B2E54">
      <w:pPr>
        <w:pStyle w:val="ExoNormal"/>
      </w:pPr>
      <w:r w:rsidRPr="00672767">
        <w:rPr>
          <w:bCs/>
        </w:rPr>
        <w:t>WHEREAS,</w:t>
      </w:r>
      <w:r w:rsidRPr="00672767">
        <w:t xml:space="preserve"> he will also be remembered as a hero who made the ultimate sacrifice;</w:t>
      </w:r>
    </w:p>
    <w:p w14:paraId="2BA85CCE" w14:textId="77777777" w:rsidR="00943207" w:rsidRPr="00672767" w:rsidRDefault="00943207" w:rsidP="000B2E54">
      <w:pPr>
        <w:pStyle w:val="ExoNormal"/>
      </w:pPr>
      <w:r w:rsidRPr="00672767">
        <w:rPr>
          <w:bCs/>
        </w:rPr>
        <w:t>WHEREAS,</w:t>
      </w:r>
      <w:r w:rsidRPr="00672767">
        <w:t xml:space="preserve"> his legacy will live on in this love for his family and his honor, humility, and steadfast dedication;</w:t>
      </w:r>
    </w:p>
    <w:p w14:paraId="74FD0580" w14:textId="77777777" w:rsidR="00943207" w:rsidRPr="00672767" w:rsidRDefault="00943207" w:rsidP="000B2E54">
      <w:pPr>
        <w:pStyle w:val="ExoNormal"/>
      </w:pPr>
      <w:r w:rsidRPr="00672767">
        <w:rPr>
          <w:bCs/>
        </w:rPr>
        <w:t>WHEREAS,</w:t>
      </w:r>
      <w:r w:rsidRPr="00672767">
        <w:t xml:space="preserve"> he is survived by his loving wife, Natalie Oshee Hanson; his beloved children, Kol and Sadie; his parents, Michael Dewayne Hanson and Sarah Hanson; along with countless friends, colleagues, and members of the law enforcement community;</w:t>
      </w:r>
    </w:p>
    <w:p w14:paraId="29C90852" w14:textId="77777777" w:rsidR="00943207" w:rsidRPr="00672767" w:rsidRDefault="00943207" w:rsidP="000B2E54">
      <w:pPr>
        <w:pStyle w:val="ExoNormal"/>
      </w:pPr>
      <w:r w:rsidRPr="00672767">
        <w:rPr>
          <w:bCs/>
        </w:rPr>
        <w:t>NOW THEREFORE, I,</w:t>
      </w:r>
      <w:r w:rsidRPr="00672767">
        <w:t xml:space="preserve"> </w:t>
      </w:r>
      <w:r w:rsidRPr="00672767">
        <w:rPr>
          <w:bCs/>
        </w:rPr>
        <w:t xml:space="preserve">JEFF LANDRY, </w:t>
      </w:r>
      <w:r w:rsidRPr="00672767">
        <w:t>Governor of the State of Louisiana, by virtue of the authority vested by the Constitution and the laws of the State of Louisiana, do hereby order and direct as follows:</w:t>
      </w:r>
    </w:p>
    <w:p w14:paraId="2050FF58" w14:textId="77777777" w:rsidR="00943207" w:rsidRPr="00672767" w:rsidRDefault="00943207" w:rsidP="000B2E54">
      <w:pPr>
        <w:pStyle w:val="1"/>
      </w:pPr>
      <w:r w:rsidRPr="00672767">
        <w:t>Section 1:</w:t>
      </w:r>
      <w:r w:rsidRPr="00672767">
        <w:tab/>
        <w:t>As an expression of respect and to honor Deputy United States Marshal Michael Andrew Hanson, the flags of the United States and the State of Louisiana shall be flown at half-staff over the State Capitol and all state buildings from sunrise until sunset on July 18, 2026.</w:t>
      </w:r>
      <w:r>
        <w:t xml:space="preserve"> </w:t>
      </w:r>
    </w:p>
    <w:p w14:paraId="5E60865E" w14:textId="77777777" w:rsidR="00943207" w:rsidRPr="00672767" w:rsidRDefault="00943207" w:rsidP="000B2E54">
      <w:pPr>
        <w:pStyle w:val="1"/>
      </w:pPr>
      <w:r w:rsidRPr="00672767">
        <w:t>Section 2:</w:t>
      </w:r>
      <w:r>
        <w:tab/>
      </w:r>
      <w:r w:rsidRPr="00672767">
        <w:t>This Order is effective upon signature and shall remain in effect until sunset, July 18, 2026.</w:t>
      </w:r>
    </w:p>
    <w:p w14:paraId="380FB537" w14:textId="77777777" w:rsidR="00943207" w:rsidRDefault="00943207" w:rsidP="000B2E54">
      <w:pPr>
        <w:pStyle w:val="ExoNormal"/>
      </w:pPr>
      <w:r w:rsidRPr="00672767">
        <w:rPr>
          <w:bCs/>
        </w:rPr>
        <w:t xml:space="preserve">IN WITNESS WHEREOF, </w:t>
      </w:r>
      <w:r w:rsidRPr="00672767">
        <w:t>I have set my hand officially and caused to be affixed the Great Seal of Louisiana in the City of Baton Rouge, on this 17</w:t>
      </w:r>
      <w:r w:rsidRPr="00672767">
        <w:rPr>
          <w:vertAlign w:val="superscript"/>
        </w:rPr>
        <w:t>th</w:t>
      </w:r>
      <w:r w:rsidRPr="00672767">
        <w:t xml:space="preserve"> day of July, 2026. </w:t>
      </w:r>
    </w:p>
    <w:p w14:paraId="3BC29BA0" w14:textId="77777777" w:rsidR="00943207" w:rsidRDefault="00943207" w:rsidP="000B2E54">
      <w:pPr>
        <w:pStyle w:val="RegSignature"/>
      </w:pPr>
      <w:r>
        <w:lastRenderedPageBreak/>
        <w:t>Jeff Landry</w:t>
      </w:r>
    </w:p>
    <w:p w14:paraId="33D91866" w14:textId="77777777" w:rsidR="00943207" w:rsidRDefault="00943207" w:rsidP="000B2E54">
      <w:pPr>
        <w:pStyle w:val="RegSignature"/>
      </w:pPr>
      <w:r>
        <w:t>Governor</w:t>
      </w:r>
    </w:p>
    <w:p w14:paraId="2A89E1A4" w14:textId="77777777" w:rsidR="00943207" w:rsidRDefault="00943207" w:rsidP="000B2E54">
      <w:pPr>
        <w:pStyle w:val="ExoSecOfState"/>
      </w:pPr>
      <w:r>
        <w:t>ATTEST BY</w:t>
      </w:r>
    </w:p>
    <w:p w14:paraId="06A2093A" w14:textId="77777777" w:rsidR="00943207" w:rsidRDefault="00943207" w:rsidP="000B2E54">
      <w:pPr>
        <w:pStyle w:val="ExoSecOfState"/>
      </w:pPr>
      <w:r>
        <w:t>THE GOVERNOR</w:t>
      </w:r>
    </w:p>
    <w:p w14:paraId="1148B5D6" w14:textId="77777777" w:rsidR="00943207" w:rsidRDefault="00943207" w:rsidP="000B2E54">
      <w:pPr>
        <w:pStyle w:val="ExoSecOfState"/>
      </w:pPr>
      <w:r>
        <w:t>Nancy Landry</w:t>
      </w:r>
    </w:p>
    <w:p w14:paraId="2D749C53" w14:textId="77777777" w:rsidR="00943207" w:rsidRDefault="00943207" w:rsidP="000B2E54">
      <w:pPr>
        <w:pStyle w:val="ExoSecOfState"/>
      </w:pPr>
      <w:r>
        <w:t>Secretary of State</w:t>
      </w:r>
    </w:p>
    <w:p w14:paraId="6D9DDDDD" w14:textId="77777777" w:rsidR="00943207" w:rsidRPr="00672767" w:rsidRDefault="00943207" w:rsidP="000B2E54">
      <w:pPr>
        <w:pStyle w:val="RegLogNumber"/>
      </w:pPr>
      <w:r>
        <w:t>2608#060</w:t>
      </w:r>
    </w:p>
    <w:p w14:paraId="35962BFD" w14:textId="77777777" w:rsidR="00943207" w:rsidRPr="00943207" w:rsidRDefault="00943207" w:rsidP="00943207"/>
    <w:p w14:paraId="0BFF8D79" w14:textId="77777777" w:rsidR="00943207" w:rsidRDefault="00943207" w:rsidP="00F575B4">
      <w:pPr>
        <w:pStyle w:val="RegItemFirstLine"/>
      </w:pPr>
      <w:r>
        <w:t>EXECUTIVE ORDER JML 26-066</w:t>
      </w:r>
    </w:p>
    <w:p w14:paraId="65E30F54" w14:textId="77777777" w:rsidR="00943207" w:rsidRDefault="00943207" w:rsidP="00F575B4">
      <w:pPr>
        <w:pStyle w:val="RegItemTitle"/>
      </w:pPr>
      <w:r w:rsidRPr="001F24A3">
        <w:t xml:space="preserve">Renewal </w:t>
      </w:r>
      <w:r>
        <w:t>o</w:t>
      </w:r>
      <w:r w:rsidRPr="001F24A3">
        <w:t xml:space="preserve">f State </w:t>
      </w:r>
      <w:r>
        <w:t>o</w:t>
      </w:r>
      <w:r w:rsidRPr="001F24A3">
        <w:t>f Emergency</w:t>
      </w:r>
      <w:r>
        <w:br/>
      </w:r>
      <w:r w:rsidRPr="001F24A3">
        <w:t xml:space="preserve">Licensed Bed Capacity </w:t>
      </w:r>
      <w:r>
        <w:t>f</w:t>
      </w:r>
      <w:r w:rsidRPr="001F24A3">
        <w:t>or Nursing Facilities</w:t>
      </w:r>
    </w:p>
    <w:p w14:paraId="52D00871" w14:textId="77777777" w:rsidR="00943207" w:rsidRPr="001F24A3" w:rsidRDefault="00943207" w:rsidP="00F575B4">
      <w:pPr>
        <w:pStyle w:val="ExoNormal"/>
      </w:pPr>
      <w:r w:rsidRPr="001F24A3">
        <w:rPr>
          <w:bCs/>
        </w:rPr>
        <w:t>WHEREAS,</w:t>
      </w:r>
      <w:r w:rsidRPr="001F24A3">
        <w:t xml:space="preserve"> </w:t>
      </w:r>
      <w:bookmarkStart w:id="5" w:name="_Hlk235440663"/>
      <w:r w:rsidRPr="001F24A3">
        <w:t xml:space="preserve">pursuant to the Louisiana Homeland Security and Emergency Assistance and Disaster Act, R.S. 29:721, </w:t>
      </w:r>
      <w:r w:rsidRPr="001F24A3">
        <w:rPr>
          <w:i/>
          <w:iCs/>
        </w:rPr>
        <w:t>et seq</w:t>
      </w:r>
      <w:r w:rsidRPr="001F24A3">
        <w:t>., a state of emergency was declared through Executive Order No. JML 26-0</w:t>
      </w:r>
      <w:bookmarkEnd w:id="5"/>
      <w:r w:rsidRPr="001F24A3">
        <w:t>55 on June 18, 2026, and JML 26-055 has been renewed and amended by JML 26-057, and JML 26-062;</w:t>
      </w:r>
    </w:p>
    <w:p w14:paraId="11E0CBB8" w14:textId="77777777" w:rsidR="00943207" w:rsidRPr="001F24A3" w:rsidRDefault="00943207" w:rsidP="00F575B4">
      <w:pPr>
        <w:pStyle w:val="ExoNormal"/>
      </w:pPr>
      <w:bookmarkStart w:id="6" w:name="_Hlk176775074"/>
      <w:r w:rsidRPr="001F24A3">
        <w:t>WHEREAS, Tropical Storm Arthur brought widespread rainfall and severe storms across Louisiana on June 17 and 18, 2026;</w:t>
      </w:r>
    </w:p>
    <w:p w14:paraId="77F3FE33" w14:textId="77777777" w:rsidR="00943207" w:rsidRPr="001F24A3" w:rsidRDefault="00943207" w:rsidP="00F575B4">
      <w:pPr>
        <w:pStyle w:val="ExoNormal"/>
      </w:pPr>
      <w:r w:rsidRPr="001F24A3">
        <w:rPr>
          <w:bCs/>
        </w:rPr>
        <w:t xml:space="preserve">WHEREAS, </w:t>
      </w:r>
      <w:r w:rsidRPr="001F24A3">
        <w:t>the National Weather Service has already confirmed three tornadoes during that period, and estimates that the parishes of Avoyelles and Pointe Coupee experienced record or near-record rainfalls in a twelve-hour span;</w:t>
      </w:r>
    </w:p>
    <w:bookmarkEnd w:id="6"/>
    <w:p w14:paraId="666BD8BF" w14:textId="77777777" w:rsidR="00943207" w:rsidRPr="001F24A3" w:rsidRDefault="00943207" w:rsidP="00F575B4">
      <w:pPr>
        <w:pStyle w:val="ExoNormal"/>
      </w:pPr>
      <w:r w:rsidRPr="001F24A3">
        <w:rPr>
          <w:bCs/>
        </w:rPr>
        <w:t xml:space="preserve">WHEREAS, </w:t>
      </w:r>
      <w:r w:rsidRPr="001F24A3">
        <w:t>many parishes have declared states of emergency and executed their emergency operations plans in order to protect drivers, control floodwaters, conduct search and rescue operations, shelter citizens, and conduct other emergency protective measures;</w:t>
      </w:r>
    </w:p>
    <w:p w14:paraId="5266F8B8" w14:textId="77777777" w:rsidR="00943207" w:rsidRPr="001F24A3" w:rsidRDefault="00943207" w:rsidP="00F575B4">
      <w:pPr>
        <w:pStyle w:val="ExoNormal"/>
      </w:pPr>
      <w:r w:rsidRPr="001F24A3">
        <w:rPr>
          <w:bCs/>
        </w:rPr>
        <w:t xml:space="preserve">WHEREAS, </w:t>
      </w:r>
      <w:r w:rsidRPr="001F24A3">
        <w:t>the National Weather Service reports that many rivers, including the Tchefuncte and Tangipahoa, are already at minor or major flood stage and will likely rise over the next two days, worsening the existing flood conditions; and</w:t>
      </w:r>
    </w:p>
    <w:p w14:paraId="536082CF" w14:textId="77777777" w:rsidR="00943207" w:rsidRPr="001F24A3" w:rsidRDefault="00943207" w:rsidP="00F575B4">
      <w:pPr>
        <w:pStyle w:val="ExoNormal"/>
      </w:pPr>
      <w:r w:rsidRPr="001F24A3">
        <w:t xml:space="preserve">WHEREAS, this storm and its damage continue to pose a threat to citizens and communities across the impacted parishes and creates conditions which place lives and property in the State in jeopardy; </w:t>
      </w:r>
    </w:p>
    <w:p w14:paraId="3887227B" w14:textId="77777777" w:rsidR="00943207" w:rsidRPr="001F24A3" w:rsidRDefault="00943207" w:rsidP="00F575B4">
      <w:pPr>
        <w:pStyle w:val="ExoNormal"/>
      </w:pPr>
      <w:r w:rsidRPr="001F24A3">
        <w:t xml:space="preserve">WHEREAS, the state of Louisiana desires to promote and protect the health, safety, and well-being of all Louisiana residents, and specifically those residents in nursing facilities; </w:t>
      </w:r>
    </w:p>
    <w:p w14:paraId="33429603" w14:textId="77777777" w:rsidR="00943207" w:rsidRPr="001F24A3" w:rsidRDefault="00943207" w:rsidP="00F575B4">
      <w:pPr>
        <w:pStyle w:val="ExoNormal"/>
      </w:pPr>
      <w:r w:rsidRPr="001F24A3">
        <w:rPr>
          <w:bCs/>
        </w:rPr>
        <w:t>WHEREAS</w:t>
      </w:r>
      <w:r w:rsidRPr="001F24A3">
        <w:t xml:space="preserve">, the state of Louisiana desires to promote and protect the health, safety, and well-being of evacuees from Tropical Storm Arthur and the associated flooding and specifically those evacuees needing nursing facility services; </w:t>
      </w:r>
    </w:p>
    <w:p w14:paraId="1C81B5F4" w14:textId="77777777" w:rsidR="00943207" w:rsidRPr="001F24A3" w:rsidRDefault="00943207" w:rsidP="00F575B4">
      <w:pPr>
        <w:pStyle w:val="ExoNormal"/>
      </w:pPr>
      <w:r w:rsidRPr="001F24A3">
        <w:t xml:space="preserve">WHEREAS, the state of Louisiana desires to ensure the protection of such residents and evacuees in nursing facilities in times of declared emergencies; </w:t>
      </w:r>
    </w:p>
    <w:p w14:paraId="372E0258" w14:textId="77777777" w:rsidR="00943207" w:rsidRPr="001F24A3" w:rsidRDefault="00943207" w:rsidP="00F575B4">
      <w:pPr>
        <w:pStyle w:val="ExoNormal"/>
      </w:pPr>
      <w:r w:rsidRPr="001F24A3">
        <w:t xml:space="preserve">WHEREAS, R.S. 40:2116.1(B)(1) prohibits the Department of Health from approving additional beds in nursing facilities; </w:t>
      </w:r>
    </w:p>
    <w:p w14:paraId="7B1CC65A" w14:textId="77777777" w:rsidR="00943207" w:rsidRPr="001F24A3" w:rsidRDefault="00943207" w:rsidP="00F575B4">
      <w:pPr>
        <w:pStyle w:val="ExoNormal"/>
      </w:pPr>
      <w:r w:rsidRPr="001F24A3">
        <w:t xml:space="preserve">WHEREAS, the state of Louisiana desires that residents and evacuees in nursing facilities be able to temporarily evacuate to safe sheltering locations during an emergency; and </w:t>
      </w:r>
    </w:p>
    <w:p w14:paraId="19F2697A" w14:textId="77777777" w:rsidR="00943207" w:rsidRPr="001F24A3" w:rsidRDefault="00943207" w:rsidP="00F575B4">
      <w:pPr>
        <w:pStyle w:val="ExoNormal"/>
      </w:pPr>
      <w:r w:rsidRPr="001F24A3">
        <w:rPr>
          <w:bCs/>
        </w:rPr>
        <w:t>WHEREAS</w:t>
      </w:r>
      <w:r w:rsidRPr="001F24A3">
        <w:t xml:space="preserve">, the state of Louisiana, recognizing the potential significance of Tropical Storm Arthur, and the potential for flooding, desires to minimize the impact of the tropical storm on the residents of nursing facilities; </w:t>
      </w:r>
    </w:p>
    <w:p w14:paraId="03C52DB0" w14:textId="77777777" w:rsidR="00943207" w:rsidRPr="001F24A3" w:rsidRDefault="00943207" w:rsidP="00F575B4">
      <w:pPr>
        <w:pStyle w:val="ExoNormal"/>
      </w:pPr>
      <w:r w:rsidRPr="001F24A3">
        <w:rPr>
          <w:bCs/>
        </w:rPr>
        <w:t>WHEREAS</w:t>
      </w:r>
      <w:r w:rsidRPr="001F24A3">
        <w:t xml:space="preserve">, R.S. 29:724 authorizes the governor during a declared state of emergency to suspend the provisions of any </w:t>
      </w:r>
      <w:r w:rsidRPr="001F24A3">
        <w:t>state regulatory statute prescribing procedures for conducting state business, or the orders, rules or regulations of any state agency, if strict compliance with the provision of any statute, order, rule, or regulation would in any way prevent, hinder, or delay necessary action in coping with the emergency;</w:t>
      </w:r>
      <w:r>
        <w:tab/>
      </w:r>
    </w:p>
    <w:p w14:paraId="3E766D8A" w14:textId="77777777" w:rsidR="00943207" w:rsidRPr="001F24A3" w:rsidRDefault="00943207" w:rsidP="00F575B4">
      <w:pPr>
        <w:pStyle w:val="ExoNormal"/>
      </w:pPr>
      <w:r w:rsidRPr="001F24A3">
        <w:t xml:space="preserve">NOW THEREFORE I, JEFF LANDRY, Governor of the state of Louisiana, by virtue of the authority vested by the Constitution and laws of the state of Louisiana, do hereby order and direct as follows: </w:t>
      </w:r>
    </w:p>
    <w:p w14:paraId="60550E3D" w14:textId="77777777" w:rsidR="00943207" w:rsidRPr="001F24A3" w:rsidRDefault="00943207" w:rsidP="00F575B4">
      <w:pPr>
        <w:pStyle w:val="1"/>
      </w:pPr>
      <w:r w:rsidRPr="001F24A3">
        <w:rPr>
          <w:bCs/>
        </w:rPr>
        <w:t>Section 1</w:t>
      </w:r>
      <w:r w:rsidRPr="001F24A3">
        <w:t>:</w:t>
      </w:r>
      <w:r w:rsidRPr="001F24A3">
        <w:tab/>
        <w:t xml:space="preserve">The provisions of La. R.S. 40:2116.1(B)(1) are hereby suspended for the purpose of allowing the Secretary of the Department of Health and the Louisiana Surgeon General, at their discretion, to establish such protocols, policies, and procedures as to allow a licensed nursing facility which accepts or receives evacuated residents to temporarily exceed its licensed bed capacity in the event of a declared emergency. </w:t>
      </w:r>
    </w:p>
    <w:p w14:paraId="3A102276" w14:textId="77777777" w:rsidR="00943207" w:rsidRPr="001F24A3" w:rsidRDefault="00943207" w:rsidP="00F575B4">
      <w:pPr>
        <w:pStyle w:val="1"/>
      </w:pPr>
      <w:r w:rsidRPr="001F24A3">
        <w:rPr>
          <w:bCs/>
        </w:rPr>
        <w:t>Section 2:</w:t>
      </w:r>
      <w:r w:rsidRPr="001F24A3">
        <w:tab/>
        <w:t>The Secretary of the Department of Health and/or the Louisiana Surgeon General may establish such protocols, policies, and procedures without strict compliance with the requirements and provisions of the Administrative Procedure Act.</w:t>
      </w:r>
    </w:p>
    <w:p w14:paraId="1806DCB7" w14:textId="77777777" w:rsidR="00943207" w:rsidRDefault="00943207" w:rsidP="00F575B4">
      <w:pPr>
        <w:pStyle w:val="1"/>
      </w:pPr>
      <w:r w:rsidRPr="001F24A3">
        <w:t>Section 3:</w:t>
      </w:r>
      <w:r w:rsidRPr="001F24A3">
        <w:tab/>
        <w:t>This Order is effective upon signature and shall be applicable from Friday, July 17, 2026, Thursday, August 6, 2026, unless amended, modified, terminated, or rescinded earlier by the Governor, or terminated by operation of law.</w:t>
      </w:r>
    </w:p>
    <w:p w14:paraId="5A4E15C5" w14:textId="77777777" w:rsidR="00943207" w:rsidRDefault="00943207" w:rsidP="00F575B4">
      <w:pPr>
        <w:pStyle w:val="ExoNormal"/>
        <w:rPr>
          <w:bCs/>
          <w:i/>
          <w:iCs/>
        </w:rPr>
      </w:pPr>
      <w:r w:rsidRPr="001F24A3">
        <w:rPr>
          <w:bCs/>
        </w:rPr>
        <w:t xml:space="preserve">IN WITNESS WHEREOF, </w:t>
      </w:r>
      <w:r w:rsidRPr="001F24A3">
        <w:t>I have set my hand officially and caused to be affixed the Great Seal of Louisiana in the City of Baton Rouge, on this 17</w:t>
      </w:r>
      <w:r w:rsidRPr="001F24A3">
        <w:rPr>
          <w:vertAlign w:val="superscript"/>
        </w:rPr>
        <w:t>th</w:t>
      </w:r>
      <w:r>
        <w:t xml:space="preserve"> </w:t>
      </w:r>
      <w:r w:rsidRPr="001F24A3">
        <w:t>day of July, 2026.</w:t>
      </w:r>
    </w:p>
    <w:p w14:paraId="00A616BD" w14:textId="77777777" w:rsidR="00943207" w:rsidRDefault="00943207" w:rsidP="00F575B4">
      <w:pPr>
        <w:pStyle w:val="RegSignature"/>
        <w:rPr>
          <w:shd w:val="clear" w:color="auto" w:fill="FFFFFF"/>
        </w:rPr>
      </w:pPr>
      <w:bookmarkStart w:id="7" w:name="LastPara"/>
      <w:bookmarkStart w:id="8" w:name="FNoteInsertionPoint"/>
      <w:bookmarkEnd w:id="7"/>
      <w:bookmarkEnd w:id="8"/>
    </w:p>
    <w:p w14:paraId="7EC300E9" w14:textId="77777777" w:rsidR="00943207" w:rsidRDefault="00943207" w:rsidP="00F575B4">
      <w:pPr>
        <w:pStyle w:val="RegSignature"/>
        <w:rPr>
          <w:shd w:val="clear" w:color="auto" w:fill="FFFFFF"/>
        </w:rPr>
      </w:pPr>
      <w:r>
        <w:rPr>
          <w:shd w:val="clear" w:color="auto" w:fill="FFFFFF"/>
        </w:rPr>
        <w:t>Jeff Landry</w:t>
      </w:r>
    </w:p>
    <w:p w14:paraId="1A06E9F4" w14:textId="77777777" w:rsidR="00943207" w:rsidRDefault="00943207" w:rsidP="00F575B4">
      <w:pPr>
        <w:pStyle w:val="RegSignature"/>
        <w:rPr>
          <w:shd w:val="clear" w:color="auto" w:fill="FFFFFF"/>
        </w:rPr>
      </w:pPr>
      <w:r>
        <w:rPr>
          <w:shd w:val="clear" w:color="auto" w:fill="FFFFFF"/>
        </w:rPr>
        <w:t>Governor</w:t>
      </w:r>
    </w:p>
    <w:p w14:paraId="1649E5AC" w14:textId="77777777" w:rsidR="00943207" w:rsidRDefault="00943207" w:rsidP="00F575B4">
      <w:pPr>
        <w:pStyle w:val="ExoSecOfState"/>
        <w:rPr>
          <w:shd w:val="clear" w:color="auto" w:fill="FFFFFF"/>
        </w:rPr>
      </w:pPr>
      <w:r>
        <w:rPr>
          <w:shd w:val="clear" w:color="auto" w:fill="FFFFFF"/>
        </w:rPr>
        <w:t>ATTEST BY</w:t>
      </w:r>
    </w:p>
    <w:p w14:paraId="2BFCBB85" w14:textId="77777777" w:rsidR="00943207" w:rsidRDefault="00943207" w:rsidP="00F575B4">
      <w:pPr>
        <w:pStyle w:val="ExoSecOfState"/>
        <w:rPr>
          <w:shd w:val="clear" w:color="auto" w:fill="FFFFFF"/>
        </w:rPr>
      </w:pPr>
      <w:r>
        <w:rPr>
          <w:shd w:val="clear" w:color="auto" w:fill="FFFFFF"/>
        </w:rPr>
        <w:t>THE GOVERNOR</w:t>
      </w:r>
    </w:p>
    <w:p w14:paraId="19B2B476" w14:textId="77777777" w:rsidR="00943207" w:rsidRDefault="00943207" w:rsidP="00F575B4">
      <w:pPr>
        <w:pStyle w:val="ExoSecOfState"/>
        <w:rPr>
          <w:shd w:val="clear" w:color="auto" w:fill="FFFFFF"/>
        </w:rPr>
      </w:pPr>
      <w:r>
        <w:rPr>
          <w:shd w:val="clear" w:color="auto" w:fill="FFFFFF"/>
        </w:rPr>
        <w:t>Nancy Landry</w:t>
      </w:r>
    </w:p>
    <w:p w14:paraId="77C1CFDB" w14:textId="77777777" w:rsidR="00943207" w:rsidRDefault="00943207" w:rsidP="00F575B4">
      <w:pPr>
        <w:pStyle w:val="ExoSecOfState"/>
        <w:rPr>
          <w:shd w:val="clear" w:color="auto" w:fill="FFFFFF"/>
        </w:rPr>
      </w:pPr>
      <w:r>
        <w:rPr>
          <w:shd w:val="clear" w:color="auto" w:fill="FFFFFF"/>
        </w:rPr>
        <w:t>Secretary of State</w:t>
      </w:r>
    </w:p>
    <w:p w14:paraId="614FFF37" w14:textId="77777777" w:rsidR="00943207" w:rsidRPr="001F24A3" w:rsidRDefault="00943207" w:rsidP="00F575B4">
      <w:pPr>
        <w:pStyle w:val="RegLogNumber"/>
        <w:rPr>
          <w:shd w:val="clear" w:color="auto" w:fill="FFFFFF"/>
        </w:rPr>
      </w:pPr>
      <w:r>
        <w:rPr>
          <w:shd w:val="clear" w:color="auto" w:fill="FFFFFF"/>
        </w:rPr>
        <w:t>2608#061</w:t>
      </w:r>
    </w:p>
    <w:p w14:paraId="55CE87AB" w14:textId="77777777" w:rsidR="00943207" w:rsidRPr="00943207" w:rsidRDefault="00943207" w:rsidP="00943207"/>
    <w:p w14:paraId="7FD6C566" w14:textId="77777777" w:rsidR="00943207" w:rsidRDefault="00943207" w:rsidP="00F336E5">
      <w:pPr>
        <w:pStyle w:val="RegItemFirstLine"/>
      </w:pPr>
      <w:r>
        <w:t>EXECUTIVE ORDER JML 26-067</w:t>
      </w:r>
    </w:p>
    <w:p w14:paraId="6D5FE0D9" w14:textId="77777777" w:rsidR="00943207" w:rsidRDefault="00943207" w:rsidP="0030083E">
      <w:pPr>
        <w:pStyle w:val="RegItemTitle"/>
      </w:pPr>
      <w:r w:rsidRPr="00CB26FD">
        <w:t>Bond Allocation 2026 Ceiling Amendment</w:t>
      </w:r>
    </w:p>
    <w:p w14:paraId="1241DC59" w14:textId="77777777" w:rsidR="00943207" w:rsidRPr="00CB26FD" w:rsidRDefault="00943207" w:rsidP="00F336E5">
      <w:pPr>
        <w:pStyle w:val="ExoNormal"/>
      </w:pPr>
      <w:r w:rsidRPr="00CB26FD">
        <w:rPr>
          <w:bCs/>
        </w:rPr>
        <w:t>WHEREAS,</w:t>
      </w:r>
      <w:r w:rsidRPr="00CB26FD">
        <w:t xml:space="preserve"> Section 146 of the Internal Revenue Code of 1986 (hereafter the “Act”), as amended (hereafter the “Code”), restricts the total principal amount of certain private activity bonds (hereafter the “Bonds”) that exclude interest from gross income for federal income tax purposes under Section 103 of the Code;</w:t>
      </w:r>
    </w:p>
    <w:p w14:paraId="03AEEB06" w14:textId="77777777" w:rsidR="00943207" w:rsidRPr="00CB26FD" w:rsidRDefault="00943207" w:rsidP="00F336E5">
      <w:pPr>
        <w:pStyle w:val="ExoNormal"/>
      </w:pPr>
      <w:r w:rsidRPr="00CB26FD">
        <w:rPr>
          <w:bCs/>
        </w:rPr>
        <w:t>WHEREAS,</w:t>
      </w:r>
      <w:r w:rsidRPr="00CB26FD">
        <w:t xml:space="preserve"> Act No. 51 of the 1986 Regular Session of the Louisiana Legislature (hereafter “Act No. 51 of 1986”) authorizes the Governor to allocate the volume limit applicable to the Bonds (hereafter the “ceiling”) among the State and its political subdivisions in such a manner as the Governor deems to be in the best interest of the State of Louisiana;</w:t>
      </w:r>
    </w:p>
    <w:p w14:paraId="687AEA7E" w14:textId="77777777" w:rsidR="00943207" w:rsidRPr="00CB26FD" w:rsidRDefault="00943207" w:rsidP="00F336E5">
      <w:pPr>
        <w:pStyle w:val="ExoNormal"/>
      </w:pPr>
      <w:r w:rsidRPr="00CB26FD">
        <w:rPr>
          <w:bCs/>
        </w:rPr>
        <w:t>WHEREAS,</w:t>
      </w:r>
      <w:r w:rsidRPr="00CB26FD">
        <w:t xml:space="preserve"> pursuant to the Act and Act No. 51 of 1986, Executive Order No. JML 2024-123 was issued to establish: </w:t>
      </w:r>
    </w:p>
    <w:p w14:paraId="4E82CF25" w14:textId="77777777" w:rsidR="00943207" w:rsidRPr="00CB26FD" w:rsidRDefault="00943207" w:rsidP="0030083E">
      <w:pPr>
        <w:pStyle w:val="A0"/>
      </w:pPr>
      <w:r w:rsidRPr="00CB26FD">
        <w:t>A)</w:t>
      </w:r>
      <w:r>
        <w:tab/>
      </w:r>
      <w:r w:rsidRPr="00CB26FD">
        <w:t>the manner in which the ceiling shall be determined,</w:t>
      </w:r>
    </w:p>
    <w:p w14:paraId="0B51A373" w14:textId="77777777" w:rsidR="00943207" w:rsidRPr="00CB26FD" w:rsidRDefault="00943207" w:rsidP="0030083E">
      <w:pPr>
        <w:pStyle w:val="A0"/>
      </w:pPr>
      <w:r w:rsidRPr="00CB26FD">
        <w:t>B)</w:t>
      </w:r>
      <w:r>
        <w:tab/>
      </w:r>
      <w:r w:rsidRPr="00CB26FD">
        <w:t xml:space="preserve">the method to be used in allocating the ceiling, </w:t>
      </w:r>
    </w:p>
    <w:p w14:paraId="55F8208F" w14:textId="77777777" w:rsidR="00943207" w:rsidRPr="00CB26FD" w:rsidRDefault="00943207" w:rsidP="0030083E">
      <w:pPr>
        <w:pStyle w:val="A0"/>
      </w:pPr>
      <w:r w:rsidRPr="00CB26FD">
        <w:t>C)</w:t>
      </w:r>
      <w:r>
        <w:tab/>
      </w:r>
      <w:r w:rsidRPr="00CB26FD">
        <w:t xml:space="preserve">the application procedure for obtaining an allocation of Bonds subject to such ceiling, and </w:t>
      </w:r>
    </w:p>
    <w:p w14:paraId="2B05E71E" w14:textId="77777777" w:rsidR="00943207" w:rsidRDefault="00943207" w:rsidP="0030083E">
      <w:pPr>
        <w:pStyle w:val="A0"/>
      </w:pPr>
      <w:r w:rsidRPr="00CB26FD">
        <w:t>D)</w:t>
      </w:r>
      <w:r>
        <w:tab/>
      </w:r>
      <w:r w:rsidRPr="00CB26FD">
        <w:t>a system of record keeping for such allocations.</w:t>
      </w:r>
    </w:p>
    <w:p w14:paraId="1C802339" w14:textId="77777777" w:rsidR="00943207" w:rsidRPr="00CB26FD" w:rsidRDefault="00943207" w:rsidP="00F336E5">
      <w:pPr>
        <w:pStyle w:val="ExoNormal"/>
      </w:pPr>
      <w:r w:rsidRPr="00CB26FD">
        <w:rPr>
          <w:bCs/>
        </w:rPr>
        <w:lastRenderedPageBreak/>
        <w:t>WHEREAS,</w:t>
      </w:r>
      <w:r w:rsidRPr="00CB26FD">
        <w:t xml:space="preserve"> the Louisiana Housing Corporation (hereafter the “Corporation”) has applied for an allocation of the 2026 ceiling to be used in connection with providing funds for the acquiring, constructing, rehabilitating, and equipping of residential rental housing for individuals and families of low and moderate income. </w:t>
      </w:r>
    </w:p>
    <w:p w14:paraId="7AD3F375" w14:textId="77777777" w:rsidR="00943207" w:rsidRDefault="00943207" w:rsidP="00F336E5">
      <w:pPr>
        <w:pStyle w:val="ExoNormal"/>
      </w:pPr>
      <w:r w:rsidRPr="00CB26FD">
        <w:rPr>
          <w:bCs/>
        </w:rPr>
        <w:t>WHEREAS</w:t>
      </w:r>
      <w:r w:rsidRPr="00CB26FD">
        <w:t>, the Capital Area Finance Authority (hereafter the “Authority”) has authorized and approved $50,000,000 of Single-Family Mortgage Revenue Bonds (Homeownership Program) Series 2026B in one or more tax-exempt series and has applied for $54,000,000 volume cap from the 2026 ceiling to be used for the principal and premium on the tax-exempt Series 2026B Bonds (Non-AMT).</w:t>
      </w:r>
    </w:p>
    <w:p w14:paraId="302FC0B9" w14:textId="77777777" w:rsidR="00943207" w:rsidRPr="00CB26FD" w:rsidRDefault="00943207" w:rsidP="00F336E5">
      <w:pPr>
        <w:pStyle w:val="ExoNormal"/>
      </w:pPr>
      <w:r w:rsidRPr="00CB26FD">
        <w:rPr>
          <w:w w:val="105"/>
        </w:rPr>
        <w:t>NOW THEREFORE,</w:t>
      </w:r>
      <w:r w:rsidRPr="00CB26FD">
        <w:rPr>
          <w:spacing w:val="1"/>
          <w:w w:val="105"/>
        </w:rPr>
        <w:t xml:space="preserve"> </w:t>
      </w:r>
      <w:r w:rsidRPr="00CB26FD">
        <w:rPr>
          <w:w w:val="105"/>
        </w:rPr>
        <w:t>I, JEFF LANDRY, Governor of the State of Louisiana, by</w:t>
      </w:r>
      <w:r w:rsidRPr="00CB26FD">
        <w:rPr>
          <w:spacing w:val="1"/>
          <w:w w:val="105"/>
        </w:rPr>
        <w:t xml:space="preserve"> </w:t>
      </w:r>
      <w:r w:rsidRPr="00CB26FD">
        <w:rPr>
          <w:w w:val="105"/>
        </w:rPr>
        <w:t>virtue of</w:t>
      </w:r>
      <w:r w:rsidRPr="00CB26FD">
        <w:rPr>
          <w:spacing w:val="1"/>
          <w:w w:val="105"/>
        </w:rPr>
        <w:t xml:space="preserve"> </w:t>
      </w:r>
      <w:r w:rsidRPr="00CB26FD">
        <w:rPr>
          <w:w w:val="105"/>
        </w:rPr>
        <w:t>the authority</w:t>
      </w:r>
      <w:r w:rsidRPr="00CB26FD">
        <w:rPr>
          <w:spacing w:val="1"/>
          <w:w w:val="105"/>
        </w:rPr>
        <w:t xml:space="preserve"> </w:t>
      </w:r>
      <w:r w:rsidRPr="00CB26FD">
        <w:rPr>
          <w:w w:val="105"/>
        </w:rPr>
        <w:t>vested by the Constitution and laws of the State of Louisiana, do hereby</w:t>
      </w:r>
      <w:r w:rsidRPr="00CB26FD">
        <w:rPr>
          <w:spacing w:val="1"/>
          <w:w w:val="105"/>
        </w:rPr>
        <w:t xml:space="preserve"> </w:t>
      </w:r>
      <w:r w:rsidRPr="00CB26FD">
        <w:rPr>
          <w:w w:val="105"/>
        </w:rPr>
        <w:t>order</w:t>
      </w:r>
      <w:r w:rsidRPr="00CB26FD">
        <w:rPr>
          <w:spacing w:val="2"/>
          <w:w w:val="105"/>
        </w:rPr>
        <w:t xml:space="preserve"> </w:t>
      </w:r>
      <w:r w:rsidRPr="00CB26FD">
        <w:rPr>
          <w:w w:val="105"/>
        </w:rPr>
        <w:t>and</w:t>
      </w:r>
      <w:r w:rsidRPr="00CB26FD">
        <w:rPr>
          <w:spacing w:val="10"/>
          <w:w w:val="105"/>
        </w:rPr>
        <w:t xml:space="preserve"> </w:t>
      </w:r>
      <w:r w:rsidRPr="00CB26FD">
        <w:rPr>
          <w:w w:val="105"/>
        </w:rPr>
        <w:t>direct</w:t>
      </w:r>
      <w:r w:rsidRPr="00CB26FD">
        <w:rPr>
          <w:spacing w:val="16"/>
          <w:w w:val="105"/>
        </w:rPr>
        <w:t xml:space="preserve"> </w:t>
      </w:r>
      <w:r w:rsidRPr="00CB26FD">
        <w:rPr>
          <w:w w:val="105"/>
        </w:rPr>
        <w:t>as</w:t>
      </w:r>
      <w:r w:rsidRPr="00CB26FD">
        <w:rPr>
          <w:spacing w:val="5"/>
          <w:w w:val="105"/>
        </w:rPr>
        <w:t xml:space="preserve"> </w:t>
      </w:r>
      <w:r w:rsidRPr="00CB26FD">
        <w:rPr>
          <w:w w:val="105"/>
        </w:rPr>
        <w:t>follows:</w:t>
      </w:r>
    </w:p>
    <w:p w14:paraId="33013E5E" w14:textId="77777777" w:rsidR="00943207" w:rsidRDefault="00943207" w:rsidP="00F336E5">
      <w:pPr>
        <w:pStyle w:val="1"/>
        <w:rPr>
          <w:w w:val="105"/>
        </w:rPr>
      </w:pPr>
      <w:bookmarkStart w:id="9" w:name="_Hlk158210616"/>
      <w:r w:rsidRPr="00CB26FD">
        <w:rPr>
          <w:bCs/>
          <w:w w:val="105"/>
        </w:rPr>
        <w:t>Section 1:</w:t>
      </w:r>
      <w:bookmarkEnd w:id="9"/>
      <w:r w:rsidRPr="00CB26FD">
        <w:rPr>
          <w:w w:val="105"/>
        </w:rPr>
        <w:tab/>
        <w:t>The bond</w:t>
      </w:r>
      <w:r w:rsidRPr="00CB26FD">
        <w:rPr>
          <w:spacing w:val="1"/>
          <w:w w:val="105"/>
        </w:rPr>
        <w:t xml:space="preserve"> </w:t>
      </w:r>
      <w:r w:rsidRPr="00CB26FD">
        <w:rPr>
          <w:w w:val="105"/>
        </w:rPr>
        <w:t>issues, as described</w:t>
      </w:r>
      <w:r w:rsidRPr="00CB26FD">
        <w:rPr>
          <w:spacing w:val="1"/>
          <w:w w:val="105"/>
        </w:rPr>
        <w:t xml:space="preserve"> </w:t>
      </w:r>
      <w:r w:rsidRPr="00CB26FD">
        <w:rPr>
          <w:w w:val="105"/>
        </w:rPr>
        <w:t>in</w:t>
      </w:r>
      <w:r w:rsidRPr="00CB26FD">
        <w:rPr>
          <w:spacing w:val="1"/>
          <w:w w:val="105"/>
        </w:rPr>
        <w:t xml:space="preserve"> </w:t>
      </w:r>
      <w:r w:rsidRPr="00CB26FD">
        <w:rPr>
          <w:w w:val="105"/>
        </w:rPr>
        <w:t>this Section, shall</w:t>
      </w:r>
      <w:r w:rsidRPr="00CB26FD">
        <w:rPr>
          <w:spacing w:val="1"/>
          <w:w w:val="105"/>
        </w:rPr>
        <w:t xml:space="preserve"> </w:t>
      </w:r>
      <w:r w:rsidRPr="00CB26FD">
        <w:rPr>
          <w:w w:val="105"/>
        </w:rPr>
        <w:t>be and are hereby</w:t>
      </w:r>
      <w:r w:rsidRPr="00CB26FD">
        <w:rPr>
          <w:spacing w:val="1"/>
          <w:w w:val="105"/>
        </w:rPr>
        <w:t xml:space="preserve"> </w:t>
      </w:r>
      <w:r w:rsidRPr="00CB26FD">
        <w:rPr>
          <w:w w:val="105"/>
        </w:rPr>
        <w:t>granted</w:t>
      </w:r>
      <w:r w:rsidRPr="00CB26FD">
        <w:rPr>
          <w:spacing w:val="1"/>
          <w:w w:val="105"/>
        </w:rPr>
        <w:t xml:space="preserve"> </w:t>
      </w:r>
      <w:r w:rsidRPr="00CB26FD">
        <w:rPr>
          <w:w w:val="105"/>
        </w:rPr>
        <w:t>allocations</w:t>
      </w:r>
      <w:r w:rsidRPr="00CB26FD">
        <w:rPr>
          <w:spacing w:val="25"/>
          <w:w w:val="105"/>
        </w:rPr>
        <w:t xml:space="preserve"> </w:t>
      </w:r>
      <w:r w:rsidRPr="00CB26FD">
        <w:rPr>
          <w:w w:val="105"/>
        </w:rPr>
        <w:t>from</w:t>
      </w:r>
      <w:r w:rsidRPr="00CB26FD">
        <w:rPr>
          <w:spacing w:val="16"/>
          <w:w w:val="105"/>
        </w:rPr>
        <w:t xml:space="preserve"> </w:t>
      </w:r>
      <w:r w:rsidRPr="00CB26FD">
        <w:rPr>
          <w:w w:val="105"/>
        </w:rPr>
        <w:t>the</w:t>
      </w:r>
      <w:r w:rsidRPr="00CB26FD">
        <w:rPr>
          <w:spacing w:val="4"/>
          <w:w w:val="105"/>
        </w:rPr>
        <w:t xml:space="preserve"> </w:t>
      </w:r>
      <w:r w:rsidRPr="00CB26FD">
        <w:rPr>
          <w:w w:val="105"/>
        </w:rPr>
        <w:t>2026 ceiling</w:t>
      </w:r>
      <w:r w:rsidRPr="00CB26FD">
        <w:rPr>
          <w:spacing w:val="19"/>
          <w:w w:val="105"/>
        </w:rPr>
        <w:t xml:space="preserve"> </w:t>
      </w:r>
      <w:r w:rsidRPr="00CB26FD">
        <w:rPr>
          <w:w w:val="105"/>
        </w:rPr>
        <w:t>in</w:t>
      </w:r>
      <w:r w:rsidRPr="00CB26FD">
        <w:rPr>
          <w:spacing w:val="21"/>
          <w:w w:val="105"/>
        </w:rPr>
        <w:t xml:space="preserve"> </w:t>
      </w:r>
      <w:r w:rsidRPr="00CB26FD">
        <w:rPr>
          <w:w w:val="105"/>
        </w:rPr>
        <w:t>the</w:t>
      </w:r>
      <w:r w:rsidRPr="00CB26FD">
        <w:rPr>
          <w:spacing w:val="6"/>
          <w:w w:val="105"/>
        </w:rPr>
        <w:t xml:space="preserve"> </w:t>
      </w:r>
      <w:r w:rsidRPr="00CB26FD">
        <w:rPr>
          <w:w w:val="105"/>
        </w:rPr>
        <w:t>amounts</w:t>
      </w:r>
      <w:r w:rsidRPr="00CB26FD">
        <w:rPr>
          <w:spacing w:val="17"/>
          <w:w w:val="105"/>
        </w:rPr>
        <w:t xml:space="preserve"> </w:t>
      </w:r>
      <w:r w:rsidRPr="00CB26FD">
        <w:rPr>
          <w:w w:val="105"/>
        </w:rPr>
        <w:t>shown:</w:t>
      </w:r>
    </w:p>
    <w:p w14:paraId="51C268B9" w14:textId="77777777" w:rsidR="00943207" w:rsidRDefault="00943207" w:rsidP="00F336E5">
      <w:pPr>
        <w:pStyle w:val="A0"/>
        <w:rPr>
          <w:w w:val="105"/>
        </w:rPr>
      </w:pPr>
    </w:p>
    <w:tbl>
      <w:tblPr>
        <w:tblStyle w:val="TableGrid"/>
        <w:tblW w:w="5130" w:type="dxa"/>
        <w:tblInd w:w="-113"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4A0" w:firstRow="1" w:lastRow="0" w:firstColumn="1" w:lastColumn="0" w:noHBand="0" w:noVBand="1"/>
      </w:tblPr>
      <w:tblGrid>
        <w:gridCol w:w="1710"/>
        <w:gridCol w:w="1440"/>
        <w:gridCol w:w="1980"/>
      </w:tblGrid>
      <w:tr w:rsidR="00943207" w14:paraId="7E7A84EF" w14:textId="77777777" w:rsidTr="0030083E">
        <w:trPr>
          <w:tblHeader/>
        </w:trPr>
        <w:tc>
          <w:tcPr>
            <w:tcW w:w="1710" w:type="dxa"/>
            <w:shd w:val="clear" w:color="auto" w:fill="BFBFBF" w:themeFill="background1" w:themeFillShade="BF"/>
            <w:vAlign w:val="bottom"/>
          </w:tcPr>
          <w:p w14:paraId="2A387379" w14:textId="77777777" w:rsidR="00943207" w:rsidRPr="00F336E5" w:rsidRDefault="00943207" w:rsidP="00F336E5">
            <w:pPr>
              <w:pStyle w:val="A0"/>
              <w:ind w:firstLine="0"/>
              <w:jc w:val="center"/>
              <w:rPr>
                <w:b/>
                <w:bCs/>
                <w:w w:val="105"/>
                <w:sz w:val="16"/>
                <w:szCs w:val="16"/>
              </w:rPr>
            </w:pPr>
            <w:r w:rsidRPr="00F336E5">
              <w:rPr>
                <w:b/>
                <w:bCs/>
                <w:sz w:val="16"/>
                <w:szCs w:val="16"/>
              </w:rPr>
              <w:t>Amount of Allocation</w:t>
            </w:r>
          </w:p>
        </w:tc>
        <w:tc>
          <w:tcPr>
            <w:tcW w:w="1440" w:type="dxa"/>
            <w:shd w:val="clear" w:color="auto" w:fill="BFBFBF" w:themeFill="background1" w:themeFillShade="BF"/>
            <w:vAlign w:val="bottom"/>
          </w:tcPr>
          <w:p w14:paraId="52B2C2DF" w14:textId="77777777" w:rsidR="00943207" w:rsidRPr="00F336E5" w:rsidRDefault="00943207" w:rsidP="00F336E5">
            <w:pPr>
              <w:pStyle w:val="A0"/>
              <w:ind w:firstLine="0"/>
              <w:jc w:val="center"/>
              <w:rPr>
                <w:b/>
                <w:bCs/>
                <w:w w:val="105"/>
                <w:sz w:val="16"/>
                <w:szCs w:val="16"/>
              </w:rPr>
            </w:pPr>
            <w:r w:rsidRPr="00F336E5">
              <w:rPr>
                <w:b/>
                <w:bCs/>
                <w:sz w:val="16"/>
                <w:szCs w:val="16"/>
              </w:rPr>
              <w:t>Name of Issuer</w:t>
            </w:r>
          </w:p>
        </w:tc>
        <w:tc>
          <w:tcPr>
            <w:tcW w:w="1980" w:type="dxa"/>
            <w:shd w:val="clear" w:color="auto" w:fill="BFBFBF" w:themeFill="background1" w:themeFillShade="BF"/>
            <w:vAlign w:val="bottom"/>
          </w:tcPr>
          <w:p w14:paraId="2EEABDA7" w14:textId="77777777" w:rsidR="00943207" w:rsidRPr="00F336E5" w:rsidRDefault="00943207" w:rsidP="00F336E5">
            <w:pPr>
              <w:pStyle w:val="A0"/>
              <w:ind w:firstLine="0"/>
              <w:jc w:val="center"/>
              <w:rPr>
                <w:b/>
                <w:bCs/>
                <w:w w:val="105"/>
                <w:sz w:val="16"/>
                <w:szCs w:val="16"/>
              </w:rPr>
            </w:pPr>
            <w:r w:rsidRPr="00F336E5">
              <w:rPr>
                <w:b/>
                <w:bCs/>
                <w:sz w:val="16"/>
                <w:szCs w:val="16"/>
              </w:rPr>
              <w:t>Name of Project</w:t>
            </w:r>
          </w:p>
        </w:tc>
      </w:tr>
      <w:tr w:rsidR="00943207" w14:paraId="2AE4F837" w14:textId="77777777" w:rsidTr="0030083E">
        <w:tc>
          <w:tcPr>
            <w:tcW w:w="1710" w:type="dxa"/>
            <w:vAlign w:val="center"/>
          </w:tcPr>
          <w:p w14:paraId="3D4AB9CA" w14:textId="77777777" w:rsidR="00943207" w:rsidRPr="00F336E5" w:rsidRDefault="00943207" w:rsidP="00F336E5">
            <w:pPr>
              <w:pStyle w:val="A0"/>
              <w:ind w:firstLine="0"/>
              <w:jc w:val="center"/>
              <w:rPr>
                <w:w w:val="105"/>
                <w:sz w:val="16"/>
                <w:szCs w:val="16"/>
              </w:rPr>
            </w:pPr>
            <w:r w:rsidRPr="00F336E5">
              <w:rPr>
                <w:sz w:val="16"/>
                <w:szCs w:val="16"/>
              </w:rPr>
              <w:t>$54,000,000</w:t>
            </w:r>
          </w:p>
        </w:tc>
        <w:tc>
          <w:tcPr>
            <w:tcW w:w="1440" w:type="dxa"/>
            <w:vAlign w:val="center"/>
          </w:tcPr>
          <w:p w14:paraId="76C642B0" w14:textId="77777777" w:rsidR="00943207" w:rsidRPr="00F336E5" w:rsidRDefault="00943207" w:rsidP="00F336E5">
            <w:pPr>
              <w:pStyle w:val="A0"/>
              <w:ind w:firstLine="0"/>
              <w:jc w:val="center"/>
              <w:rPr>
                <w:w w:val="105"/>
                <w:sz w:val="16"/>
                <w:szCs w:val="16"/>
              </w:rPr>
            </w:pPr>
            <w:r w:rsidRPr="00F336E5">
              <w:rPr>
                <w:sz w:val="16"/>
                <w:szCs w:val="16"/>
              </w:rPr>
              <w:t>Capital Area Finance Authority</w:t>
            </w:r>
          </w:p>
        </w:tc>
        <w:tc>
          <w:tcPr>
            <w:tcW w:w="1980" w:type="dxa"/>
            <w:vAlign w:val="center"/>
          </w:tcPr>
          <w:p w14:paraId="2EF93EA4" w14:textId="77777777" w:rsidR="00943207" w:rsidRPr="00F336E5" w:rsidRDefault="00943207" w:rsidP="00F336E5">
            <w:pPr>
              <w:pStyle w:val="A0"/>
              <w:ind w:firstLine="0"/>
              <w:jc w:val="center"/>
              <w:rPr>
                <w:w w:val="105"/>
                <w:sz w:val="16"/>
                <w:szCs w:val="16"/>
              </w:rPr>
            </w:pPr>
            <w:r w:rsidRPr="00F336E5">
              <w:rPr>
                <w:sz w:val="16"/>
                <w:szCs w:val="16"/>
              </w:rPr>
              <w:t xml:space="preserve">Single Family Mortgage Revenue Bonds (Mortgage-Backed Securities Program) </w:t>
            </w:r>
            <w:r>
              <w:rPr>
                <w:sz w:val="16"/>
                <w:szCs w:val="16"/>
              </w:rPr>
              <w:br/>
            </w:r>
            <w:r w:rsidRPr="00F336E5">
              <w:rPr>
                <w:sz w:val="16"/>
                <w:szCs w:val="16"/>
              </w:rPr>
              <w:t>Series 2026B (Non-AMT)</w:t>
            </w:r>
          </w:p>
        </w:tc>
      </w:tr>
    </w:tbl>
    <w:p w14:paraId="2D131944" w14:textId="77777777" w:rsidR="00943207" w:rsidRPr="00CB26FD" w:rsidRDefault="00943207" w:rsidP="00F336E5">
      <w:pPr>
        <w:pStyle w:val="A0"/>
        <w:rPr>
          <w:w w:val="105"/>
        </w:rPr>
      </w:pPr>
    </w:p>
    <w:p w14:paraId="50BD23E3" w14:textId="77777777" w:rsidR="00943207" w:rsidRPr="00F336E5" w:rsidRDefault="00943207" w:rsidP="00F336E5">
      <w:pPr>
        <w:pStyle w:val="1"/>
        <w:rPr>
          <w:w w:val="105"/>
        </w:rPr>
      </w:pPr>
      <w:bookmarkStart w:id="10" w:name="_Hlk158210587"/>
      <w:r w:rsidRPr="00F336E5">
        <w:rPr>
          <w:w w:val="105"/>
        </w:rPr>
        <w:t>Section 2:</w:t>
      </w:r>
      <w:bookmarkEnd w:id="10"/>
      <w:r w:rsidRPr="00F336E5">
        <w:rPr>
          <w:w w:val="105"/>
        </w:rPr>
        <w:tab/>
        <w:t>The allocation granted herein shall be used only for the bond issues described in Section l and for the general purpose set forth in the “Application for Allocation of a Portion of the State of Louisiana's Private Activity Volume Cap” submitted in connection with the bond issues described in Section 1.</w:t>
      </w:r>
    </w:p>
    <w:p w14:paraId="0316A1AC" w14:textId="77777777" w:rsidR="00943207" w:rsidRPr="00CB26FD" w:rsidRDefault="00943207" w:rsidP="00F336E5">
      <w:pPr>
        <w:pStyle w:val="1"/>
      </w:pPr>
      <w:bookmarkStart w:id="11" w:name="_Hlk158210581"/>
      <w:r w:rsidRPr="00CB26FD">
        <w:rPr>
          <w:bCs/>
          <w:w w:val="110"/>
        </w:rPr>
        <w:t>Section 3:</w:t>
      </w:r>
      <w:bookmarkEnd w:id="11"/>
      <w:r w:rsidRPr="00CB26FD">
        <w:rPr>
          <w:w w:val="110"/>
        </w:rPr>
        <w:tab/>
      </w:r>
      <w:r w:rsidRPr="00CB26FD">
        <w:rPr>
          <w:w w:val="105"/>
        </w:rPr>
        <w:t>The allocations granted herein shall be valid and in full force and effect through</w:t>
      </w:r>
      <w:r w:rsidRPr="00CB26FD">
        <w:rPr>
          <w:spacing w:val="1"/>
          <w:w w:val="105"/>
        </w:rPr>
        <w:t xml:space="preserve"> November 30, 2026</w:t>
      </w:r>
      <w:r w:rsidRPr="00CB26FD">
        <w:rPr>
          <w:w w:val="105"/>
        </w:rPr>
        <w:t>; therefore, any unused amount of the 2026 ceiling allocation shall be deemed returned as of December 1, 2026.</w:t>
      </w:r>
    </w:p>
    <w:p w14:paraId="1644EDAC" w14:textId="355B93B0" w:rsidR="00943207" w:rsidRPr="00CB26FD" w:rsidRDefault="00943207" w:rsidP="00F336E5">
      <w:pPr>
        <w:pStyle w:val="1"/>
        <w:rPr>
          <w:w w:val="105"/>
        </w:rPr>
      </w:pPr>
      <w:bookmarkStart w:id="12" w:name="_Hlk158210575"/>
      <w:r w:rsidRPr="00CB26FD">
        <w:rPr>
          <w:bCs/>
          <w:color w:val="1D1D1D"/>
          <w:w w:val="110"/>
        </w:rPr>
        <w:t>Section 4:</w:t>
      </w:r>
      <w:bookmarkEnd w:id="12"/>
      <w:r w:rsidRPr="00CB26FD">
        <w:rPr>
          <w:bCs/>
          <w:color w:val="1D1D1D"/>
          <w:w w:val="110"/>
        </w:rPr>
        <w:tab/>
      </w:r>
      <w:r w:rsidRPr="00CB26FD">
        <w:rPr>
          <w:w w:val="105"/>
        </w:rPr>
        <w:t>This Order is effective upon signature and shall remain in effect until amended,</w:t>
      </w:r>
      <w:r w:rsidRPr="00CB26FD">
        <w:rPr>
          <w:spacing w:val="1"/>
          <w:w w:val="105"/>
        </w:rPr>
        <w:t xml:space="preserve"> </w:t>
      </w:r>
      <w:r w:rsidRPr="00CB26FD">
        <w:rPr>
          <w:spacing w:val="-1"/>
          <w:w w:val="105"/>
        </w:rPr>
        <w:t xml:space="preserve">modified, terminated, </w:t>
      </w:r>
      <w:r w:rsidRPr="00CB26FD">
        <w:rPr>
          <w:w w:val="105"/>
        </w:rPr>
        <w:t>or rescinded by the Governor, or terminated by operation of</w:t>
      </w:r>
      <w:r w:rsidR="00115ABD">
        <w:rPr>
          <w:w w:val="105"/>
        </w:rPr>
        <w:t xml:space="preserve"> </w:t>
      </w:r>
      <w:r w:rsidRPr="00CB26FD">
        <w:rPr>
          <w:spacing w:val="-58"/>
          <w:w w:val="105"/>
        </w:rPr>
        <w:t xml:space="preserve"> </w:t>
      </w:r>
      <w:r w:rsidR="00115ABD">
        <w:rPr>
          <w:spacing w:val="-58"/>
          <w:w w:val="105"/>
        </w:rPr>
        <w:t xml:space="preserve">  </w:t>
      </w:r>
      <w:r w:rsidRPr="00CB26FD">
        <w:rPr>
          <w:w w:val="105"/>
        </w:rPr>
        <w:t>law.</w:t>
      </w:r>
    </w:p>
    <w:p w14:paraId="6D5E9D13" w14:textId="77777777" w:rsidR="00943207" w:rsidRDefault="00943207" w:rsidP="00F336E5">
      <w:pPr>
        <w:pStyle w:val="ExoNormal"/>
      </w:pPr>
      <w:bookmarkStart w:id="13" w:name="_Hlk158210529"/>
      <w:r w:rsidRPr="00CB26FD">
        <w:rPr>
          <w:bCs/>
        </w:rPr>
        <w:t>IN</w:t>
      </w:r>
      <w:r w:rsidRPr="00CB26FD">
        <w:rPr>
          <w:bCs/>
          <w:spacing w:val="1"/>
        </w:rPr>
        <w:t xml:space="preserve"> </w:t>
      </w:r>
      <w:r w:rsidRPr="00CB26FD">
        <w:rPr>
          <w:bCs/>
        </w:rPr>
        <w:t>WITNESS</w:t>
      </w:r>
      <w:r w:rsidRPr="00CB26FD">
        <w:rPr>
          <w:bCs/>
          <w:spacing w:val="1"/>
        </w:rPr>
        <w:t xml:space="preserve"> </w:t>
      </w:r>
      <w:r w:rsidRPr="00CB26FD">
        <w:rPr>
          <w:bCs/>
        </w:rPr>
        <w:t>WHEREOF</w:t>
      </w:r>
      <w:r w:rsidRPr="00CB26FD">
        <w:rPr>
          <w:bCs/>
          <w:color w:val="383838"/>
        </w:rPr>
        <w:t>,</w:t>
      </w:r>
      <w:r w:rsidRPr="00CB26FD">
        <w:rPr>
          <w:bCs/>
          <w:color w:val="383838"/>
          <w:spacing w:val="1"/>
        </w:rPr>
        <w:t xml:space="preserve"> </w:t>
      </w:r>
      <w:r w:rsidRPr="00CB26FD">
        <w:t>I</w:t>
      </w:r>
      <w:r w:rsidRPr="00CB26FD">
        <w:rPr>
          <w:spacing w:val="1"/>
        </w:rPr>
        <w:t xml:space="preserve"> </w:t>
      </w:r>
      <w:r w:rsidRPr="00CB26FD">
        <w:t>have</w:t>
      </w:r>
      <w:r w:rsidRPr="00CB26FD">
        <w:rPr>
          <w:spacing w:val="1"/>
        </w:rPr>
        <w:t xml:space="preserve"> </w:t>
      </w:r>
      <w:r w:rsidRPr="00CB26FD">
        <w:t>set</w:t>
      </w:r>
      <w:r w:rsidRPr="00CB26FD">
        <w:rPr>
          <w:spacing w:val="1"/>
        </w:rPr>
        <w:t xml:space="preserve"> </w:t>
      </w:r>
      <w:r w:rsidRPr="00CB26FD">
        <w:t>my</w:t>
      </w:r>
      <w:r w:rsidRPr="00CB26FD">
        <w:rPr>
          <w:spacing w:val="1"/>
        </w:rPr>
        <w:t xml:space="preserve"> </w:t>
      </w:r>
      <w:r w:rsidRPr="00CB26FD">
        <w:t>hand</w:t>
      </w:r>
      <w:r w:rsidRPr="00CB26FD">
        <w:rPr>
          <w:spacing w:val="1"/>
        </w:rPr>
        <w:t xml:space="preserve"> </w:t>
      </w:r>
      <w:r w:rsidRPr="00CB26FD">
        <w:t>officially and caused to be affixed</w:t>
      </w:r>
      <w:r w:rsidRPr="00CB26FD">
        <w:rPr>
          <w:spacing w:val="57"/>
        </w:rPr>
        <w:t xml:space="preserve"> </w:t>
      </w:r>
      <w:r w:rsidRPr="00CB26FD">
        <w:t>the Great Seal of</w:t>
      </w:r>
      <w:r w:rsidRPr="00CB26FD">
        <w:rPr>
          <w:spacing w:val="1"/>
        </w:rPr>
        <w:t xml:space="preserve"> </w:t>
      </w:r>
      <w:r w:rsidRPr="00CB26FD">
        <w:t>the State of</w:t>
      </w:r>
      <w:r w:rsidRPr="00CB26FD">
        <w:rPr>
          <w:spacing w:val="1"/>
        </w:rPr>
        <w:t xml:space="preserve"> </w:t>
      </w:r>
      <w:r w:rsidRPr="00CB26FD">
        <w:t>Louisiana</w:t>
      </w:r>
      <w:r w:rsidRPr="00CB26FD">
        <w:rPr>
          <w:spacing w:val="57"/>
        </w:rPr>
        <w:t xml:space="preserve"> </w:t>
      </w:r>
      <w:r w:rsidRPr="00CB26FD">
        <w:t>in</w:t>
      </w:r>
      <w:r w:rsidRPr="00CB26FD">
        <w:rPr>
          <w:spacing w:val="58"/>
        </w:rPr>
        <w:t xml:space="preserve"> </w:t>
      </w:r>
      <w:r w:rsidRPr="00CB26FD">
        <w:t>the City of</w:t>
      </w:r>
      <w:r w:rsidRPr="00CB26FD">
        <w:rPr>
          <w:spacing w:val="57"/>
        </w:rPr>
        <w:t xml:space="preserve"> </w:t>
      </w:r>
      <w:r w:rsidRPr="00CB26FD">
        <w:t>Baton</w:t>
      </w:r>
      <w:r w:rsidRPr="00CB26FD">
        <w:rPr>
          <w:spacing w:val="58"/>
        </w:rPr>
        <w:t xml:space="preserve"> </w:t>
      </w:r>
      <w:r w:rsidRPr="00CB26FD">
        <w:t>Rouge,</w:t>
      </w:r>
      <w:r w:rsidRPr="00CB26FD">
        <w:rPr>
          <w:spacing w:val="1"/>
        </w:rPr>
        <w:t xml:space="preserve"> </w:t>
      </w:r>
      <w:r w:rsidRPr="00CB26FD">
        <w:t>on</w:t>
      </w:r>
      <w:r w:rsidRPr="00CB26FD">
        <w:rPr>
          <w:spacing w:val="18"/>
        </w:rPr>
        <w:t xml:space="preserve"> </w:t>
      </w:r>
      <w:r w:rsidRPr="00CB26FD">
        <w:t>this</w:t>
      </w:r>
      <w:r w:rsidRPr="00CB26FD">
        <w:rPr>
          <w:spacing w:val="2"/>
        </w:rPr>
        <w:t xml:space="preserve"> </w:t>
      </w:r>
      <w:r w:rsidRPr="00CB26FD">
        <w:t>21</w:t>
      </w:r>
      <w:r w:rsidRPr="00CB26FD">
        <w:rPr>
          <w:vertAlign w:val="superscript"/>
        </w:rPr>
        <w:t>st</w:t>
      </w:r>
      <w:r w:rsidRPr="00CB26FD">
        <w:t xml:space="preserve"> day of July, 2026.</w:t>
      </w:r>
    </w:p>
    <w:bookmarkEnd w:id="13"/>
    <w:p w14:paraId="61BCDE95" w14:textId="77777777" w:rsidR="00943207" w:rsidRDefault="00943207" w:rsidP="00F336E5">
      <w:pPr>
        <w:pStyle w:val="RegSignature"/>
      </w:pPr>
    </w:p>
    <w:p w14:paraId="25B3DD90" w14:textId="77777777" w:rsidR="00943207" w:rsidRDefault="00943207" w:rsidP="00F336E5">
      <w:pPr>
        <w:pStyle w:val="RegSignature"/>
      </w:pPr>
      <w:r>
        <w:t>Jeff Landry</w:t>
      </w:r>
    </w:p>
    <w:p w14:paraId="00479237" w14:textId="77777777" w:rsidR="00943207" w:rsidRDefault="00943207" w:rsidP="00F336E5">
      <w:pPr>
        <w:pStyle w:val="RegSignature"/>
      </w:pPr>
      <w:r>
        <w:t>Governor</w:t>
      </w:r>
    </w:p>
    <w:p w14:paraId="54C10499" w14:textId="77777777" w:rsidR="00943207" w:rsidRDefault="00943207" w:rsidP="00F336E5">
      <w:pPr>
        <w:pStyle w:val="ExoSecOfState"/>
      </w:pPr>
      <w:r>
        <w:t>ATTEST BY</w:t>
      </w:r>
    </w:p>
    <w:p w14:paraId="0BDA3967" w14:textId="77777777" w:rsidR="00943207" w:rsidRDefault="00943207" w:rsidP="00F336E5">
      <w:pPr>
        <w:pStyle w:val="ExoSecOfState"/>
      </w:pPr>
      <w:r>
        <w:t>THE GOVERNOR</w:t>
      </w:r>
    </w:p>
    <w:p w14:paraId="4DD8E1C9" w14:textId="77777777" w:rsidR="00943207" w:rsidRDefault="00943207" w:rsidP="00F336E5">
      <w:pPr>
        <w:pStyle w:val="ExoSecOfState"/>
      </w:pPr>
      <w:r>
        <w:t>Nancy Landry</w:t>
      </w:r>
    </w:p>
    <w:p w14:paraId="145AACCC" w14:textId="77777777" w:rsidR="00943207" w:rsidRDefault="00943207" w:rsidP="00F336E5">
      <w:pPr>
        <w:pStyle w:val="ExoSecOfState"/>
      </w:pPr>
      <w:r>
        <w:t>Secretary of State</w:t>
      </w:r>
    </w:p>
    <w:p w14:paraId="75A3BA3D" w14:textId="77777777" w:rsidR="00943207" w:rsidRPr="00CB26FD" w:rsidRDefault="00943207" w:rsidP="00F336E5">
      <w:pPr>
        <w:pStyle w:val="RegLogNumber"/>
      </w:pPr>
      <w:r>
        <w:t>2608#062</w:t>
      </w:r>
    </w:p>
    <w:p w14:paraId="41E30CCC" w14:textId="77777777" w:rsidR="00943207" w:rsidRPr="00943207" w:rsidRDefault="00943207" w:rsidP="00943207"/>
    <w:p w14:paraId="4FB113E6" w14:textId="77777777" w:rsidR="00943207" w:rsidRDefault="00943207" w:rsidP="00AE1725">
      <w:pPr>
        <w:pStyle w:val="RegItemFirstLine"/>
      </w:pPr>
      <w:r>
        <w:t>EXECUTIVE ORDER JML 26-068</w:t>
      </w:r>
    </w:p>
    <w:p w14:paraId="57553B51" w14:textId="77777777" w:rsidR="00943207" w:rsidRDefault="00943207" w:rsidP="00AE1725">
      <w:pPr>
        <w:pStyle w:val="RegItemTitle"/>
      </w:pPr>
      <w:r w:rsidRPr="00C4037E">
        <w:t xml:space="preserve">State </w:t>
      </w:r>
      <w:r>
        <w:t>o</w:t>
      </w:r>
      <w:r w:rsidRPr="00C4037E">
        <w:t xml:space="preserve">f Emergency </w:t>
      </w:r>
      <w:r>
        <w:br/>
      </w:r>
      <w:r w:rsidRPr="00C4037E">
        <w:t>Tropical Storm Bertha</w:t>
      </w:r>
      <w:r>
        <w:t>—</w:t>
      </w:r>
      <w:r w:rsidRPr="00C4037E">
        <w:t>July 22, 2026</w:t>
      </w:r>
    </w:p>
    <w:p w14:paraId="7BD16751" w14:textId="77777777" w:rsidR="00943207" w:rsidRPr="00C4037E" w:rsidRDefault="00943207" w:rsidP="00AE1725">
      <w:pPr>
        <w:pStyle w:val="ExoNormal"/>
      </w:pPr>
      <w:r w:rsidRPr="00C4037E">
        <w:rPr>
          <w:bCs/>
        </w:rPr>
        <w:t>WHEREAS,</w:t>
      </w:r>
      <w:r w:rsidRPr="00C4037E">
        <w:t xml:space="preserve"> the Governor is responsible for meeting the dangers to the state and people presented by emergencies and disasters;</w:t>
      </w:r>
    </w:p>
    <w:p w14:paraId="2B7586E9" w14:textId="77777777" w:rsidR="00943207" w:rsidRPr="00C4037E" w:rsidRDefault="00943207" w:rsidP="00AE1725">
      <w:pPr>
        <w:pStyle w:val="ExoNormal"/>
      </w:pPr>
      <w:r w:rsidRPr="00C4037E">
        <w:rPr>
          <w:bCs/>
        </w:rPr>
        <w:t>WHEREAS,</w:t>
      </w:r>
      <w:r w:rsidRPr="00C4037E">
        <w:t xml:space="preserve"> the Louisiana Homeland Security and Emergency Assistance and Disaster Act, La. R.S. 29:721, </w:t>
      </w:r>
      <w:r w:rsidRPr="00C4037E">
        <w:rPr>
          <w:i/>
          <w:iCs/>
        </w:rPr>
        <w:t>et seq.</w:t>
      </w:r>
      <w:r w:rsidRPr="00C4037E">
        <w:t>, confers upon the Governor of the State of Louisiana emergency powers to address disasters resulting from natural or man-made events that cause or threaten loss of life, injury, or property damage, as well as emergencies, which include actual or potential conditions created by such disasters, in order to ensure that the preparations of this State will be adequate to deal with such emergencies or disasters and to preserve the lives and property of the people of the State of Louisiana;</w:t>
      </w:r>
    </w:p>
    <w:p w14:paraId="56C5757B" w14:textId="77777777" w:rsidR="00943207" w:rsidRPr="00C4037E" w:rsidRDefault="00943207" w:rsidP="00AE1725">
      <w:pPr>
        <w:pStyle w:val="ExoNormal"/>
      </w:pPr>
      <w:r w:rsidRPr="00C4037E">
        <w:rPr>
          <w:bCs/>
        </w:rPr>
        <w:t>WHEREAS,</w:t>
      </w:r>
      <w:r w:rsidRPr="00C4037E">
        <w:t xml:space="preserve"> when the Governor determines that a disaster or emergency has occurred, or the threat thereof is imminent, R.S. 29:724(B)(1) empowers him to declare a state of emergency or disaster by executive order, which has the force and effect of law; </w:t>
      </w:r>
    </w:p>
    <w:p w14:paraId="7038CB8B" w14:textId="77777777" w:rsidR="00943207" w:rsidRPr="00C4037E" w:rsidRDefault="00943207" w:rsidP="00AE1725">
      <w:pPr>
        <w:pStyle w:val="ExoNormal"/>
      </w:pPr>
      <w:r w:rsidRPr="00C4037E">
        <w:rPr>
          <w:bCs/>
        </w:rPr>
        <w:t>WHEREAS,</w:t>
      </w:r>
      <w:r w:rsidRPr="00C4037E">
        <w:t xml:space="preserve"> R.S. 29:724 authorizes the Governor during a declared state of emergency to suspend the provisions of any state regulatory statute prescribing procedures for conducting state business, or the orders, rules, or regulations of any state agency, if strict compliance with the provision of any statute, order, rule, or regulation would in any way prevent, hinder, or delay necessary action in coping with the emergency;</w:t>
      </w:r>
    </w:p>
    <w:p w14:paraId="4DE587DC" w14:textId="77777777" w:rsidR="00943207" w:rsidRDefault="00943207" w:rsidP="00AE1725">
      <w:pPr>
        <w:pStyle w:val="ExoNormal"/>
      </w:pPr>
      <w:r w:rsidRPr="00C4037E">
        <w:rPr>
          <w:bCs/>
        </w:rPr>
        <w:t>WHEREAS</w:t>
      </w:r>
      <w:r w:rsidRPr="00C4037E">
        <w:t xml:space="preserve">, the state of Louisiana desires to promote and protect the health, safety, and well-being of evacuees from Tropical Storm Bertha and specifically those evacuees needing nursing facility services; </w:t>
      </w:r>
    </w:p>
    <w:p w14:paraId="7999E034" w14:textId="77777777" w:rsidR="00943207" w:rsidRPr="00C4037E" w:rsidRDefault="00943207" w:rsidP="00AE1725">
      <w:pPr>
        <w:pStyle w:val="ExoNormal"/>
      </w:pPr>
      <w:r w:rsidRPr="00C4037E">
        <w:rPr>
          <w:bCs/>
        </w:rPr>
        <w:t>WHEREAS</w:t>
      </w:r>
      <w:r w:rsidRPr="00C4037E">
        <w:t xml:space="preserve">, R.S. 40:2116.1(B)(1) prohibits the Department of Health from approving additional beds in nursing facilities; </w:t>
      </w:r>
    </w:p>
    <w:p w14:paraId="1F3B3091" w14:textId="77777777" w:rsidR="00943207" w:rsidRPr="00C4037E" w:rsidRDefault="00943207" w:rsidP="00AE1725">
      <w:pPr>
        <w:pStyle w:val="ExoNormal"/>
      </w:pPr>
      <w:r w:rsidRPr="00C4037E">
        <w:rPr>
          <w:bCs/>
        </w:rPr>
        <w:t>WHEREAS</w:t>
      </w:r>
      <w:r w:rsidRPr="00C4037E">
        <w:t>, the state of Louisiana desires that residents and evacuees in nursing facilities be able to temporarily evacuate to safe sheltering locations during an emergency;</w:t>
      </w:r>
    </w:p>
    <w:p w14:paraId="3CC2DFF3" w14:textId="77777777" w:rsidR="00943207" w:rsidRPr="00C4037E" w:rsidRDefault="00943207" w:rsidP="00AE1725">
      <w:pPr>
        <w:pStyle w:val="ExoNormal"/>
      </w:pPr>
      <w:r w:rsidRPr="00C4037E">
        <w:rPr>
          <w:bCs/>
        </w:rPr>
        <w:t>WHEREAS,</w:t>
      </w:r>
      <w:r w:rsidRPr="00C4037E">
        <w:t xml:space="preserve"> a declaration of emergency or disaster activates the state’s emergency response and recovery program under the command of the Director of the Governor’s Office of Homeland Security and Emergency Preparedness (“GOHSEP”);</w:t>
      </w:r>
    </w:p>
    <w:p w14:paraId="1B164CBD" w14:textId="77777777" w:rsidR="00943207" w:rsidRPr="00C4037E" w:rsidRDefault="00943207" w:rsidP="00AE1725">
      <w:pPr>
        <w:pStyle w:val="ExoNormal"/>
      </w:pPr>
      <w:r w:rsidRPr="00C4037E">
        <w:rPr>
          <w:bCs/>
        </w:rPr>
        <w:t xml:space="preserve">WHEREAS, </w:t>
      </w:r>
      <w:r w:rsidRPr="00C4037E">
        <w:t xml:space="preserve">GOHSEP is responsible for determining the requirements of the state and its political subdivisions for food, clothing, and other necessities and supplies in a designated emergency area; </w:t>
      </w:r>
    </w:p>
    <w:p w14:paraId="418AB1DF" w14:textId="77777777" w:rsidR="00943207" w:rsidRPr="00C4037E" w:rsidRDefault="00943207" w:rsidP="00AE1725">
      <w:pPr>
        <w:pStyle w:val="ExoNormal"/>
        <w:rPr>
          <w:highlight w:val="yellow"/>
        </w:rPr>
      </w:pPr>
      <w:r w:rsidRPr="00C4037E">
        <w:rPr>
          <w:bCs/>
        </w:rPr>
        <w:t>WHEREAS,</w:t>
      </w:r>
      <w:r w:rsidRPr="00C4037E">
        <w:t xml:space="preserve"> the National Weather Service forecasts that Tropical Storm Bertha will bring tropical storm force winds and localized flooding to Louisiana’s coastal parishes over the next several days;</w:t>
      </w:r>
    </w:p>
    <w:p w14:paraId="00D68F3C" w14:textId="77777777" w:rsidR="00943207" w:rsidRPr="00C4037E" w:rsidRDefault="00943207" w:rsidP="00AE1725">
      <w:pPr>
        <w:pStyle w:val="ExoNormal"/>
      </w:pPr>
      <w:r w:rsidRPr="00C4037E">
        <w:rPr>
          <w:bCs/>
        </w:rPr>
        <w:t>WHEREAS,</w:t>
      </w:r>
      <w:r w:rsidRPr="00C4037E">
        <w:t xml:space="preserve"> many parishes have declared states of emergency and are executing their emergency operations plans to conduct emergency protective measures; and</w:t>
      </w:r>
    </w:p>
    <w:p w14:paraId="384CCDC6" w14:textId="77777777" w:rsidR="006219DE" w:rsidRDefault="006219DE" w:rsidP="00AE1725">
      <w:pPr>
        <w:pStyle w:val="ExoNormal"/>
        <w:rPr>
          <w:bCs/>
        </w:rPr>
      </w:pPr>
      <w:r>
        <w:rPr>
          <w:bCs/>
        </w:rPr>
        <w:br w:type="page"/>
      </w:r>
    </w:p>
    <w:p w14:paraId="42418E65" w14:textId="4B1679D5" w:rsidR="00943207" w:rsidRPr="00C4037E" w:rsidRDefault="00943207" w:rsidP="00AE1725">
      <w:pPr>
        <w:pStyle w:val="ExoNormal"/>
      </w:pPr>
      <w:r w:rsidRPr="00C4037E">
        <w:rPr>
          <w:bCs/>
        </w:rPr>
        <w:lastRenderedPageBreak/>
        <w:t xml:space="preserve">WHEREAS, </w:t>
      </w:r>
      <w:r w:rsidRPr="00C4037E">
        <w:t xml:space="preserve">some parishes may require assistance from the State to provide resources to protect the life, safety, and welfare of the citizens of Louisiana, especially those parishes conducting search and rescue, evacuations, and sheltering operations; </w:t>
      </w:r>
    </w:p>
    <w:p w14:paraId="680088DD" w14:textId="77777777" w:rsidR="00943207" w:rsidRPr="00C4037E" w:rsidRDefault="00943207" w:rsidP="00AE1725">
      <w:pPr>
        <w:pStyle w:val="ExoNormal"/>
      </w:pPr>
      <w:r w:rsidRPr="00C4037E">
        <w:rPr>
          <w:bCs/>
        </w:rPr>
        <w:t>NOW THEREFORE, I, JEFF LANDRY,</w:t>
      </w:r>
      <w:r w:rsidRPr="00C4037E">
        <w:t xml:space="preserve"> Governor of the State of Louisiana, by virtue of the authority vested by the Constitution and laws of the State of Louisiana, order and direct as follows:</w:t>
      </w:r>
    </w:p>
    <w:p w14:paraId="778F7939" w14:textId="77777777" w:rsidR="00943207" w:rsidRDefault="00943207" w:rsidP="00AE1725">
      <w:pPr>
        <w:pStyle w:val="1"/>
      </w:pPr>
      <w:r w:rsidRPr="00C4037E">
        <w:t>Section 1:</w:t>
      </w:r>
      <w:r w:rsidRPr="00C4037E">
        <w:tab/>
        <w:t xml:space="preserve">Pursuant to the Louisiana Homeland Security and Emergency Assistance and Disaster Act, R.S. 29:721, </w:t>
      </w:r>
      <w:r w:rsidRPr="00C4037E">
        <w:rPr>
          <w:i/>
          <w:iCs/>
        </w:rPr>
        <w:t>et seq</w:t>
      </w:r>
      <w:r w:rsidRPr="00C4037E">
        <w:t xml:space="preserve">., a state of emergency is hereby declared to exist as a result of the emergency conditions that currently threaten the lives, safety, and property of the citizens in Louisiana. </w:t>
      </w:r>
    </w:p>
    <w:p w14:paraId="562A71F9" w14:textId="77777777" w:rsidR="00943207" w:rsidRPr="00C4037E" w:rsidRDefault="00943207" w:rsidP="00AE1725">
      <w:pPr>
        <w:pStyle w:val="1"/>
      </w:pPr>
      <w:r w:rsidRPr="00C4037E">
        <w:t>Section 2:</w:t>
      </w:r>
      <w:r w:rsidRPr="00C4037E">
        <w:tab/>
        <w:t xml:space="preserve">Pursuant to R.S. 29:724(A)(3) the designated emergency area is the State of Louisiana. </w:t>
      </w:r>
    </w:p>
    <w:p w14:paraId="35633772" w14:textId="77777777" w:rsidR="00943207" w:rsidRPr="00C4037E" w:rsidRDefault="00943207" w:rsidP="00AE1725">
      <w:pPr>
        <w:pStyle w:val="1"/>
      </w:pPr>
      <w:r w:rsidRPr="00C4037E">
        <w:t>Section 3:</w:t>
      </w:r>
      <w:r w:rsidRPr="00C4037E">
        <w:tab/>
        <w:t xml:space="preserve">The Director of the Governor’s Office of Homeland Security and Emergency Preparedness (“GOHSEP”) is hereby authorized to undertake any activity authorized by law that he deems appropriate in response to this declaration. </w:t>
      </w:r>
    </w:p>
    <w:p w14:paraId="3A52F006" w14:textId="77777777" w:rsidR="00943207" w:rsidRPr="00C4037E" w:rsidRDefault="00943207" w:rsidP="00AE1725">
      <w:pPr>
        <w:pStyle w:val="1"/>
      </w:pPr>
      <w:r w:rsidRPr="00C4037E">
        <w:t>Section 4:</w:t>
      </w:r>
      <w:r w:rsidRPr="00C4037E">
        <w:tab/>
        <w:t>Pursuant to R.S. 29:732, during a declared state of emergency, the prices charged or value received for goods and services sold within the designated emergency area may not exceed the prices ordinarily charged for comparable goods and services in the same market area at or immediately before the time of the state of emergency, unless the price by the seller is attributable to fluctuations in applicable commodity markets, fluctuations in applicable regional or national market trends, or to reasonable expenses and charges and attendant business risk incurred in procuring or selling the goods or services during the state of emergency.</w:t>
      </w:r>
    </w:p>
    <w:p w14:paraId="1ACEE754" w14:textId="77777777" w:rsidR="00943207" w:rsidRPr="00C4037E" w:rsidRDefault="00943207" w:rsidP="00AE1725">
      <w:pPr>
        <w:pStyle w:val="1"/>
        <w:rPr>
          <w:bCs/>
        </w:rPr>
      </w:pPr>
      <w:r w:rsidRPr="00C4037E">
        <w:t>Section 5:</w:t>
      </w:r>
      <w:r w:rsidRPr="00C4037E">
        <w:tab/>
        <w:t xml:space="preserve">Pursuant to R.S. 29:724(D)(l), the Louisiana Procurement Code (R.S. 39:1551, </w:t>
      </w:r>
      <w:r w:rsidRPr="00C4037E">
        <w:rPr>
          <w:i/>
          <w:iCs/>
        </w:rPr>
        <w:t>et seq</w:t>
      </w:r>
      <w:r w:rsidRPr="00C4037E">
        <w:t xml:space="preserve">.) and Louisiana Public Bid Law (R.S. 38:2211, </w:t>
      </w:r>
      <w:r w:rsidRPr="00C4037E">
        <w:rPr>
          <w:i/>
          <w:iCs/>
        </w:rPr>
        <w:t>et seq</w:t>
      </w:r>
      <w:r w:rsidRPr="00C4037E">
        <w:t>.) and their corresponding rules and regulations are hereby suspended for the purpose of the procurement of any good or services necessary to respond to this emergency, including emergency contracts, cooperative endeavor agreements, and any other emergency amendments to existing contracts.</w:t>
      </w:r>
    </w:p>
    <w:p w14:paraId="0E8D507E" w14:textId="77777777" w:rsidR="00943207" w:rsidRPr="00C4037E" w:rsidRDefault="00943207" w:rsidP="00AE1725">
      <w:pPr>
        <w:pStyle w:val="1"/>
      </w:pPr>
      <w:r w:rsidRPr="00C4037E">
        <w:t>Section 6:</w:t>
      </w:r>
      <w:r w:rsidRPr="00C4037E">
        <w:tab/>
        <w:t>The provisions of La. R.S. 40:2116.1(B)(1) are hereby suspended for the purpose of allowing the Secretary of the Department of Health and the Louisiana Surgeon General, at their discretion, to establish such protocols, policies, and procedures as to allow a licensed nursing facility which accepts or receives evacuated residents to temporarily exceed its licensed bed capacity in the event of a declared emergency. The Secretary of the Department of Health and/or the Louisiana Surgeon General may establish such protocols, policies, and procedures without strict compliance with the requirements and provisions of the Administrative Procedure Act.</w:t>
      </w:r>
    </w:p>
    <w:p w14:paraId="5E55B67B" w14:textId="77777777" w:rsidR="00943207" w:rsidRPr="00C4037E" w:rsidRDefault="00943207" w:rsidP="00AE1725">
      <w:pPr>
        <w:pStyle w:val="1"/>
      </w:pPr>
      <w:r w:rsidRPr="00C4037E">
        <w:t>Section 7:</w:t>
      </w:r>
      <w:r w:rsidRPr="00C4037E">
        <w:tab/>
        <w:t>All departments, commissions, boards, agencies and officers of the State, or any political subdivision thereof, are authorized and directed to cooperate in actions the State may take in response to this event.</w:t>
      </w:r>
    </w:p>
    <w:p w14:paraId="19467C2E" w14:textId="77777777" w:rsidR="00943207" w:rsidRPr="00C4037E" w:rsidRDefault="00943207" w:rsidP="00AE1725">
      <w:pPr>
        <w:pStyle w:val="1"/>
      </w:pPr>
      <w:r w:rsidRPr="00C4037E">
        <w:t>Section 8:</w:t>
      </w:r>
      <w:r w:rsidRPr="00C4037E">
        <w:tab/>
        <w:t>This Order is effective upon signature and shall remain in effect from Wednesday, July 22, 2026 until Wednesday, August 5, 2026, unless amended, modified, terminated, or rescinded earlier by the Governor, or terminated by operation of law.</w:t>
      </w:r>
    </w:p>
    <w:p w14:paraId="4016AEFA" w14:textId="77777777" w:rsidR="00943207" w:rsidRDefault="00943207" w:rsidP="00AE1725">
      <w:pPr>
        <w:pStyle w:val="ExoNormal"/>
        <w:rPr>
          <w:bCs/>
          <w:i/>
          <w:iCs/>
        </w:rPr>
      </w:pPr>
      <w:r w:rsidRPr="00C4037E">
        <w:rPr>
          <w:bCs/>
        </w:rPr>
        <w:t xml:space="preserve">IN WITNESS WHEREOF, </w:t>
      </w:r>
      <w:r w:rsidRPr="00C4037E">
        <w:t>I have set my hand officially and caused to be affixed the Great Seal of Louisiana in the City of Baton Rouge, on this 22</w:t>
      </w:r>
      <w:r w:rsidRPr="00C4037E">
        <w:rPr>
          <w:vertAlign w:val="superscript"/>
        </w:rPr>
        <w:t>nd</w:t>
      </w:r>
      <w:r>
        <w:t xml:space="preserve"> </w:t>
      </w:r>
      <w:r w:rsidRPr="00C4037E">
        <w:t>day of July 2026.</w:t>
      </w:r>
    </w:p>
    <w:p w14:paraId="4143847D" w14:textId="77777777" w:rsidR="00943207" w:rsidRDefault="00943207" w:rsidP="00AE1725">
      <w:pPr>
        <w:pStyle w:val="RegSignature"/>
        <w:rPr>
          <w:shd w:val="clear" w:color="auto" w:fill="FFFFFF"/>
        </w:rPr>
      </w:pPr>
    </w:p>
    <w:p w14:paraId="563E76D1" w14:textId="77777777" w:rsidR="00943207" w:rsidRDefault="00943207" w:rsidP="00AE1725">
      <w:pPr>
        <w:pStyle w:val="RegSignature"/>
        <w:rPr>
          <w:shd w:val="clear" w:color="auto" w:fill="FFFFFF"/>
        </w:rPr>
      </w:pPr>
      <w:r>
        <w:rPr>
          <w:shd w:val="clear" w:color="auto" w:fill="FFFFFF"/>
        </w:rPr>
        <w:t>Jeff Landry</w:t>
      </w:r>
    </w:p>
    <w:p w14:paraId="35610DBD" w14:textId="77777777" w:rsidR="00943207" w:rsidRDefault="00943207" w:rsidP="00AE1725">
      <w:pPr>
        <w:pStyle w:val="RegSignature"/>
        <w:rPr>
          <w:shd w:val="clear" w:color="auto" w:fill="FFFFFF"/>
        </w:rPr>
      </w:pPr>
      <w:r>
        <w:rPr>
          <w:shd w:val="clear" w:color="auto" w:fill="FFFFFF"/>
        </w:rPr>
        <w:t>Governor</w:t>
      </w:r>
    </w:p>
    <w:p w14:paraId="6758CF05" w14:textId="77777777" w:rsidR="00943207" w:rsidRDefault="00943207" w:rsidP="00AE1725">
      <w:pPr>
        <w:pStyle w:val="ExoSecOfState"/>
        <w:rPr>
          <w:shd w:val="clear" w:color="auto" w:fill="FFFFFF"/>
        </w:rPr>
      </w:pPr>
      <w:r>
        <w:rPr>
          <w:shd w:val="clear" w:color="auto" w:fill="FFFFFF"/>
        </w:rPr>
        <w:t>ATTEST BY</w:t>
      </w:r>
    </w:p>
    <w:p w14:paraId="550AD7F8" w14:textId="77777777" w:rsidR="00943207" w:rsidRDefault="00943207" w:rsidP="00AE1725">
      <w:pPr>
        <w:pStyle w:val="ExoSecOfState"/>
        <w:rPr>
          <w:shd w:val="clear" w:color="auto" w:fill="FFFFFF"/>
        </w:rPr>
      </w:pPr>
      <w:r>
        <w:rPr>
          <w:shd w:val="clear" w:color="auto" w:fill="FFFFFF"/>
        </w:rPr>
        <w:t>THE GOVERNOR</w:t>
      </w:r>
    </w:p>
    <w:p w14:paraId="1C0C272D" w14:textId="77777777" w:rsidR="00943207" w:rsidRDefault="00943207" w:rsidP="00AE1725">
      <w:pPr>
        <w:pStyle w:val="ExoSecOfState"/>
        <w:rPr>
          <w:shd w:val="clear" w:color="auto" w:fill="FFFFFF"/>
        </w:rPr>
      </w:pPr>
      <w:r>
        <w:rPr>
          <w:shd w:val="clear" w:color="auto" w:fill="FFFFFF"/>
        </w:rPr>
        <w:t>Nancy Landry</w:t>
      </w:r>
    </w:p>
    <w:p w14:paraId="1947BA46" w14:textId="77777777" w:rsidR="00943207" w:rsidRDefault="00943207" w:rsidP="00AE1725">
      <w:pPr>
        <w:pStyle w:val="ExoSecOfState"/>
        <w:rPr>
          <w:shd w:val="clear" w:color="auto" w:fill="FFFFFF"/>
        </w:rPr>
      </w:pPr>
      <w:r>
        <w:rPr>
          <w:shd w:val="clear" w:color="auto" w:fill="FFFFFF"/>
        </w:rPr>
        <w:t>Secretary of State</w:t>
      </w:r>
    </w:p>
    <w:p w14:paraId="6FC1C97F" w14:textId="77777777" w:rsidR="00943207" w:rsidRPr="00C4037E" w:rsidRDefault="00943207" w:rsidP="00AE1725">
      <w:pPr>
        <w:pStyle w:val="RegLogNumber"/>
        <w:rPr>
          <w:shd w:val="clear" w:color="auto" w:fill="FFFFFF"/>
        </w:rPr>
      </w:pPr>
      <w:r>
        <w:rPr>
          <w:shd w:val="clear" w:color="auto" w:fill="FFFFFF"/>
        </w:rPr>
        <w:t>2608#063</w:t>
      </w:r>
    </w:p>
    <w:p w14:paraId="3830A706" w14:textId="77777777" w:rsidR="00943207" w:rsidRPr="00943207" w:rsidRDefault="00943207" w:rsidP="00943207"/>
    <w:p w14:paraId="24FFF03D" w14:textId="77777777" w:rsidR="00943207" w:rsidRDefault="00943207" w:rsidP="009A79A8">
      <w:pPr>
        <w:pStyle w:val="RegItemFirstLine"/>
      </w:pPr>
      <w:r>
        <w:t>EXECUTIVE ORDER JML 26-069</w:t>
      </w:r>
    </w:p>
    <w:p w14:paraId="09B02550" w14:textId="6EFB9ABF" w:rsidR="00943207" w:rsidRPr="00A94A19" w:rsidRDefault="00943207" w:rsidP="00167C68">
      <w:pPr>
        <w:pStyle w:val="RegItemTitle"/>
      </w:pPr>
      <w:r w:rsidRPr="00A94A19">
        <w:t>Louisiana Taxpayer Protection Initiative</w:t>
      </w:r>
      <w:r>
        <w:br/>
      </w:r>
      <w:r w:rsidRPr="00A94A19">
        <w:t xml:space="preserve">Combating Fraud </w:t>
      </w:r>
      <w:r w:rsidR="00C214A3">
        <w:t>T</w:t>
      </w:r>
      <w:r w:rsidRPr="00A94A19">
        <w:t xml:space="preserve">hrough Federal-State </w:t>
      </w:r>
      <w:r>
        <w:br/>
      </w:r>
      <w:r w:rsidRPr="00A94A19">
        <w:t>Partnerships and Cooperation</w:t>
      </w:r>
    </w:p>
    <w:p w14:paraId="459416AC" w14:textId="77777777" w:rsidR="00943207" w:rsidRPr="00A94A19" w:rsidRDefault="00943207" w:rsidP="009A79A8">
      <w:pPr>
        <w:pStyle w:val="ExoNormal"/>
      </w:pPr>
      <w:r w:rsidRPr="00A94A19">
        <w:rPr>
          <w:bCs/>
        </w:rPr>
        <w:t xml:space="preserve">WHEREAS, </w:t>
      </w:r>
      <w:r w:rsidRPr="00A94A19">
        <w:t>the people of Louisiana are entitled to a government that safeguards every taxpayer dollar, and protecting taxpayers against fraud, waste, abuse, and improper payments is the central purpose of this Order;</w:t>
      </w:r>
    </w:p>
    <w:p w14:paraId="5D36AF8E" w14:textId="77777777" w:rsidR="00943207" w:rsidRPr="00A94A19" w:rsidRDefault="00943207" w:rsidP="009A79A8">
      <w:pPr>
        <w:pStyle w:val="ExoNormal"/>
      </w:pPr>
      <w:r w:rsidRPr="00A94A19">
        <w:rPr>
          <w:bCs/>
        </w:rPr>
        <w:t xml:space="preserve">WHEREAS, </w:t>
      </w:r>
      <w:r w:rsidRPr="00A94A19">
        <w:t>Louisiana</w:t>
      </w:r>
      <w:r w:rsidRPr="00A94A19">
        <w:rPr>
          <w:bCs/>
        </w:rPr>
        <w:t xml:space="preserve"> </w:t>
      </w:r>
      <w:r w:rsidRPr="00A94A19">
        <w:t>administers billions of dollars each year in state and federal funds, including Medicaid, unemployment compensation, the Supplemental Nutrition Assistance Program and other public-assistance programs, disaster-recovery assistance, and procurement, which are each vulnerable to fraud, abuse, and improper payments;</w:t>
      </w:r>
    </w:p>
    <w:p w14:paraId="15F9CA15" w14:textId="483FA752" w:rsidR="00943207" w:rsidRPr="00A94A19" w:rsidRDefault="00943207" w:rsidP="009A79A8">
      <w:pPr>
        <w:pStyle w:val="ExoNormal"/>
      </w:pPr>
      <w:r w:rsidRPr="00A94A19">
        <w:rPr>
          <w:bCs/>
        </w:rPr>
        <w:t xml:space="preserve">WHEREAS, </w:t>
      </w:r>
      <w:r w:rsidRPr="00A94A19">
        <w:t>President Donald Trump has made eliminating fraud, waste, and abuse a national priority through the federal Department of Government Efficiency (“DOGE”) initiative and related 2025 executive orders, directing interagency data sharing and stronger payment integrity (including Executive Orders 14158 and 14243), and the State should pursue the same objectives—employing modern, prevention-first tools to stop improper payments before funds are disbursed—consistent with the Constitution and laws of Louisiana;</w:t>
      </w:r>
    </w:p>
    <w:p w14:paraId="2ACA45E5" w14:textId="77777777" w:rsidR="00943207" w:rsidRPr="00A94A19" w:rsidRDefault="00943207" w:rsidP="009A79A8">
      <w:pPr>
        <w:pStyle w:val="ExoNormal"/>
      </w:pPr>
      <w:r w:rsidRPr="00A94A19">
        <w:rPr>
          <w:bCs/>
        </w:rPr>
        <w:t xml:space="preserve">WHEREAS, </w:t>
      </w:r>
      <w:r w:rsidRPr="00A94A19">
        <w:t>I have previously advanced these objectives by establishing the Fiscal Responsibility Program under Executive Order JML 24-176, as amended by Executive Order JML 26-001.</w:t>
      </w:r>
      <w:r>
        <w:t xml:space="preserve"> </w:t>
      </w:r>
      <w:r w:rsidRPr="00A94A19">
        <w:t>These executive orders are directed at evaluating state contracts, identifying government waste, and finding efficiencies that reduce burdens on taxpayers, which is a responsibility now assigned to the State Inspector General;</w:t>
      </w:r>
    </w:p>
    <w:p w14:paraId="2CE839DC" w14:textId="77777777" w:rsidR="00943207" w:rsidRPr="00A94A19" w:rsidRDefault="00943207" w:rsidP="009A79A8">
      <w:pPr>
        <w:pStyle w:val="ExoNormal"/>
      </w:pPr>
      <w:r w:rsidRPr="00A94A19">
        <w:rPr>
          <w:bCs/>
        </w:rPr>
        <w:t xml:space="preserve">WHEREAS, </w:t>
      </w:r>
      <w:r w:rsidRPr="00A94A19">
        <w:t>the prevention and detection of waste, mismanagement, abuse, fraud, and corruption in the executive branch is already declared by law to be an important responsibility of the state, and an independent State Inspector General is established within the Office of the Governor for that purpose under R.S. 49:220.21.</w:t>
      </w:r>
      <w:r>
        <w:t xml:space="preserve"> </w:t>
      </w:r>
      <w:r w:rsidRPr="00A94A19">
        <w:t>Pursuant to R.S. 49:220.24, the State Inspector General has the authority to investigate covered agencies, to access their records (including certain records held by third parties), and to refer credible evidence of criminal activity to the appropriate prosecutorial agencies;</w:t>
      </w:r>
    </w:p>
    <w:p w14:paraId="64007454" w14:textId="77777777" w:rsidR="00943207" w:rsidRPr="00A94A19" w:rsidRDefault="00943207" w:rsidP="009A79A8">
      <w:pPr>
        <w:pStyle w:val="ExoNormal"/>
      </w:pPr>
      <w:r w:rsidRPr="00A94A19">
        <w:rPr>
          <w:bCs/>
        </w:rPr>
        <w:t xml:space="preserve">WHEREAS, </w:t>
      </w:r>
      <w:r w:rsidRPr="00A94A19">
        <w:t>pursuant to</w:t>
      </w:r>
      <w:r w:rsidRPr="00A94A19">
        <w:rPr>
          <w:bCs/>
        </w:rPr>
        <w:t xml:space="preserve"> </w:t>
      </w:r>
      <w:r w:rsidRPr="00A94A19">
        <w:t xml:space="preserve">La. Const. art. IV, sec. 8, the Attorney General is the chief legal officer of the State charged with protecting the interests of the State and its citizens, including through the Medicaid Fraud Control Unit and the civil recovery of public funds; and the participation and leadership of the Attorney General in this initiative will </w:t>
      </w:r>
      <w:r w:rsidRPr="00A94A19">
        <w:lastRenderedPageBreak/>
        <w:t>strengthen the State’s coordinated effort to prevent, detect, and recover losses caused by fraud, waste, abuse, and improper payments;</w:t>
      </w:r>
    </w:p>
    <w:p w14:paraId="007B9854" w14:textId="77777777" w:rsidR="00943207" w:rsidRPr="00A94A19" w:rsidRDefault="00943207" w:rsidP="009A79A8">
      <w:pPr>
        <w:pStyle w:val="ExoNormal"/>
      </w:pPr>
      <w:r w:rsidRPr="00A94A19">
        <w:rPr>
          <w:bCs/>
        </w:rPr>
        <w:t xml:space="preserve">WHEREAS, </w:t>
      </w:r>
      <w:r w:rsidRPr="00A94A19">
        <w:t>the Legislative Auditor reports annually on waste, inefficiencies, and erroneous or improper payments by the state under R.S. 24:516.1, and a coordinated effort under unified leadership will maximize the prevention of losses and the recovery of misspent public funds; and</w:t>
      </w:r>
    </w:p>
    <w:p w14:paraId="208F91E1" w14:textId="77777777" w:rsidR="00943207" w:rsidRPr="00A94A19" w:rsidRDefault="00943207" w:rsidP="009A79A8">
      <w:pPr>
        <w:pStyle w:val="ExoNormal"/>
      </w:pPr>
      <w:r w:rsidRPr="00A94A19">
        <w:rPr>
          <w:bCs/>
        </w:rPr>
        <w:t xml:space="preserve">WHEREAS, </w:t>
      </w:r>
      <w:r w:rsidRPr="00A94A19">
        <w:t>the Governor has the authority to organize and direct the executive branch to accomplish these purposes.</w:t>
      </w:r>
    </w:p>
    <w:p w14:paraId="3EDC2388" w14:textId="77777777" w:rsidR="00943207" w:rsidRPr="00A94A19" w:rsidRDefault="00943207" w:rsidP="009A79A8">
      <w:pPr>
        <w:pStyle w:val="ExoNormal"/>
      </w:pPr>
      <w:r w:rsidRPr="00A94A19">
        <w:rPr>
          <w:bCs/>
        </w:rPr>
        <w:t xml:space="preserve">NOW THEREFORE, I, JEFF LANDRY, </w:t>
      </w:r>
      <w:r w:rsidRPr="00A94A19">
        <w:t>Governor of the State of Louisiana, by virtue of the authority vested by the Constitution and laws of the State of Louisiana, do hereby order and direct as follows:</w:t>
      </w:r>
    </w:p>
    <w:p w14:paraId="1E4BDFA1" w14:textId="77777777" w:rsidR="00943207" w:rsidRPr="00A94A19" w:rsidRDefault="00943207" w:rsidP="00167C68">
      <w:pPr>
        <w:pStyle w:val="1"/>
      </w:pPr>
      <w:r w:rsidRPr="00A94A19">
        <w:t>Section 1:</w:t>
      </w:r>
      <w:r w:rsidRPr="00A94A19">
        <w:tab/>
        <w:t>Establishment.</w:t>
      </w:r>
      <w:r w:rsidRPr="00A94A19">
        <w:rPr>
          <w:bCs/>
        </w:rPr>
        <w:t xml:space="preserve"> </w:t>
      </w:r>
      <w:r w:rsidRPr="00A94A19">
        <w:t>I hereby direct the Inspector General to launch the Louisiana Taxpayer Protection Initiative, aimed at breaking down silos, improving responsiveness, and expediting interagency, federal, and state coordination.</w:t>
      </w:r>
    </w:p>
    <w:p w14:paraId="5FCEDCBB" w14:textId="77777777" w:rsidR="00943207" w:rsidRPr="00A94A19" w:rsidRDefault="00943207" w:rsidP="00167C68">
      <w:pPr>
        <w:pStyle w:val="1"/>
      </w:pPr>
      <w:r w:rsidRPr="00A94A19">
        <w:t>Section 2:</w:t>
      </w:r>
      <w:r w:rsidRPr="00A94A19">
        <w:tab/>
        <w:t>Purpose. The purpose of the Louisiana Taxpayer Protection Initiative is to protect Louisiana taxpayers by detecting, preventing, eliminating, and recovering losses caused by fraud, waste, abuse, and improper payments in the programs, contracts, payments, and operations of the executive branch — including state and federal funds administered by the State and funds the State passes through to grantees, subrecipients, and other pass-through recipients — and by recommending reforms that strengthen the State’s safeguards.</w:t>
      </w:r>
    </w:p>
    <w:p w14:paraId="1DF6E972" w14:textId="77777777" w:rsidR="00943207" w:rsidRPr="00A94A19" w:rsidRDefault="00943207" w:rsidP="00167C68">
      <w:pPr>
        <w:pStyle w:val="1"/>
      </w:pPr>
      <w:r w:rsidRPr="00A94A19">
        <w:t>Section 3:</w:t>
      </w:r>
      <w:r w:rsidRPr="00A94A19">
        <w:tab/>
        <w:t>Coordination with Federal Partners.</w:t>
      </w:r>
      <w:r w:rsidRPr="00A94A19">
        <w:rPr>
          <w:bCs/>
        </w:rPr>
        <w:t xml:space="preserve"> </w:t>
      </w:r>
      <w:r w:rsidRPr="00A94A19">
        <w:t>The Inspector General shall coordinate, as appropriate and consistent with the law, with federal partners and make use of federal anti-fraud systems and authoritative data sources, including with designees at the following departments:</w:t>
      </w:r>
    </w:p>
    <w:p w14:paraId="24668964" w14:textId="77777777" w:rsidR="00943207" w:rsidRPr="00A94A19" w:rsidRDefault="00943207" w:rsidP="009A79A8">
      <w:pPr>
        <w:pStyle w:val="ExoA"/>
      </w:pPr>
      <w:r w:rsidRPr="00A94A19">
        <w:t>A.</w:t>
      </w:r>
      <w:r w:rsidRPr="00A94A19">
        <w:tab/>
        <w:t>The United States Department of the Treasury, including the Bureau of the Fiscal Service and its Do Not Pay working system and Account and Entity Verification Services;</w:t>
      </w:r>
    </w:p>
    <w:p w14:paraId="0CB1860A" w14:textId="77777777" w:rsidR="00943207" w:rsidRPr="00A94A19" w:rsidRDefault="00943207" w:rsidP="009A79A8">
      <w:pPr>
        <w:pStyle w:val="ExoA"/>
      </w:pPr>
      <w:r w:rsidRPr="00A94A19">
        <w:t>B.</w:t>
      </w:r>
      <w:r w:rsidRPr="00A94A19">
        <w:tab/>
        <w:t xml:space="preserve">The United States Department of Justice, including the United States Attorneys for the Eastern, Middle, and Western Districts of Louisiana; </w:t>
      </w:r>
    </w:p>
    <w:p w14:paraId="116FF6C4" w14:textId="77777777" w:rsidR="00943207" w:rsidRPr="00A94A19" w:rsidRDefault="00943207" w:rsidP="009A79A8">
      <w:pPr>
        <w:pStyle w:val="ExoA"/>
      </w:pPr>
      <w:r w:rsidRPr="00A94A19">
        <w:t>C.</w:t>
      </w:r>
      <w:r w:rsidRPr="00A94A19">
        <w:tab/>
        <w:t>The Federal Bureau of Investigation, including with respect to civil recoveries under the federal False Claims Act;</w:t>
      </w:r>
    </w:p>
    <w:p w14:paraId="0F5A7B79" w14:textId="77777777" w:rsidR="00943207" w:rsidRPr="00A94A19" w:rsidRDefault="00943207" w:rsidP="009A79A8">
      <w:pPr>
        <w:pStyle w:val="ExoA"/>
      </w:pPr>
      <w:r w:rsidRPr="00A94A19">
        <w:t>D.</w:t>
      </w:r>
      <w:r w:rsidRPr="00A94A19">
        <w:tab/>
        <w:t>The United States Department of Health and Human Services, including the Centers for Medicare &amp; Medicaid Services and that Department’s Office of Inspector General, with respect to the integrity of Medicaid and other federally funded health programs, and in coordination with the Attorney General’s Medicaid Fraud Control Unit;</w:t>
      </w:r>
    </w:p>
    <w:p w14:paraId="1D3F8243" w14:textId="77777777" w:rsidR="00943207" w:rsidRPr="00A94A19" w:rsidRDefault="00943207" w:rsidP="009A79A8">
      <w:pPr>
        <w:pStyle w:val="ExoA"/>
      </w:pPr>
      <w:r w:rsidRPr="00A94A19">
        <w:t>E.</w:t>
      </w:r>
      <w:r w:rsidRPr="00A94A19">
        <w:tab/>
        <w:t>The United States Department of Labor, including its Office of Inspector General and the Employment and Training Administration, with respect to unemployment-compensation fraud and improper payments;</w:t>
      </w:r>
    </w:p>
    <w:p w14:paraId="28750BC0" w14:textId="77777777" w:rsidR="00943207" w:rsidRPr="00A94A19" w:rsidRDefault="00943207" w:rsidP="009A79A8">
      <w:pPr>
        <w:pStyle w:val="ExoA"/>
      </w:pPr>
      <w:r w:rsidRPr="00A94A19">
        <w:t>F.</w:t>
      </w:r>
      <w:r w:rsidRPr="00A94A19">
        <w:tab/>
        <w:t xml:space="preserve">The United States Department of Agriculture, including its Office of Inspector General and the Food and Nutrition Service, with respect to the integrity of the Supplemental Nutrition </w:t>
      </w:r>
      <w:r w:rsidRPr="00A94A19">
        <w:t>Assistance Program and other nutrition-assistance programs;</w:t>
      </w:r>
    </w:p>
    <w:p w14:paraId="2D507C33" w14:textId="77777777" w:rsidR="00943207" w:rsidRPr="00A94A19" w:rsidRDefault="00943207" w:rsidP="009A79A8">
      <w:pPr>
        <w:pStyle w:val="ExoA"/>
      </w:pPr>
      <w:r w:rsidRPr="00A94A19">
        <w:t>G.</w:t>
      </w:r>
      <w:r w:rsidRPr="00A94A19">
        <w:tab/>
        <w:t>The Social Security Administration, including with respect to the Death Master File and other authoritative data used to verify identity and eligibility;</w:t>
      </w:r>
    </w:p>
    <w:p w14:paraId="03B973E4" w14:textId="77777777" w:rsidR="00943207" w:rsidRPr="00A94A19" w:rsidRDefault="00943207" w:rsidP="009A79A8">
      <w:pPr>
        <w:pStyle w:val="ExoA"/>
      </w:pPr>
      <w:r w:rsidRPr="00A94A19">
        <w:t>H.</w:t>
      </w:r>
      <w:r w:rsidRPr="00A94A19">
        <w:tab/>
        <w:t>The Offices of Inspectors General of other federal departments and agencies that fund or administer programs operated by the State; and</w:t>
      </w:r>
    </w:p>
    <w:p w14:paraId="7C9FB09D" w14:textId="77777777" w:rsidR="00943207" w:rsidRPr="00A94A19" w:rsidRDefault="00943207" w:rsidP="009A79A8">
      <w:pPr>
        <w:pStyle w:val="ExoA"/>
      </w:pPr>
      <w:r w:rsidRPr="00A94A19">
        <w:t>I.</w:t>
      </w:r>
      <w:r w:rsidRPr="00A94A19">
        <w:tab/>
        <w:t>The United States Government Accountability Office, including with respect to its leading practices for managing fraud risk.</w:t>
      </w:r>
    </w:p>
    <w:p w14:paraId="15477F7C" w14:textId="77777777" w:rsidR="00943207" w:rsidRPr="00A94A19" w:rsidRDefault="00943207" w:rsidP="009A79A8">
      <w:pPr>
        <w:pStyle w:val="ExoNormal"/>
      </w:pPr>
      <w:r w:rsidRPr="00A94A19">
        <w:t>Such coordination may include lawful data sharing and matching, joint or parallel investigations, civil or criminal referrals, and the joint recovery of federal and state funds, in each case consistent with applicable confidentiality, privacy, and data-security law and with the independent statutory roles of the State Inspector General, the Legislative Auditor, and the Attorney General.</w:t>
      </w:r>
    </w:p>
    <w:p w14:paraId="72F262AE" w14:textId="77777777" w:rsidR="00943207" w:rsidRPr="00A94A19" w:rsidRDefault="00943207" w:rsidP="00167C68">
      <w:pPr>
        <w:pStyle w:val="1"/>
      </w:pPr>
      <w:r w:rsidRPr="00A94A19">
        <w:t>Section 4:</w:t>
      </w:r>
      <w:r w:rsidRPr="00A94A19">
        <w:tab/>
        <w:t xml:space="preserve">Coordination with State Partners. The Inspector General shall work with the following agencies to designate an individual from each agency to serve as liaison for the Inspector General’s Louisiana Taxpayer Protection Initiative: </w:t>
      </w:r>
    </w:p>
    <w:p w14:paraId="57C0949C" w14:textId="77777777" w:rsidR="00943207" w:rsidRPr="00A94A19" w:rsidRDefault="00943207" w:rsidP="009A79A8">
      <w:pPr>
        <w:pStyle w:val="ExoA"/>
      </w:pPr>
      <w:r w:rsidRPr="00A94A19">
        <w:t>A.</w:t>
      </w:r>
      <w:r w:rsidRPr="00A94A19">
        <w:tab/>
        <w:t>The Attorney General;</w:t>
      </w:r>
    </w:p>
    <w:p w14:paraId="121217FD" w14:textId="77777777" w:rsidR="00943207" w:rsidRPr="00A94A19" w:rsidRDefault="00943207" w:rsidP="009A79A8">
      <w:pPr>
        <w:pStyle w:val="ExoA"/>
      </w:pPr>
      <w:r w:rsidRPr="00A94A19">
        <w:t>B.</w:t>
      </w:r>
      <w:r w:rsidRPr="00A94A19">
        <w:tab/>
        <w:t>The Commissioner of Administration, or the Commissioner’s designee;</w:t>
      </w:r>
    </w:p>
    <w:p w14:paraId="5B2F0D4A" w14:textId="77777777" w:rsidR="00943207" w:rsidRPr="00A94A19" w:rsidRDefault="00943207" w:rsidP="009A79A8">
      <w:pPr>
        <w:pStyle w:val="ExoA"/>
      </w:pPr>
      <w:r w:rsidRPr="00A94A19">
        <w:t>C.</w:t>
      </w:r>
      <w:r w:rsidRPr="00A94A19">
        <w:tab/>
        <w:t>The State Chief Information Officer / the Office of Technology Services, or a designee, to assist with lawful data sharing and matching;</w:t>
      </w:r>
    </w:p>
    <w:p w14:paraId="371DBB8E" w14:textId="77777777" w:rsidR="00943207" w:rsidRPr="00A94A19" w:rsidRDefault="00943207" w:rsidP="009A79A8">
      <w:pPr>
        <w:pStyle w:val="ExoA"/>
      </w:pPr>
      <w:r w:rsidRPr="00A94A19">
        <w:t>D.</w:t>
      </w:r>
      <w:r w:rsidRPr="00A94A19">
        <w:tab/>
        <w:t xml:space="preserve">The Louisiana Department of Health; </w:t>
      </w:r>
    </w:p>
    <w:p w14:paraId="0AB1111A" w14:textId="77777777" w:rsidR="00943207" w:rsidRPr="00A94A19" w:rsidRDefault="00943207" w:rsidP="009A79A8">
      <w:pPr>
        <w:pStyle w:val="ExoA"/>
      </w:pPr>
      <w:r w:rsidRPr="00A94A19">
        <w:t>E.</w:t>
      </w:r>
      <w:r w:rsidRPr="00A94A19">
        <w:tab/>
        <w:t>The Louisiana Workforce Commission;</w:t>
      </w:r>
    </w:p>
    <w:p w14:paraId="45E9D61B" w14:textId="77777777" w:rsidR="00943207" w:rsidRPr="00A94A19" w:rsidRDefault="00943207" w:rsidP="009A79A8">
      <w:pPr>
        <w:pStyle w:val="ExoA"/>
      </w:pPr>
      <w:r w:rsidRPr="00A94A19">
        <w:t>F.</w:t>
      </w:r>
      <w:r w:rsidRPr="00A94A19">
        <w:tab/>
        <w:t xml:space="preserve">The Louisiana Department of Children and Family Services; </w:t>
      </w:r>
    </w:p>
    <w:p w14:paraId="36C7A479" w14:textId="77777777" w:rsidR="00943207" w:rsidRPr="00A94A19" w:rsidRDefault="00943207" w:rsidP="009A79A8">
      <w:pPr>
        <w:pStyle w:val="ExoA"/>
      </w:pPr>
      <w:r w:rsidRPr="00A94A19">
        <w:t>G.</w:t>
      </w:r>
      <w:r w:rsidRPr="00A94A19">
        <w:tab/>
        <w:t>The Louisiana Department of Education;</w:t>
      </w:r>
    </w:p>
    <w:p w14:paraId="23FD878E" w14:textId="77777777" w:rsidR="00943207" w:rsidRPr="00A94A19" w:rsidRDefault="00943207" w:rsidP="009A79A8">
      <w:pPr>
        <w:pStyle w:val="ExoA"/>
      </w:pPr>
      <w:r w:rsidRPr="00A94A19">
        <w:t>H.</w:t>
      </w:r>
      <w:r w:rsidRPr="00A94A19">
        <w:tab/>
        <w:t>The Louisiana Board of Regents (higher education);</w:t>
      </w:r>
    </w:p>
    <w:p w14:paraId="50462502" w14:textId="77777777" w:rsidR="00943207" w:rsidRPr="00A94A19" w:rsidRDefault="00943207" w:rsidP="009A79A8">
      <w:pPr>
        <w:pStyle w:val="ExoA"/>
      </w:pPr>
      <w:r w:rsidRPr="00A94A19">
        <w:t>I.</w:t>
      </w:r>
      <w:r w:rsidRPr="00A94A19">
        <w:tab/>
        <w:t xml:space="preserve">The Governor’s Office of Homeland Security and Emergency Preparedness, the Office of Community Development; </w:t>
      </w:r>
    </w:p>
    <w:p w14:paraId="2E069013" w14:textId="77777777" w:rsidR="00943207" w:rsidRPr="00A94A19" w:rsidRDefault="00943207" w:rsidP="009A79A8">
      <w:pPr>
        <w:pStyle w:val="ExoA"/>
      </w:pPr>
      <w:r w:rsidRPr="00A94A19">
        <w:t>J.</w:t>
      </w:r>
      <w:r w:rsidRPr="00A94A19">
        <w:tab/>
        <w:t xml:space="preserve">The Louisiana Department of Transportation and Development, </w:t>
      </w:r>
    </w:p>
    <w:p w14:paraId="4CD1F448" w14:textId="77777777" w:rsidR="00943207" w:rsidRPr="00A94A19" w:rsidRDefault="00943207" w:rsidP="009A79A8">
      <w:pPr>
        <w:pStyle w:val="ExoA"/>
      </w:pPr>
      <w:r w:rsidRPr="00A94A19">
        <w:t>K.</w:t>
      </w:r>
      <w:r w:rsidRPr="00A94A19">
        <w:tab/>
        <w:t xml:space="preserve">The Louisiana Department of Environmental Quality, </w:t>
      </w:r>
    </w:p>
    <w:p w14:paraId="2D953DA8" w14:textId="77777777" w:rsidR="00943207" w:rsidRPr="00A94A19" w:rsidRDefault="00943207" w:rsidP="009A79A8">
      <w:pPr>
        <w:pStyle w:val="ExoA"/>
      </w:pPr>
      <w:r w:rsidRPr="00A94A19">
        <w:t>L.</w:t>
      </w:r>
      <w:r w:rsidRPr="00A94A19">
        <w:tab/>
        <w:t xml:space="preserve">The Louisiana Economic Development; </w:t>
      </w:r>
    </w:p>
    <w:p w14:paraId="516B2528" w14:textId="77777777" w:rsidR="00943207" w:rsidRPr="00A94A19" w:rsidRDefault="00943207" w:rsidP="009A79A8">
      <w:pPr>
        <w:pStyle w:val="ExoA"/>
      </w:pPr>
      <w:r w:rsidRPr="00A94A19">
        <w:t>M.</w:t>
      </w:r>
      <w:r w:rsidRPr="00A94A19">
        <w:tab/>
        <w:t xml:space="preserve">The Louisiana Commission on Law Enforcement; </w:t>
      </w:r>
    </w:p>
    <w:p w14:paraId="167D422E" w14:textId="77777777" w:rsidR="00943207" w:rsidRPr="00A94A19" w:rsidRDefault="00943207" w:rsidP="009A79A8">
      <w:pPr>
        <w:pStyle w:val="ExoA"/>
      </w:pPr>
      <w:r w:rsidRPr="00A94A19">
        <w:t>N.</w:t>
      </w:r>
      <w:r w:rsidRPr="00A94A19">
        <w:tab/>
        <w:t xml:space="preserve">The Louisiana Department of Agriculture and Forestry; </w:t>
      </w:r>
    </w:p>
    <w:p w14:paraId="5E609F99" w14:textId="77777777" w:rsidR="00943207" w:rsidRPr="00A94A19" w:rsidRDefault="00943207" w:rsidP="009A79A8">
      <w:pPr>
        <w:pStyle w:val="ExoA"/>
      </w:pPr>
      <w:r w:rsidRPr="00A94A19">
        <w:t>O.</w:t>
      </w:r>
      <w:r w:rsidRPr="00A94A19">
        <w:tab/>
        <w:t>The Legislative Auditor.</w:t>
      </w:r>
    </w:p>
    <w:p w14:paraId="3BD795F6" w14:textId="77777777" w:rsidR="00943207" w:rsidRPr="00A94A19" w:rsidRDefault="00943207" w:rsidP="009A79A8">
      <w:pPr>
        <w:pStyle w:val="ExoA"/>
      </w:pPr>
      <w:r w:rsidRPr="00A94A19">
        <w:t>P.</w:t>
      </w:r>
      <w:r w:rsidRPr="00A94A19">
        <w:tab/>
        <w:t>The Department of State.</w:t>
      </w:r>
    </w:p>
    <w:p w14:paraId="58A0CEFD" w14:textId="77777777" w:rsidR="00943207" w:rsidRPr="00A94A19" w:rsidRDefault="00943207" w:rsidP="009A79A8">
      <w:pPr>
        <w:pStyle w:val="ExoA"/>
      </w:pPr>
      <w:r w:rsidRPr="00A94A19">
        <w:t>Q.</w:t>
      </w:r>
      <w:r w:rsidRPr="00A94A19">
        <w:tab/>
        <w:t>The Department of the Treasury.</w:t>
      </w:r>
    </w:p>
    <w:p w14:paraId="2C31AAD6" w14:textId="77777777" w:rsidR="00943207" w:rsidRPr="00A94A19" w:rsidRDefault="00943207" w:rsidP="009A79A8">
      <w:pPr>
        <w:pStyle w:val="ExoA"/>
      </w:pPr>
      <w:r w:rsidRPr="00A94A19">
        <w:t>R.</w:t>
      </w:r>
      <w:r w:rsidRPr="00A94A19">
        <w:tab/>
        <w:t>The Department of Culture, Recreation and Tourism.</w:t>
      </w:r>
    </w:p>
    <w:p w14:paraId="08738EF0" w14:textId="77777777" w:rsidR="00943207" w:rsidRPr="00A94A19" w:rsidRDefault="00943207" w:rsidP="009A79A8">
      <w:pPr>
        <w:pStyle w:val="ExoA"/>
      </w:pPr>
      <w:r w:rsidRPr="00A94A19">
        <w:t>S.</w:t>
      </w:r>
      <w:r w:rsidRPr="00A94A19">
        <w:tab/>
        <w:t>The Department of Insurance.</w:t>
      </w:r>
    </w:p>
    <w:p w14:paraId="543F53B2" w14:textId="77777777" w:rsidR="00943207" w:rsidRPr="00A94A19" w:rsidRDefault="00943207" w:rsidP="009A79A8">
      <w:pPr>
        <w:pStyle w:val="ExoA"/>
      </w:pPr>
      <w:r w:rsidRPr="00A94A19">
        <w:t>T.</w:t>
      </w:r>
      <w:r w:rsidRPr="00A94A19">
        <w:tab/>
        <w:t xml:space="preserve">Any other department or agency the Governor designates; </w:t>
      </w:r>
    </w:p>
    <w:p w14:paraId="1C7AAA95" w14:textId="77777777" w:rsidR="00943207" w:rsidRPr="00A94A19" w:rsidRDefault="00943207" w:rsidP="00167C68">
      <w:pPr>
        <w:pStyle w:val="1"/>
      </w:pPr>
      <w:r w:rsidRPr="00A94A19">
        <w:t>Section 5.</w:t>
      </w:r>
      <w:r w:rsidRPr="00A94A19">
        <w:tab/>
        <w:t>Duties. The Inspector General, and the designated agencies working on the Louisiana Taxpayer Protection Initiative, shall perform the following duties:</w:t>
      </w:r>
    </w:p>
    <w:p w14:paraId="28EEE495" w14:textId="77777777" w:rsidR="00943207" w:rsidRPr="00A94A19" w:rsidRDefault="00943207" w:rsidP="009A79A8">
      <w:pPr>
        <w:pStyle w:val="ExoA"/>
      </w:pPr>
      <w:r w:rsidRPr="00A94A19">
        <w:lastRenderedPageBreak/>
        <w:t>A.</w:t>
      </w:r>
      <w:r w:rsidRPr="00A94A19">
        <w:tab/>
        <w:t>Identify and recommend the elimination of fraud, waste, abuse, and improper or duplicate payments across state agencies, prioritizing high-expenditure programs such as Medicaid and other health programs, unemployment compensation, public-assistance and nutrition-assistance programs, education funding, disaster-recovery and community-development assistance, transportation, economic-development incentives, grants and grant subrecipients (including nonprofit and non-governmental organizations), and procurement.</w:t>
      </w:r>
    </w:p>
    <w:p w14:paraId="6FC3E26C" w14:textId="77777777" w:rsidR="00943207" w:rsidRPr="00A94A19" w:rsidRDefault="00943207" w:rsidP="009A79A8">
      <w:pPr>
        <w:pStyle w:val="ExoA"/>
      </w:pPr>
      <w:r w:rsidRPr="00A94A19">
        <w:t>B.</w:t>
      </w:r>
      <w:r w:rsidRPr="00A94A19">
        <w:tab/>
        <w:t>Eliminate information silos by promoting, coordinating, and facilitating the lawful sharing, consolidation, and matching of data within and among state agencies — including cross-program matching to detect duplicate enrollment, deceased or ineligible recipients, and duplicate vendors, and including data generated by federally funded programs but held in third-party databases — in support of the access provided to the State Inspector General.</w:t>
      </w:r>
    </w:p>
    <w:p w14:paraId="48D22F36" w14:textId="77777777" w:rsidR="00943207" w:rsidRPr="00A94A19" w:rsidRDefault="00943207" w:rsidP="009A79A8">
      <w:pPr>
        <w:pStyle w:val="ExoA"/>
      </w:pPr>
      <w:r w:rsidRPr="00A94A19">
        <w:t>C.</w:t>
      </w:r>
      <w:r w:rsidRPr="00A94A19">
        <w:tab/>
        <w:t>Strengthen payment integrity by reviewing the State’s payment, disbursement, and vendor-onboarding systems and recommending modernization, pre-payment verification, and other controls to reduce improper payments.</w:t>
      </w:r>
    </w:p>
    <w:p w14:paraId="426A0CB3" w14:textId="77777777" w:rsidR="00943207" w:rsidRPr="00A94A19" w:rsidRDefault="00943207" w:rsidP="009A79A8">
      <w:pPr>
        <w:pStyle w:val="ExoA"/>
      </w:pPr>
      <w:r w:rsidRPr="00A94A19">
        <w:t>D.</w:t>
      </w:r>
      <w:r w:rsidRPr="00A94A19">
        <w:tab/>
        <w:t>Recommend and coordinate the recovery of misspent, overpaid, or fraudulently obtained public funds; and refer credible evidence of fraud, abuse, or corruption, and any apparent criminal activity, to the Inspector General, and the Inspector General shall refer the matter to the Attorney General (including the Medicaid Fraud Control Unit as applicable), the appropriate district attorney, and other law-enforcement and prosecutorial agencies.</w:t>
      </w:r>
    </w:p>
    <w:p w14:paraId="7975FFF2" w14:textId="77777777" w:rsidR="00943207" w:rsidRPr="00A94A19" w:rsidRDefault="00943207" w:rsidP="009A79A8">
      <w:pPr>
        <w:pStyle w:val="ExoA"/>
      </w:pPr>
      <w:r w:rsidRPr="00A94A19">
        <w:t>E.</w:t>
      </w:r>
      <w:r w:rsidRPr="00A94A19">
        <w:tab/>
        <w:t>Recommend improvements to internal controls, policies, procedures, rules, and, where appropriate, statutes, to prevent and detect fraud, waste, abuse, and improper payments.</w:t>
      </w:r>
    </w:p>
    <w:p w14:paraId="3EE8EDB6" w14:textId="77777777" w:rsidR="00943207" w:rsidRPr="00A94A19" w:rsidRDefault="00943207" w:rsidP="009A79A8">
      <w:pPr>
        <w:pStyle w:val="ExoA"/>
      </w:pPr>
      <w:r w:rsidRPr="00A94A19">
        <w:t>F.</w:t>
      </w:r>
      <w:r w:rsidRPr="00A94A19">
        <w:tab/>
        <w:t>Promote and publicize avenues for state employees, vendors, and citizens to report suspected fraud, waste, and abuse, and protect good-faith reporters consistent with applicable law.</w:t>
      </w:r>
    </w:p>
    <w:p w14:paraId="08F43045" w14:textId="77777777" w:rsidR="00943207" w:rsidRPr="00A94A19" w:rsidRDefault="00943207" w:rsidP="009A79A8">
      <w:pPr>
        <w:pStyle w:val="ExoA"/>
      </w:pPr>
      <w:r w:rsidRPr="00A94A19">
        <w:t>G.</w:t>
      </w:r>
      <w:r w:rsidRPr="00A94A19">
        <w:tab/>
        <w:t>Coordinate with the legislative auditor, the Division of Administration, and other oversight bodies to avoid duplication and reinforce existing oversight, recognizing that the State Inspector General is also responsible for the Fiscal Responsibility Program.</w:t>
      </w:r>
    </w:p>
    <w:p w14:paraId="1AEC6FAE" w14:textId="61CF7A69" w:rsidR="00943207" w:rsidRPr="00A94A19" w:rsidRDefault="00943207" w:rsidP="009A79A8">
      <w:pPr>
        <w:pStyle w:val="ExoA"/>
      </w:pPr>
      <w:r w:rsidRPr="00A94A19">
        <w:t>H.</w:t>
      </w:r>
      <w:r w:rsidRPr="00A94A19">
        <w:tab/>
        <w:t>Strengthen grant, subrecipient, and pass-through integrity by reviewing pre-award eligibility, single-audit compliance, related-party and conflict-of-interest disclosures, and performance and deliverable verification for grantees, subrecipients, and other pass-through recipients—including nonprofit and non-governmental organizations that receive state or federal funds administered by the State—and by recommending improved contracting and subaward practices consistent with the pass-</w:t>
      </w:r>
      <w:r w:rsidR="006219DE">
        <w:br w:type="column"/>
      </w:r>
      <w:r w:rsidRPr="00A94A19">
        <w:t>through requirements of 2 C.F.R. §§ 200.331 and 200.332, including risk-based vetting and exclusion screening, standardized subaward terms, access-to-records and audit clauses, single-audit and reporting requirements, milestone- and deliverable-based disbursement, and recovery or clawback remedies for noncompliance or misuse.</w:t>
      </w:r>
    </w:p>
    <w:p w14:paraId="7B852AEB" w14:textId="77777777" w:rsidR="00943207" w:rsidRPr="00A94A19" w:rsidRDefault="00943207" w:rsidP="00167C68">
      <w:pPr>
        <w:pStyle w:val="1"/>
      </w:pPr>
      <w:r w:rsidRPr="00A94A19">
        <w:t>Section 6:</w:t>
      </w:r>
      <w:r>
        <w:tab/>
      </w:r>
      <w:r w:rsidRPr="00A94A19">
        <w:t>Access to Records and Elimination of Information Silos.</w:t>
      </w:r>
      <w:r w:rsidRPr="00A94A19">
        <w:rPr>
          <w:bCs/>
        </w:rPr>
        <w:t xml:space="preserve"> </w:t>
      </w:r>
      <w:r w:rsidRPr="00A94A19">
        <w:t>Consistent with Executive Order 14243 and applicable law:</w:t>
      </w:r>
    </w:p>
    <w:p w14:paraId="3ECC68DD" w14:textId="77777777" w:rsidR="00943207" w:rsidRPr="00A94A19" w:rsidRDefault="00943207" w:rsidP="009A79A8">
      <w:pPr>
        <w:pStyle w:val="ExoA"/>
      </w:pPr>
      <w:r w:rsidRPr="00A94A19">
        <w:t>A.</w:t>
      </w:r>
      <w:r w:rsidRPr="00A94A19">
        <w:tab/>
        <w:t>All departments, agencies, offices, boards, commissions, and political subdivisions of the State, and their officers and employees, shall provide the Inspector General and the officials the Inspector General designates full and prompt access to the records, data, and payment, accounting, and information-technology systems necessary to identify and eliminate fraud, waste, abuse, and improper payments (or an equivalent dataset where doing so does not delay access) as allowed under the law; shall facilitate intra-agency and inter-agency sharing and consolidation of such data; and shall review and, where lawful and appropriate, rescind or modify internal practices that impede such lawful sharing.</w:t>
      </w:r>
      <w:r>
        <w:t xml:space="preserve"> </w:t>
      </w:r>
    </w:p>
    <w:p w14:paraId="42DFCAEA" w14:textId="0065F0B2" w:rsidR="00943207" w:rsidRPr="00A94A19" w:rsidRDefault="00943207" w:rsidP="009A79A8">
      <w:pPr>
        <w:pStyle w:val="ExoA"/>
      </w:pPr>
      <w:r w:rsidRPr="00A94A19">
        <w:t>B.</w:t>
      </w:r>
      <w:r w:rsidRPr="00A94A19">
        <w:tab/>
        <w:t>This Section shall be implemented in compliance with all applicable confidentiality, privacy, and data-security law, including the safeguards set forth in Section 9.</w:t>
      </w:r>
      <w:r w:rsidR="006219DE" w:rsidRPr="00A94A19">
        <w:t xml:space="preserve"> </w:t>
      </w:r>
      <w:r w:rsidRPr="00A94A19">
        <w:t>Nothing in this Order authorizes access to, or disclosure of, information in violation of law, including but not limited to matters protected by SSA, HIPPA, the IRS, lawyer-privilege, legislative privilege, deliberative process privilege, attorney work product, or executive privilege.</w:t>
      </w:r>
    </w:p>
    <w:p w14:paraId="1E784AAD" w14:textId="77777777" w:rsidR="00943207" w:rsidRPr="00A94A19" w:rsidRDefault="00943207" w:rsidP="00167C68">
      <w:pPr>
        <w:pStyle w:val="1"/>
      </w:pPr>
      <w:r w:rsidRPr="00A94A19">
        <w:t>Section 7:</w:t>
      </w:r>
      <w:r w:rsidRPr="00A94A19">
        <w:tab/>
        <w:t>Modern Fraud Detection and Prevention Techniques.</w:t>
      </w:r>
      <w:r w:rsidRPr="00A94A19">
        <w:rPr>
          <w:bCs/>
        </w:rPr>
        <w:t xml:space="preserve"> </w:t>
      </w:r>
      <w:r w:rsidRPr="00A94A19">
        <w:t>The Inspector General shall work with the State’s Chief Information Officer and staff to identify, pilot, and deploy contemporary, prevention-first tools to detect, prevent, to make recommendations for modernization, and stop fraud, waste, abuse, and improper payments, including the following:</w:t>
      </w:r>
    </w:p>
    <w:p w14:paraId="07D59642" w14:textId="77777777" w:rsidR="00943207" w:rsidRPr="00A94A19" w:rsidRDefault="00943207" w:rsidP="009A79A8">
      <w:pPr>
        <w:pStyle w:val="ExoA"/>
      </w:pPr>
      <w:r w:rsidRPr="00A94A19">
        <w:t>A.</w:t>
      </w:r>
      <w:r w:rsidRPr="00A94A19">
        <w:tab/>
        <w:t>Analytics, artificial intelligence, and prevention before payment. Deploy enterprise data analytics, predictive risk scoring, anomaly detection, and continuous monitoring, and verify identity, eligibility, and payment information before payment rather than pursuing losses afterward.</w:t>
      </w:r>
    </w:p>
    <w:p w14:paraId="27F2196D" w14:textId="77777777" w:rsidR="00943207" w:rsidRPr="00A94A19" w:rsidRDefault="00943207" w:rsidP="009A79A8">
      <w:pPr>
        <w:pStyle w:val="ExoA"/>
      </w:pPr>
      <w:r w:rsidRPr="00A94A19">
        <w:t>B.</w:t>
      </w:r>
      <w:r w:rsidRPr="00A94A19">
        <w:tab/>
        <w:t>Identify proofing and authentication. Use risk-based identity proofing, multi-factor authentication, document verification, and, where lawful, device, biometric, and liveness checks to defeat identity theft and synthetic-identity fraud, consistent with NIST Special Publication 800-63.</w:t>
      </w:r>
    </w:p>
    <w:p w14:paraId="2B3838BF" w14:textId="77777777" w:rsidR="006219DE" w:rsidRDefault="00943207" w:rsidP="009A79A8">
      <w:pPr>
        <w:pStyle w:val="ExoA"/>
      </w:pPr>
      <w:r w:rsidRPr="00A94A19">
        <w:t>C.</w:t>
      </w:r>
      <w:r w:rsidRPr="00A94A19">
        <w:tab/>
        <w:t xml:space="preserve">Authoritative data matching. Match against authoritative sources to detect ineligible, duplicate, deceased, or incarcerated recipients and improper payments—including the Social Security Administration’s Death Master File and state vital </w:t>
      </w:r>
      <w:r w:rsidR="006219DE">
        <w:br w:type="page"/>
      </w:r>
    </w:p>
    <w:p w14:paraId="0DC62DF6" w14:textId="324F673C" w:rsidR="00943207" w:rsidRPr="00A94A19" w:rsidRDefault="00943207" w:rsidP="006219DE">
      <w:pPr>
        <w:pStyle w:val="ExoA"/>
        <w:ind w:firstLine="0"/>
      </w:pPr>
      <w:r w:rsidRPr="00A94A19">
        <w:lastRenderedPageBreak/>
        <w:t>records, the National Directory of New Hires, incarceration data, interstate public-assistance matching (the Public Assistance Reporting Information System), and the United States Treasury’s Do Not Pay working system and Account and Entity Verification Services.</w:t>
      </w:r>
    </w:p>
    <w:p w14:paraId="06DDF529" w14:textId="77777777" w:rsidR="00943207" w:rsidRPr="00A94A19" w:rsidRDefault="00943207" w:rsidP="009A79A8">
      <w:pPr>
        <w:pStyle w:val="ExoA"/>
      </w:pPr>
      <w:r w:rsidRPr="00A94A19">
        <w:t>D.</w:t>
      </w:r>
      <w:r w:rsidRPr="00A94A19">
        <w:tab/>
        <w:t>Vendor and payment integrity screening. Screen vendors, providers, contractors, grantees, and subrecipients against federal and state exclusion and debarment lists (including SAM.gov and the HHS Office of Inspector General List of Excluded Individuals/Entities), verify ownership and banking information, and use payee and bank-account validation to prevent misdirected payments and account-takeover or money-mule schemes.</w:t>
      </w:r>
    </w:p>
    <w:p w14:paraId="0C12E19E" w14:textId="77777777" w:rsidR="00943207" w:rsidRPr="00A94A19" w:rsidRDefault="00943207" w:rsidP="009A79A8">
      <w:pPr>
        <w:pStyle w:val="ExoA"/>
      </w:pPr>
      <w:r w:rsidRPr="00A94A19">
        <w:t>E.</w:t>
      </w:r>
      <w:r w:rsidRPr="00A94A19">
        <w:tab/>
        <w:t>Network analysis, recovery audit, and automation. Use entity resolution and network or link analysis to detect organized fraud rings; employ recovery-audit and data-mining techniques, including cost-effective contingency-fee recovery; and use automation and feedback loops to refine controls as schemes evolve.</w:t>
      </w:r>
    </w:p>
    <w:p w14:paraId="4B6614F5" w14:textId="77777777" w:rsidR="00943207" w:rsidRPr="00A94A19" w:rsidRDefault="00943207" w:rsidP="009A79A8">
      <w:pPr>
        <w:pStyle w:val="ExoA"/>
      </w:pPr>
      <w:r w:rsidRPr="00A94A19">
        <w:t>F.</w:t>
      </w:r>
      <w:r w:rsidRPr="00A94A19">
        <w:tab/>
        <w:t xml:space="preserve">Dedicated analytics capability. Establish a Taxpayer Protection Analytics Unit under the direction of the Office of State Inspector General (R.S. 49:220.21, </w:t>
      </w:r>
      <w:r w:rsidRPr="00A94A19">
        <w:rPr>
          <w:i/>
          <w:iCs/>
        </w:rPr>
        <w:t>et seq</w:t>
      </w:r>
      <w:r w:rsidRPr="00A94A19">
        <w:t>.), operating as part of, and subject to the access authority and confidentiality protections of, the State Inspector General, with secure hosting, infrastructure, and data-security support provided by the Office of Technology Services (R.S. 39:15.3) and in coordination with the Division of Administration, as the Inspector General’s central capability for secure data integration, analytics, matching, and risk scoring, staffed with appropriate data-science, audit, and investigative expertise, and operated in the most efficient manner consistent with its effectiveness, making maximum use of existing state systems, infrastructure, and personnel to avoid duplication and unnecessary cost.</w:t>
      </w:r>
    </w:p>
    <w:p w14:paraId="263EDB70" w14:textId="77777777" w:rsidR="00943207" w:rsidRPr="00A94A19" w:rsidRDefault="00943207" w:rsidP="00167C68">
      <w:pPr>
        <w:pStyle w:val="1"/>
      </w:pPr>
      <w:r w:rsidRPr="00A94A19">
        <w:t>Section 8:</w:t>
      </w:r>
      <w:r w:rsidRPr="00A94A19">
        <w:tab/>
        <w:t>Fraud Risk Management Framework. The Inspector General shall work with department designees and the Division of Administration to adopt and promote across the executive branch a structured fraud risk management approach consistent with recognized leading practices, including the United States Government Accountability Office’s “A Framework for Managing Fraud Risks in Federal Programs” (GAO-15-593SP). At a minimum, it shall: (A) commit leadership and culture to managing fraud risk; (B) conduct regular, program-specific fraud risk assessments prioritizing the highest-dollar and highest-risk programs; (C) design and implement antifraud controls aligned to those risks, emphasizing prevention; and (D) evaluate and adapt the controls based on monitoring, data, and results.</w:t>
      </w:r>
    </w:p>
    <w:p w14:paraId="547528C2" w14:textId="77777777" w:rsidR="00943207" w:rsidRPr="00A94A19" w:rsidRDefault="00943207" w:rsidP="00167C68">
      <w:pPr>
        <w:pStyle w:val="1"/>
      </w:pPr>
      <w:r w:rsidRPr="00A94A19">
        <w:t>Section 9:</w:t>
      </w:r>
      <w:r w:rsidRPr="00A94A19">
        <w:tab/>
        <w:t>Governance, Privacy, and Due-Process Safeguards.</w:t>
      </w:r>
      <w:r w:rsidRPr="00A94A19">
        <w:rPr>
          <w:bCs/>
        </w:rPr>
        <w:t xml:space="preserve"> </w:t>
      </w:r>
      <w:r w:rsidRPr="00A94A19">
        <w:t>Because these techniques rely on data and automated tools, the Inspector General shall ensure they are used responsibly and lawfully, including by providing for the following:</w:t>
      </w:r>
    </w:p>
    <w:p w14:paraId="2DA988D9" w14:textId="77777777" w:rsidR="00943207" w:rsidRPr="00A94A19" w:rsidRDefault="00943207" w:rsidP="009A79A8">
      <w:pPr>
        <w:pStyle w:val="ExoA"/>
      </w:pPr>
      <w:r w:rsidRPr="00A94A19">
        <w:t>A.</w:t>
      </w:r>
      <w:r w:rsidRPr="00A94A19">
        <w:tab/>
        <w:t>Legal compliance and data protection by design. Full compliance with all applicable confidentiality, privacy, and data-security laws—including those governing protected health information, federal tax information, unemployment-compensation information, criminal-history information, and personally identifiable information—together with data minimization, role-based access controls, encryption, secure data-sharing agreements, and auditable logging.</w:t>
      </w:r>
    </w:p>
    <w:p w14:paraId="5BF3B5A9" w14:textId="77777777" w:rsidR="00943207" w:rsidRPr="00A94A19" w:rsidRDefault="00943207" w:rsidP="009A79A8">
      <w:pPr>
        <w:pStyle w:val="ExoA"/>
      </w:pPr>
      <w:r w:rsidRPr="00A94A19">
        <w:t>B.</w:t>
      </w:r>
      <w:r w:rsidRPr="00A94A19">
        <w:tab/>
        <w:t xml:space="preserve">Model governance and due process. Testing of analytics and artificial-intelligence or machine-learning tools for accuracy and for unfair or unlawful bias, documentation of their use, and meaningful human review before any adverse determination—so that an automated alert or risk score results in verification by qualified personnel and preserves applicable rights to notice and to contest, rather than the automatic denial, suspension, or termination of benefits, payments, or eligibility. </w:t>
      </w:r>
    </w:p>
    <w:p w14:paraId="2F8D0384" w14:textId="77777777" w:rsidR="00943207" w:rsidRPr="00A94A19" w:rsidRDefault="00943207" w:rsidP="00167C68">
      <w:pPr>
        <w:pStyle w:val="1"/>
      </w:pPr>
      <w:r w:rsidRPr="00A94A19">
        <w:t>Section 10:</w:t>
      </w:r>
      <w:r w:rsidRPr="00A94A19">
        <w:tab/>
        <w:t>Reporting. The Inspector General shall submit an annual report to the Governor and the Joint Legislative Committee on the Budget at the end of each fiscal year that describes the accomplishments and contributions made by the office toward achieving the mission of helping to prevent and detect waste, fraud, and abuse in Louisiana government in accordance with R.S. 49:220.24.</w:t>
      </w:r>
      <w:r>
        <w:t xml:space="preserve"> </w:t>
      </w:r>
      <w:r w:rsidRPr="00A94A19">
        <w:t>This report shall include information outlining the progress of the Louisiana Taxpayer Protection Initiative.</w:t>
      </w:r>
      <w:r>
        <w:t xml:space="preserve"> </w:t>
      </w:r>
      <w:r w:rsidRPr="00A94A19">
        <w:t>Except for the reports of investigations released as provided in R.S. 49:220.24(C)(6), the records prepared or obtained by the Inspector General in connection with investigations conducted by the Inspector General shall be deemed confidential and protected from disclosure as required by state law.</w:t>
      </w:r>
      <w:r>
        <w:t xml:space="preserve"> </w:t>
      </w:r>
      <w:r w:rsidRPr="00A94A19">
        <w:t>Pursuant to R.S. 49:220.25, any record or information obtained by the Inspector General which is confidential pursuant to any other provision of law shall remain confidential, and it shall be a misdemeanor punishable by a fine of not more than two thousand dollars or imprisonment for not more than one year, or both, for the Inspector General or any of his employees, or any other public official, corporation, or individual, to make public any such information or record.</w:t>
      </w:r>
      <w:r>
        <w:t xml:space="preserve"> </w:t>
      </w:r>
    </w:p>
    <w:p w14:paraId="4FCCA0BD" w14:textId="77777777" w:rsidR="00943207" w:rsidRPr="00A94A19" w:rsidRDefault="00943207" w:rsidP="00167C68">
      <w:pPr>
        <w:pStyle w:val="1"/>
      </w:pPr>
      <w:r w:rsidRPr="00A94A19">
        <w:t>Section 11:</w:t>
      </w:r>
      <w:r w:rsidRPr="00A94A19">
        <w:tab/>
        <w:t xml:space="preserve">Support. Support staff, facilities, and resources for shall be provided by the Office of the Governor and other departments of the executive branch of state government. The custodian of records shall be the Inspector General, and the Inspector General’s office will be required to identify any responsive documents that may exist as to public records requests and provide the exception, exemption or privilege that is being asserted if a document is withheld. </w:t>
      </w:r>
    </w:p>
    <w:p w14:paraId="783F5EEE" w14:textId="77777777" w:rsidR="00943207" w:rsidRPr="00A94A19" w:rsidRDefault="00943207" w:rsidP="00167C68">
      <w:pPr>
        <w:pStyle w:val="1"/>
      </w:pPr>
      <w:r w:rsidRPr="00A94A19">
        <w:t>Section 12:</w:t>
      </w:r>
      <w:r w:rsidRPr="00A94A19">
        <w:tab/>
        <w:t>Cooperation. All departments, commissions, boards, offices, entities, agencies, and officers of the State of Louisiana, or any political subdivision thereof, are authorized and directed to cooperate with the Inspector General in implementing the provisions of this Order.</w:t>
      </w:r>
    </w:p>
    <w:p w14:paraId="7F558604" w14:textId="77777777" w:rsidR="006219DE" w:rsidRDefault="00943207" w:rsidP="00167C68">
      <w:pPr>
        <w:pStyle w:val="1"/>
      </w:pPr>
      <w:r w:rsidRPr="00A94A19">
        <w:t>Section 13:</w:t>
      </w:r>
      <w:r w:rsidRPr="00A94A19">
        <w:tab/>
        <w:t>Effect on Existing Authority.</w:t>
      </w:r>
      <w:r w:rsidRPr="00A94A19">
        <w:rPr>
          <w:bCs/>
        </w:rPr>
        <w:t xml:space="preserve"> </w:t>
      </w:r>
      <w:r w:rsidRPr="00A94A19">
        <w:t xml:space="preserve">Nothing in this Order shall impair, diminish, supersede, or otherwise affect the independent statutory authority, duties, or powers of </w:t>
      </w:r>
      <w:r w:rsidR="006219DE">
        <w:br w:type="page"/>
      </w:r>
    </w:p>
    <w:p w14:paraId="3229BC5C" w14:textId="58819C49" w:rsidR="00943207" w:rsidRPr="00A94A19" w:rsidRDefault="00943207" w:rsidP="006219DE">
      <w:pPr>
        <w:pStyle w:val="1"/>
        <w:ind w:firstLine="0"/>
      </w:pPr>
      <w:r w:rsidRPr="00A94A19">
        <w:lastRenderedPageBreak/>
        <w:t>the state Inspector General, the Legislative Auditor, the Attorney General, the Board of Ethics, district attorneys, or any other officer or entity, or the authority granted by law to any executive department or agency. This Order shall be implemented consistent with applicable law and subject to the availability of appropriations, and creates no right or benefit, substantive or procedural, enforceable at law or in equity by any party against the State of Louisiana, its departments, agencies, officers, employees, or agents.</w:t>
      </w:r>
    </w:p>
    <w:p w14:paraId="062BDE7B" w14:textId="77777777" w:rsidR="00943207" w:rsidRPr="00A94A19" w:rsidRDefault="00943207" w:rsidP="00167C68">
      <w:pPr>
        <w:pStyle w:val="1"/>
      </w:pPr>
      <w:r w:rsidRPr="00A94A19">
        <w:t>Section 14:</w:t>
      </w:r>
      <w:r w:rsidRPr="00A94A19">
        <w:tab/>
        <w:t>Definitions.</w:t>
      </w:r>
      <w:r w:rsidRPr="00A94A19">
        <w:rPr>
          <w:bCs/>
        </w:rPr>
        <w:t xml:space="preserve"> </w:t>
      </w:r>
      <w:r w:rsidRPr="00A94A19">
        <w:t>As used in this Order:</w:t>
      </w:r>
    </w:p>
    <w:p w14:paraId="5C02CBFB" w14:textId="77777777" w:rsidR="00943207" w:rsidRPr="00A94A19" w:rsidRDefault="00943207" w:rsidP="009A79A8">
      <w:pPr>
        <w:pStyle w:val="ExoA"/>
      </w:pPr>
      <w:r w:rsidRPr="00A94A19">
        <w:t>A.</w:t>
      </w:r>
      <w:r w:rsidRPr="00A94A19">
        <w:tab/>
        <w:t>“Fraud” means a knowing misrepresentation or concealment of a material fact, or other wrongful or criminal deception, intended to result in financial or personal gain, including to obtain or retain payments, benefits, contracts, or property.</w:t>
      </w:r>
    </w:p>
    <w:p w14:paraId="725837F8" w14:textId="77777777" w:rsidR="00943207" w:rsidRPr="00A94A19" w:rsidRDefault="00943207" w:rsidP="009A79A8">
      <w:pPr>
        <w:pStyle w:val="ExoA"/>
      </w:pPr>
      <w:r w:rsidRPr="00A94A19">
        <w:t>B.</w:t>
      </w:r>
      <w:r w:rsidRPr="00A94A19">
        <w:tab/>
        <w:t>“Waste” means the careless, inefficient, or thoughtless expenditure, consumption, or mismanagement of public resources, which need not involve intent to deceive.</w:t>
      </w:r>
    </w:p>
    <w:p w14:paraId="3D68127D" w14:textId="77777777" w:rsidR="00943207" w:rsidRPr="00A94A19" w:rsidRDefault="00943207" w:rsidP="009A79A8">
      <w:pPr>
        <w:pStyle w:val="ExoA"/>
      </w:pPr>
      <w:r w:rsidRPr="00A94A19">
        <w:t>C.</w:t>
      </w:r>
      <w:r w:rsidRPr="00A94A19">
        <w:tab/>
        <w:t>“Abuse” means the excessive or improper use of authority, position, or public resources, or conduct that is deficient or improper when compared with what a prudent person would consider reasonable and necessary.</w:t>
      </w:r>
    </w:p>
    <w:p w14:paraId="5C9A26BE" w14:textId="77777777" w:rsidR="00943207" w:rsidRPr="00A94A19" w:rsidRDefault="00943207" w:rsidP="009A79A8">
      <w:pPr>
        <w:pStyle w:val="ExoA"/>
      </w:pPr>
      <w:r w:rsidRPr="00A94A19">
        <w:t>D.</w:t>
      </w:r>
      <w:r w:rsidRPr="00A94A19">
        <w:tab/>
        <w:t>“Improper payment” means any payment that should not have been made, or that was made in an incorrect amount (including an overpayment or underpayment), under a statutory, contractual, administrative, or other legally applicable requirement; any payment to an ineligible recipient or for an ineligible good or service; any duplicate payment; and any payment that lacks sufficient supporting documentation.</w:t>
      </w:r>
    </w:p>
    <w:p w14:paraId="20CD1EFE" w14:textId="77777777" w:rsidR="00943207" w:rsidRPr="00A94A19" w:rsidRDefault="00943207" w:rsidP="009A79A8">
      <w:pPr>
        <w:pStyle w:val="ExoA"/>
      </w:pPr>
      <w:r w:rsidRPr="00A94A19">
        <w:t>E.</w:t>
      </w:r>
      <w:r w:rsidRPr="00A94A19">
        <w:tab/>
        <w:t>“Synthetic-identity fraud” means the use of a combination of real and fabricated personally identifiable information to create a fictitious identity in order to commit a dishonest act for financial or personal gain.</w:t>
      </w:r>
    </w:p>
    <w:p w14:paraId="782AB330" w14:textId="77777777" w:rsidR="00943207" w:rsidRPr="00A94A19" w:rsidRDefault="00943207" w:rsidP="009A79A8">
      <w:pPr>
        <w:pStyle w:val="ExoA"/>
      </w:pPr>
      <w:r w:rsidRPr="00A94A19">
        <w:t>F.</w:t>
      </w:r>
      <w:r w:rsidRPr="00A94A19">
        <w:tab/>
        <w:t>“Covered agency” has the meaning given in R.S. 49:220.21, namely the departments, offices, agencies, boards, commissions, task forces, authorities, and divisions of the executive branch of state government.</w:t>
      </w:r>
    </w:p>
    <w:p w14:paraId="19292C21" w14:textId="77777777" w:rsidR="00943207" w:rsidRPr="00A94A19" w:rsidRDefault="00943207" w:rsidP="009A79A8">
      <w:pPr>
        <w:pStyle w:val="ExoA"/>
      </w:pPr>
      <w:r w:rsidRPr="00A94A19">
        <w:t>G.</w:t>
      </w:r>
      <w:r w:rsidRPr="00A94A19">
        <w:tab/>
        <w:t>“State funds” and “federal funds” mean, respectively, funds appropriated or administered by the State from state sources, self-generated fees, and funds provided by the federal government and administered by the State, including federally funded, state-administered programs.</w:t>
      </w:r>
    </w:p>
    <w:p w14:paraId="5B8EB2D9" w14:textId="77777777" w:rsidR="00943207" w:rsidRPr="00A94A19" w:rsidRDefault="00943207" w:rsidP="00167C68">
      <w:pPr>
        <w:pStyle w:val="1"/>
      </w:pPr>
      <w:r w:rsidRPr="00A94A19">
        <w:t>Section 15:</w:t>
      </w:r>
      <w:r w:rsidRPr="00A94A19">
        <w:tab/>
        <w:t>Effective Date.</w:t>
      </w:r>
      <w:r w:rsidRPr="00A94A19">
        <w:rPr>
          <w:bCs/>
        </w:rPr>
        <w:t xml:space="preserve"> </w:t>
      </w:r>
      <w:r w:rsidRPr="00A94A19">
        <w:t>This Order is effective upon signature of the Governor, and it shall remain in effect until amended, modified, terminated, or rescinded by the Governor, or until terminated by operation of law.</w:t>
      </w:r>
    </w:p>
    <w:p w14:paraId="0C7005E7" w14:textId="77777777" w:rsidR="00943207" w:rsidRDefault="00943207" w:rsidP="009A79A8">
      <w:pPr>
        <w:pStyle w:val="ExoNormal"/>
      </w:pPr>
      <w:r w:rsidRPr="00A94A19">
        <w:rPr>
          <w:bCs/>
        </w:rPr>
        <w:t xml:space="preserve">IN WITNESS WHEREOF, </w:t>
      </w:r>
      <w:r w:rsidRPr="00A94A19">
        <w:t>I have set my hand officially and caused to be affixed the Great Seal of Louisiana in the City of Baton Rouge, on this 29</w:t>
      </w:r>
      <w:r w:rsidRPr="00A94A19">
        <w:rPr>
          <w:vertAlign w:val="superscript"/>
        </w:rPr>
        <w:t>th</w:t>
      </w:r>
      <w:r w:rsidRPr="00A94A19">
        <w:t xml:space="preserve"> day of July, 2026.</w:t>
      </w:r>
    </w:p>
    <w:p w14:paraId="345909F8" w14:textId="77777777" w:rsidR="00943207" w:rsidRDefault="00943207" w:rsidP="009A79A8">
      <w:pPr>
        <w:pStyle w:val="RegSignature"/>
      </w:pPr>
      <w:r>
        <w:t>Jeff Landry</w:t>
      </w:r>
    </w:p>
    <w:p w14:paraId="56E02F75" w14:textId="77777777" w:rsidR="00943207" w:rsidRDefault="00943207" w:rsidP="009A79A8">
      <w:pPr>
        <w:pStyle w:val="RegSignature"/>
      </w:pPr>
      <w:r>
        <w:t>Governor</w:t>
      </w:r>
    </w:p>
    <w:p w14:paraId="71897677" w14:textId="77777777" w:rsidR="00943207" w:rsidRDefault="00943207" w:rsidP="009A79A8">
      <w:pPr>
        <w:pStyle w:val="ExoSecOfState"/>
      </w:pPr>
      <w:r>
        <w:t>ATTEST BY</w:t>
      </w:r>
    </w:p>
    <w:p w14:paraId="4192A0B3" w14:textId="77777777" w:rsidR="00943207" w:rsidRDefault="00943207" w:rsidP="009A79A8">
      <w:pPr>
        <w:pStyle w:val="ExoSecOfState"/>
      </w:pPr>
      <w:r>
        <w:t>THE GOVERNOR</w:t>
      </w:r>
    </w:p>
    <w:p w14:paraId="312BDB67" w14:textId="77777777" w:rsidR="00943207" w:rsidRDefault="00943207" w:rsidP="009A79A8">
      <w:pPr>
        <w:pStyle w:val="ExoSecOfState"/>
      </w:pPr>
      <w:r>
        <w:t>Nancy Landry</w:t>
      </w:r>
    </w:p>
    <w:p w14:paraId="7A8CD93A" w14:textId="77777777" w:rsidR="00943207" w:rsidRDefault="00943207" w:rsidP="009A79A8">
      <w:pPr>
        <w:pStyle w:val="ExoSecOfState"/>
      </w:pPr>
      <w:r>
        <w:t>Secretary of State</w:t>
      </w:r>
    </w:p>
    <w:p w14:paraId="08768BF9" w14:textId="77777777" w:rsidR="00943207" w:rsidRPr="00A94A19" w:rsidRDefault="00943207" w:rsidP="009A79A8">
      <w:pPr>
        <w:pStyle w:val="RegLogNumber"/>
      </w:pPr>
      <w:r>
        <w:t>2608#064</w:t>
      </w:r>
    </w:p>
    <w:p w14:paraId="19E84910" w14:textId="77777777" w:rsidR="00943207" w:rsidRPr="00943207" w:rsidRDefault="00943207" w:rsidP="00943207"/>
    <w:p w14:paraId="39808DD5" w14:textId="77777777" w:rsidR="00943207" w:rsidRDefault="00943207" w:rsidP="004F56F7">
      <w:pPr>
        <w:pStyle w:val="RegItemFirstLine"/>
      </w:pPr>
      <w:r>
        <w:t>EXECUTIVE ORDER JML 26-070</w:t>
      </w:r>
    </w:p>
    <w:p w14:paraId="13CDF155" w14:textId="77777777" w:rsidR="00943207" w:rsidRDefault="00943207" w:rsidP="004F56F7">
      <w:pPr>
        <w:pStyle w:val="RegItemTitle"/>
      </w:pPr>
      <w:r w:rsidRPr="001F27E0">
        <w:t xml:space="preserve">Renewal </w:t>
      </w:r>
      <w:r>
        <w:t>o</w:t>
      </w:r>
      <w:r w:rsidRPr="001F27E0">
        <w:t xml:space="preserve">f State </w:t>
      </w:r>
      <w:r>
        <w:t>o</w:t>
      </w:r>
      <w:r w:rsidRPr="001F27E0">
        <w:t>f Emergency</w:t>
      </w:r>
      <w:r>
        <w:t>—</w:t>
      </w:r>
      <w:r w:rsidRPr="001F27E0">
        <w:t xml:space="preserve">Threat </w:t>
      </w:r>
      <w:r>
        <w:t>o</w:t>
      </w:r>
      <w:r w:rsidRPr="001F27E0">
        <w:t xml:space="preserve">f Subsidence, Subsurface Instability, </w:t>
      </w:r>
      <w:r>
        <w:t>a</w:t>
      </w:r>
      <w:r w:rsidRPr="001F27E0">
        <w:t xml:space="preserve">nd Presence Of Hydrocarbons </w:t>
      </w:r>
      <w:r>
        <w:t>i</w:t>
      </w:r>
      <w:r w:rsidRPr="001F27E0">
        <w:t>n Sulphur Mines Salt Dome Area</w:t>
      </w:r>
    </w:p>
    <w:p w14:paraId="5EB01242" w14:textId="77777777" w:rsidR="00943207" w:rsidRPr="001F27E0" w:rsidRDefault="00943207" w:rsidP="004F56F7">
      <w:pPr>
        <w:pStyle w:val="ExoNormal"/>
      </w:pPr>
      <w:r w:rsidRPr="001F27E0">
        <w:rPr>
          <w:bCs/>
        </w:rPr>
        <w:t>WHEREAS,</w:t>
      </w:r>
      <w:r w:rsidRPr="001F27E0">
        <w:rPr>
          <w:bCs/>
        </w:rPr>
        <w:tab/>
      </w:r>
      <w:r w:rsidRPr="001F27E0">
        <w:t xml:space="preserve">pursuant to the Louisiana Homeland Security and Emergency Assistance and Disaster Act, R.S. 29:721, et seq., a state of emergency was declared through </w:t>
      </w:r>
      <w:r w:rsidRPr="001F27E0">
        <w:rPr>
          <w:bCs/>
          <w:color w:val="313131"/>
        </w:rPr>
        <w:t>Proclamation</w:t>
      </w:r>
      <w:r w:rsidRPr="001F27E0">
        <w:t xml:space="preserve"> Number 160 JBE 2023;</w:t>
      </w:r>
    </w:p>
    <w:p w14:paraId="23B959A7" w14:textId="77777777" w:rsidR="00943207" w:rsidRPr="001F27E0" w:rsidRDefault="00943207" w:rsidP="004F56F7">
      <w:pPr>
        <w:pStyle w:val="ExoNormal"/>
        <w:rPr>
          <w:rFonts w:eastAsia="Calibri"/>
        </w:rPr>
      </w:pPr>
      <w:r w:rsidRPr="001F27E0">
        <w:rPr>
          <w:rFonts w:eastAsia="Calibri"/>
        </w:rPr>
        <w:t>WHEREAS,</w:t>
      </w:r>
      <w:r w:rsidRPr="001F27E0">
        <w:rPr>
          <w:rFonts w:eastAsia="Calibri"/>
        </w:rPr>
        <w:tab/>
        <w:t xml:space="preserve">Proclamation Number 160 JBE 2023 has been renewed and extended every thirty (30) days through JML 26-060 which is in effect through </w:t>
      </w:r>
      <w:bookmarkStart w:id="14" w:name="_Hlk173330083"/>
      <w:r w:rsidRPr="001F27E0">
        <w:rPr>
          <w:rFonts w:eastAsia="Calibri"/>
        </w:rPr>
        <w:t>Saturday, August 1, 202</w:t>
      </w:r>
      <w:bookmarkEnd w:id="14"/>
      <w:r w:rsidRPr="001F27E0">
        <w:rPr>
          <w:rFonts w:eastAsia="Calibri"/>
        </w:rPr>
        <w:t>6;</w:t>
      </w:r>
    </w:p>
    <w:p w14:paraId="18B10FD2" w14:textId="77777777" w:rsidR="00943207" w:rsidRPr="001F27E0" w:rsidRDefault="00943207" w:rsidP="004F56F7">
      <w:pPr>
        <w:pStyle w:val="ExoNormal"/>
      </w:pPr>
      <w:r w:rsidRPr="001F27E0">
        <w:t>WHEREAS, when the Governor determines that a disaster or emergency has occurred, or the threat thereof is imminent, R.S. 29:724(B)(1) empowers the Governor to declare a state of emergency by executive order or proclamation, or both;</w:t>
      </w:r>
    </w:p>
    <w:p w14:paraId="5BB8AEF3" w14:textId="77777777" w:rsidR="00943207" w:rsidRPr="001F27E0" w:rsidRDefault="00943207" w:rsidP="004F56F7">
      <w:pPr>
        <w:pStyle w:val="ExoNormal"/>
      </w:pPr>
      <w:r w:rsidRPr="001F27E0">
        <w:t>WHEREAS,</w:t>
      </w:r>
      <w:r w:rsidRPr="001F27E0">
        <w:tab/>
        <w:t xml:space="preserve">local, state, and federal agencies began monitoring subsurface seismic activity occurring in the vicinity of the Sulphur Mines salt dome in Calcasieu Parish in December of 2021, with a true seismic monitoring array being ordered by the Office of Conservation, which came online in January of 2023; </w:t>
      </w:r>
    </w:p>
    <w:p w14:paraId="571C7AF1" w14:textId="77777777" w:rsidR="00943207" w:rsidRPr="001F27E0" w:rsidRDefault="00943207" w:rsidP="004F56F7">
      <w:pPr>
        <w:pStyle w:val="ExoNormal"/>
      </w:pPr>
      <w:r w:rsidRPr="001F27E0">
        <w:t>WHEREAS,</w:t>
      </w:r>
      <w:r w:rsidRPr="001F27E0">
        <w:tab/>
        <w:t>the Office of Conservation began investigating unexplained hydrocarbon bubbling within the area of concern in January of 2023, as well as monitoring seismicity, and the rate of subsidence in the area of concern;</w:t>
      </w:r>
    </w:p>
    <w:p w14:paraId="7AA54125" w14:textId="77777777" w:rsidR="00943207" w:rsidRPr="001F27E0" w:rsidRDefault="00943207" w:rsidP="004F56F7">
      <w:pPr>
        <w:pStyle w:val="ExoNormal"/>
      </w:pPr>
      <w:r w:rsidRPr="001F27E0">
        <w:t>WHEREAS,</w:t>
      </w:r>
      <w:r w:rsidRPr="001F27E0">
        <w:tab/>
        <w:t xml:space="preserve">on Wednesday September 20, 2023, in response to this subsidence and seepage, Commissioner of Conservation, Monique M. Edwards made a declaration of emergency under the authority of Louisiana Revised Statutes 30:1 </w:t>
      </w:r>
      <w:r w:rsidRPr="001F27E0">
        <w:rPr>
          <w:i/>
        </w:rPr>
        <w:t>et seq</w:t>
      </w:r>
      <w:r w:rsidRPr="001F27E0">
        <w:t>., ordering the operator of the salt cavern underneath the area of subsidence to undertake all necessary activities to evaluate and abate any deterioration of the cavern’s integrity;</w:t>
      </w:r>
    </w:p>
    <w:p w14:paraId="30C1213A" w14:textId="77777777" w:rsidR="00943207" w:rsidRDefault="00943207" w:rsidP="004F56F7">
      <w:pPr>
        <w:pStyle w:val="ExoNormal"/>
      </w:pPr>
      <w:r w:rsidRPr="001F27E0">
        <w:t>WHEREAS,</w:t>
      </w:r>
      <w:r>
        <w:tab/>
      </w:r>
      <w:r w:rsidRPr="001F27E0">
        <w:t>the State anticipates that further assistance may be needed to assist Calcasieu Parish in their response to this continuing threat; and</w:t>
      </w:r>
    </w:p>
    <w:p w14:paraId="7C24806A" w14:textId="77777777" w:rsidR="00943207" w:rsidRPr="001F27E0" w:rsidRDefault="00943207" w:rsidP="004F56F7">
      <w:pPr>
        <w:pStyle w:val="ExoNormal"/>
      </w:pPr>
      <w:r w:rsidRPr="001F27E0">
        <w:t>WHEREAS,</w:t>
      </w:r>
      <w:r w:rsidRPr="001F27E0">
        <w:tab/>
        <w:t>it is necessary to continue the measures provided in Proclamation Number 160 JBE 2023 to further protect the health and safety of the citizens of Louisiana;</w:t>
      </w:r>
    </w:p>
    <w:p w14:paraId="1F5F5440" w14:textId="77777777" w:rsidR="00943207" w:rsidRPr="001F27E0" w:rsidRDefault="00943207" w:rsidP="004F56F7">
      <w:pPr>
        <w:pStyle w:val="ExoNormal"/>
        <w:rPr>
          <w:bCs/>
        </w:rPr>
      </w:pPr>
      <w:r w:rsidRPr="001F27E0">
        <w:rPr>
          <w:bCs/>
        </w:rPr>
        <w:t xml:space="preserve">NOW THEREFORE I, JEFF LANDRY, </w:t>
      </w:r>
      <w:r w:rsidRPr="001F27E0">
        <w:t>Governor of the State of Louisiana, by virtue of the authority vested by the Constitution and laws of the State of Louisiana, do hereby order and direct as follows:</w:t>
      </w:r>
    </w:p>
    <w:p w14:paraId="2674C5A6" w14:textId="77777777" w:rsidR="006219DE" w:rsidRDefault="00943207" w:rsidP="004F56F7">
      <w:pPr>
        <w:pStyle w:val="1"/>
      </w:pPr>
      <w:r w:rsidRPr="001F27E0">
        <w:t>Section 1:</w:t>
      </w:r>
      <w:r w:rsidRPr="001F27E0">
        <w:tab/>
        <w:t xml:space="preserve">Pursuant to the Louisiana Homeland Security and Emergency Assistance and Disaster Act, R.S. 29:721 </w:t>
      </w:r>
      <w:r w:rsidRPr="001F27E0">
        <w:rPr>
          <w:i/>
        </w:rPr>
        <w:t>et seq</w:t>
      </w:r>
      <w:r w:rsidRPr="001F27E0">
        <w:t xml:space="preserve">., a state of emergency is hereby declared to exist in the Parish of Calcasieu, as a result of seismic activity, lost </w:t>
      </w:r>
      <w:r w:rsidR="006219DE">
        <w:br w:type="page"/>
      </w:r>
    </w:p>
    <w:p w14:paraId="272FEAE7" w14:textId="0A70DA56" w:rsidR="00943207" w:rsidRPr="001F27E0" w:rsidRDefault="00943207" w:rsidP="006219DE">
      <w:pPr>
        <w:pStyle w:val="1"/>
        <w:ind w:firstLine="0"/>
      </w:pPr>
      <w:r w:rsidRPr="001F27E0">
        <w:lastRenderedPageBreak/>
        <w:t>cavern integrity, increased hydrocarbon bubbling, and accelerated subsidence, that collectively indicate a potential for structural failure that could potentially threaten the lives and property of the citizens of the State.</w:t>
      </w:r>
    </w:p>
    <w:p w14:paraId="7453569D" w14:textId="77777777" w:rsidR="00943207" w:rsidRPr="001F27E0" w:rsidRDefault="00943207" w:rsidP="004F56F7">
      <w:pPr>
        <w:pStyle w:val="1"/>
      </w:pPr>
      <w:r w:rsidRPr="001F27E0">
        <w:t>Section 2:</w:t>
      </w:r>
      <w:r w:rsidRPr="001F27E0">
        <w:tab/>
        <w:t>The Director of the Governor’s Office of Homeland Security and Emergency Preparedness is hereby authorized to undertake any activity authorized by law which he deems appropriate in response to this declaration.</w:t>
      </w:r>
    </w:p>
    <w:p w14:paraId="3C2EB5CE" w14:textId="77777777" w:rsidR="00943207" w:rsidRPr="001F27E0" w:rsidRDefault="00943207" w:rsidP="004F56F7">
      <w:pPr>
        <w:pStyle w:val="1"/>
      </w:pPr>
      <w:r w:rsidRPr="001F27E0">
        <w:t>Section 3:</w:t>
      </w:r>
      <w:r w:rsidRPr="001F27E0">
        <w:tab/>
        <w:t>All departments, commissions, boards, agencies, and officers of the State or any political subdivision thereof, are authorized and directed to cooperate in actions, the State may take in response to this incident.</w:t>
      </w:r>
    </w:p>
    <w:p w14:paraId="6701618C" w14:textId="77777777" w:rsidR="00943207" w:rsidRPr="001F27E0" w:rsidRDefault="00943207" w:rsidP="004F56F7">
      <w:pPr>
        <w:pStyle w:val="1"/>
      </w:pPr>
      <w:r w:rsidRPr="001F27E0">
        <w:t>Section 4:</w:t>
      </w:r>
      <w:r w:rsidRPr="001F27E0">
        <w:tab/>
        <w:t xml:space="preserve">This Order is effective upon signature and shall continue in effect from Friday, July 31, 2026 to Sunday, August 30, 2026, unless amended, modified, or terminated sooner. </w:t>
      </w:r>
    </w:p>
    <w:p w14:paraId="3B081D2A" w14:textId="77777777" w:rsidR="00943207" w:rsidRDefault="00943207" w:rsidP="004F56F7">
      <w:pPr>
        <w:pStyle w:val="ExoNormal"/>
      </w:pPr>
      <w:r w:rsidRPr="001F27E0">
        <w:rPr>
          <w:bCs/>
        </w:rPr>
        <w:t xml:space="preserve">IN WITNESS WHEREOF, </w:t>
      </w:r>
      <w:r w:rsidRPr="001F27E0">
        <w:t>I have set my hand officially and caused to be affixed the Great Seal of Louisiana in the City of Baton Rouge, on this 31</w:t>
      </w:r>
      <w:r w:rsidRPr="001F27E0">
        <w:rPr>
          <w:vertAlign w:val="superscript"/>
        </w:rPr>
        <w:t>st</w:t>
      </w:r>
      <w:r w:rsidRPr="001F27E0">
        <w:t xml:space="preserve"> day of July, 2026.</w:t>
      </w:r>
    </w:p>
    <w:p w14:paraId="41539DEA" w14:textId="77777777" w:rsidR="00943207" w:rsidRDefault="00943207" w:rsidP="004F56F7">
      <w:pPr>
        <w:pStyle w:val="RegSignature"/>
      </w:pPr>
    </w:p>
    <w:p w14:paraId="3FDDE2B0" w14:textId="77777777" w:rsidR="00943207" w:rsidRDefault="00943207" w:rsidP="004F56F7">
      <w:pPr>
        <w:pStyle w:val="RegSignature"/>
      </w:pPr>
      <w:r>
        <w:t>Jeff Landry</w:t>
      </w:r>
    </w:p>
    <w:p w14:paraId="3E4E5B1F" w14:textId="77777777" w:rsidR="00943207" w:rsidRDefault="00943207" w:rsidP="004F56F7">
      <w:pPr>
        <w:pStyle w:val="RegSignature"/>
      </w:pPr>
      <w:r>
        <w:t>Governor</w:t>
      </w:r>
    </w:p>
    <w:p w14:paraId="5F0A7E4A" w14:textId="77777777" w:rsidR="00943207" w:rsidRDefault="00943207" w:rsidP="004F56F7">
      <w:pPr>
        <w:pStyle w:val="ExoSecOfState"/>
      </w:pPr>
      <w:r>
        <w:t>ATTEST BY</w:t>
      </w:r>
    </w:p>
    <w:p w14:paraId="309BC868" w14:textId="77777777" w:rsidR="00943207" w:rsidRDefault="00943207" w:rsidP="004F56F7">
      <w:pPr>
        <w:pStyle w:val="ExoSecOfState"/>
      </w:pPr>
      <w:r>
        <w:t>THE GOVERNOR</w:t>
      </w:r>
    </w:p>
    <w:p w14:paraId="63640A5B" w14:textId="77777777" w:rsidR="00943207" w:rsidRDefault="00943207" w:rsidP="004F56F7">
      <w:pPr>
        <w:pStyle w:val="ExoSecOfState"/>
      </w:pPr>
      <w:r>
        <w:t>Nancy Landry</w:t>
      </w:r>
    </w:p>
    <w:p w14:paraId="0FEE3754" w14:textId="77777777" w:rsidR="00943207" w:rsidRDefault="00943207" w:rsidP="004F56F7">
      <w:pPr>
        <w:pStyle w:val="ExoSecOfState"/>
      </w:pPr>
      <w:r>
        <w:t>Secretary of State</w:t>
      </w:r>
    </w:p>
    <w:p w14:paraId="40CD4511" w14:textId="77777777" w:rsidR="00943207" w:rsidRPr="001F27E0" w:rsidRDefault="00943207" w:rsidP="004F56F7">
      <w:pPr>
        <w:pStyle w:val="RegLogNumber"/>
      </w:pPr>
      <w:r>
        <w:t>2608#065</w:t>
      </w:r>
    </w:p>
    <w:p w14:paraId="7BDAB42B" w14:textId="77777777" w:rsidR="00943207" w:rsidRPr="00943207" w:rsidRDefault="00943207" w:rsidP="00943207"/>
    <w:p w14:paraId="31006652" w14:textId="77777777" w:rsidR="00943207" w:rsidRDefault="00943207" w:rsidP="00257786">
      <w:pPr>
        <w:pStyle w:val="RegItemFirstLine"/>
      </w:pPr>
      <w:r>
        <w:t>EXECUTIVE ORDER JML 26-071</w:t>
      </w:r>
    </w:p>
    <w:p w14:paraId="776225F0" w14:textId="77777777" w:rsidR="00943207" w:rsidRPr="00E06A98" w:rsidRDefault="00943207" w:rsidP="00257786">
      <w:pPr>
        <w:pStyle w:val="RegItemTitle"/>
        <w:rPr>
          <w:i/>
        </w:rPr>
      </w:pPr>
      <w:r w:rsidRPr="00E06A98">
        <w:t xml:space="preserve">Renewal of State of Emergency </w:t>
      </w:r>
      <w:r>
        <w:br/>
      </w:r>
      <w:r w:rsidRPr="00E06A98">
        <w:t xml:space="preserve">Maximum Security Camp J Repairs and Operation </w:t>
      </w:r>
      <w:r>
        <w:br/>
      </w:r>
      <w:r w:rsidRPr="00E06A98">
        <w:t>Louisiana State Penitentiary</w:t>
      </w:r>
    </w:p>
    <w:p w14:paraId="0B565357" w14:textId="77777777" w:rsidR="00943207" w:rsidRPr="00E06A98" w:rsidRDefault="00943207" w:rsidP="00257786">
      <w:pPr>
        <w:pStyle w:val="ExoNormal"/>
      </w:pPr>
      <w:r w:rsidRPr="00E06A98">
        <w:rPr>
          <w:bCs/>
        </w:rPr>
        <w:t>WHEREAS,</w:t>
      </w:r>
      <w:r w:rsidRPr="00E06A98">
        <w:t xml:space="preserve"> the Governor is responsible for meeting the dangers to the state and people presented by emergencies and disasters;</w:t>
      </w:r>
    </w:p>
    <w:p w14:paraId="09C7DA7E" w14:textId="77777777" w:rsidR="00943207" w:rsidRPr="00E06A98" w:rsidRDefault="00943207" w:rsidP="00257786">
      <w:pPr>
        <w:pStyle w:val="ExoNormal"/>
      </w:pPr>
      <w:r w:rsidRPr="00E06A98">
        <w:rPr>
          <w:bCs/>
        </w:rPr>
        <w:t>WHEREAS,</w:t>
      </w:r>
      <w:r w:rsidRPr="00E06A98">
        <w:t xml:space="preserve"> the Louisiana Homeland Security and Emergency Assistance and Disaster Act, La. R.S. 29:721, </w:t>
      </w:r>
      <w:r w:rsidRPr="00E06A98">
        <w:rPr>
          <w:i/>
          <w:iCs/>
        </w:rPr>
        <w:t>et seq.</w:t>
      </w:r>
      <w:r w:rsidRPr="00E06A98">
        <w:t>, confers upon the Governor of the State of Louisiana emergency powers to address disasters resulting from natural or man-made events that cause or threaten loss of life, injury, or property damage, as well as emergencies, which include actual or potential conditions created by such disasters, in order to ensure that preparations of this State will be adequate to deal with such emergencies or disasters and to preserve the lives and property of the people of the State of Louisiana;</w:t>
      </w:r>
    </w:p>
    <w:p w14:paraId="5315DBDB" w14:textId="77777777" w:rsidR="00943207" w:rsidRPr="00E06A98" w:rsidRDefault="00943207" w:rsidP="00257786">
      <w:pPr>
        <w:pStyle w:val="ExoNormal"/>
      </w:pPr>
      <w:r w:rsidRPr="00E06A98">
        <w:rPr>
          <w:bCs/>
        </w:rPr>
        <w:t>WHEREAS,</w:t>
      </w:r>
      <w:r w:rsidRPr="00E06A98">
        <w:t xml:space="preserve"> when the Governor determines that a disaster or emergency has occurred, or the threat thereof is imminent, La. R.S. 29:724(B)(l) empowers him to declare a state of emergency or disaster by executive order, which has the force and effect of law;</w:t>
      </w:r>
    </w:p>
    <w:p w14:paraId="08A0305C" w14:textId="77777777" w:rsidR="00943207" w:rsidRPr="00E06A98" w:rsidRDefault="00943207" w:rsidP="00257786">
      <w:pPr>
        <w:pStyle w:val="ExoNormal"/>
      </w:pPr>
      <w:r w:rsidRPr="00E06A98">
        <w:rPr>
          <w:bCs/>
        </w:rPr>
        <w:t xml:space="preserve">WHEREAS, </w:t>
      </w:r>
      <w:r w:rsidRPr="00E06A98">
        <w:t>pursuant to R.S. 29:274 (B)(1), Governor Jeff Landry declared a state of emergency on July 25, 2025, in Executive Order JML 25-084;</w:t>
      </w:r>
    </w:p>
    <w:p w14:paraId="046BFE0F" w14:textId="77777777" w:rsidR="00943207" w:rsidRPr="00E06A98" w:rsidRDefault="00943207" w:rsidP="00257786">
      <w:pPr>
        <w:pStyle w:val="ExoNormal"/>
      </w:pPr>
      <w:r w:rsidRPr="00E06A98">
        <w:rPr>
          <w:bCs/>
        </w:rPr>
        <w:t xml:space="preserve">WHEREAS, </w:t>
      </w:r>
      <w:r w:rsidRPr="00E06A98">
        <w:t>Executive Order JML 25-084 has been renewed and extended every thirty (30) days through Executive Order JML 26-061, which is in effect through Saturday, August 1, 2026;</w:t>
      </w:r>
    </w:p>
    <w:p w14:paraId="3DFE479D" w14:textId="394306AA" w:rsidR="00943207" w:rsidRPr="00E06A98" w:rsidRDefault="006219DE" w:rsidP="00257786">
      <w:pPr>
        <w:pStyle w:val="ExoNormal"/>
      </w:pPr>
      <w:r>
        <w:rPr>
          <w:bCs/>
        </w:rPr>
        <w:br w:type="column"/>
      </w:r>
      <w:r w:rsidR="00943207" w:rsidRPr="00E06A98">
        <w:rPr>
          <w:bCs/>
        </w:rPr>
        <w:t>WHEREAS,</w:t>
      </w:r>
      <w:r w:rsidR="00943207" w:rsidRPr="00E06A98">
        <w:t xml:space="preserve"> La. R.S. 29:724 authorizes the Governor during a declared state of emergency to suspend the provisions of any state regulatory statute prescribing procedures for conducting state business, or the orders, rules, or regulations of any state agency, if strict compliance with the provision of any statute, order, rule, or regulation would in any way prevent, hinder, or delay necessary action in coping with the emergency;</w:t>
      </w:r>
    </w:p>
    <w:p w14:paraId="5F0E146C" w14:textId="77777777" w:rsidR="00943207" w:rsidRPr="00E06A98" w:rsidRDefault="00943207" w:rsidP="00257786">
      <w:pPr>
        <w:pStyle w:val="ExoNormal"/>
      </w:pPr>
      <w:r w:rsidRPr="00E06A98">
        <w:rPr>
          <w:bCs/>
        </w:rPr>
        <w:t>WHEREAS,</w:t>
      </w:r>
      <w:r w:rsidRPr="00E06A98">
        <w:t xml:space="preserve"> a declaration of emergency or disaster activates the state’s emergency response and recovery program under the command of the director of the Governor’s Office of Homeland Security and Emergency Preparedness (“GOHSEP”);</w:t>
      </w:r>
    </w:p>
    <w:p w14:paraId="3A324A87" w14:textId="77777777" w:rsidR="00943207" w:rsidRPr="00E06A98" w:rsidRDefault="00943207" w:rsidP="00257786">
      <w:pPr>
        <w:pStyle w:val="ExoNormal"/>
      </w:pPr>
      <w:r w:rsidRPr="00E06A98">
        <w:rPr>
          <w:bCs/>
        </w:rPr>
        <w:t xml:space="preserve">WHEREAS, </w:t>
      </w:r>
      <w:r w:rsidRPr="00E06A98">
        <w:t>La. R.S. 29:274(D)(2) permits the Governor during a declared state of emergency the capacity to utilize all available resources of the state government and of each political subdivision of the state as reasonably necessary to cope with the disaster or emergency;</w:t>
      </w:r>
    </w:p>
    <w:p w14:paraId="3661E7F9" w14:textId="77777777" w:rsidR="00943207" w:rsidRPr="00E06A98" w:rsidRDefault="00943207" w:rsidP="00257786">
      <w:pPr>
        <w:pStyle w:val="ExoNormal"/>
      </w:pPr>
      <w:r w:rsidRPr="00E06A98">
        <w:rPr>
          <w:bCs/>
        </w:rPr>
        <w:t xml:space="preserve">WHEREAS, </w:t>
      </w:r>
      <w:r w:rsidRPr="00E06A98">
        <w:t>La. R.S. 29:274(D)(3) authorizes the Governor during a declared state of emergency the capability to transfer the direction, personnel, or functions of state departments and agencies or units thereof for the purpose of performing or facilitating emergency services;</w:t>
      </w:r>
    </w:p>
    <w:p w14:paraId="650D0782" w14:textId="77777777" w:rsidR="00943207" w:rsidRPr="00E06A98" w:rsidRDefault="00943207" w:rsidP="00257786">
      <w:pPr>
        <w:pStyle w:val="ExoNormal"/>
      </w:pPr>
      <w:r w:rsidRPr="00E06A98">
        <w:rPr>
          <w:bCs/>
        </w:rPr>
        <w:t xml:space="preserve">WHEREAS, </w:t>
      </w:r>
      <w:r w:rsidRPr="00E06A98">
        <w:t>La. R.S. 29:274(D)(4) gives the Governor during a declared state of emergency the ability to make provisions for the availability and use of temporary emergency housing;</w:t>
      </w:r>
    </w:p>
    <w:p w14:paraId="3FE5EE14" w14:textId="77777777" w:rsidR="00943207" w:rsidRPr="00E06A98" w:rsidRDefault="00943207" w:rsidP="00257786">
      <w:pPr>
        <w:pStyle w:val="ExoNormal"/>
      </w:pPr>
      <w:r w:rsidRPr="00E06A98">
        <w:rPr>
          <w:bCs/>
        </w:rPr>
        <w:t xml:space="preserve">WHEREAS, </w:t>
      </w:r>
      <w:r w:rsidRPr="00E06A98">
        <w:t>the Louisiana State Penitentiary lacks adequate bed capacity to accommodate violent offenders who require the highest degree of security and will be transferred to its facilities;</w:t>
      </w:r>
    </w:p>
    <w:p w14:paraId="72EB45A9" w14:textId="77777777" w:rsidR="00943207" w:rsidRPr="00E06A98" w:rsidRDefault="00943207" w:rsidP="00257786">
      <w:pPr>
        <w:pStyle w:val="ExoNormal"/>
      </w:pPr>
      <w:r w:rsidRPr="00E06A98">
        <w:rPr>
          <w:bCs/>
        </w:rPr>
        <w:t xml:space="preserve">WHEREAS, </w:t>
      </w:r>
      <w:r w:rsidRPr="00E06A98">
        <w:t>Camp J, within the Louisiana State Penitentiary, was designed to provide that maximum security, but Camp J has deteriorated into a condition that creates a significant threat of injury to individuals and property who enter or are in and around its premises;</w:t>
      </w:r>
    </w:p>
    <w:p w14:paraId="46DC60C7" w14:textId="77777777" w:rsidR="00943207" w:rsidRPr="00E06A98" w:rsidRDefault="00943207" w:rsidP="00257786">
      <w:pPr>
        <w:pStyle w:val="ExoNormal"/>
      </w:pPr>
      <w:r w:rsidRPr="00E06A98">
        <w:rPr>
          <w:bCs/>
        </w:rPr>
        <w:t>WHEREAS,</w:t>
      </w:r>
      <w:r w:rsidRPr="00E06A98">
        <w:t xml:space="preserve"> in the first seven months of 2017, dozens of weapons were found at Camp J due to security malfunctions;</w:t>
      </w:r>
    </w:p>
    <w:p w14:paraId="0F7979DA" w14:textId="77777777" w:rsidR="00943207" w:rsidRPr="00E06A98" w:rsidRDefault="00943207" w:rsidP="00257786">
      <w:pPr>
        <w:pStyle w:val="ExoNormal"/>
      </w:pPr>
      <w:r w:rsidRPr="00E06A98">
        <w:rPr>
          <w:bCs/>
        </w:rPr>
        <w:t xml:space="preserve">WHEREAS, </w:t>
      </w:r>
      <w:r w:rsidRPr="00E06A98">
        <w:t>within just one year, approximately 85 corrections officers assigned to Camp J had resigned, retired, or were terminated due to the complex challenges presented there;</w:t>
      </w:r>
    </w:p>
    <w:p w14:paraId="42446594" w14:textId="77777777" w:rsidR="00943207" w:rsidRPr="00E06A98" w:rsidRDefault="00943207" w:rsidP="00257786">
      <w:pPr>
        <w:pStyle w:val="ExoNormal"/>
      </w:pPr>
      <w:r w:rsidRPr="00E06A98">
        <w:rPr>
          <w:bCs/>
        </w:rPr>
        <w:t>WHEREAS</w:t>
      </w:r>
      <w:r w:rsidRPr="00E06A98">
        <w:t>, locks for the cells in Camp J malfunctioned, allowing offenders to jam cell doors and circumvent security checks, which resulted in a decision to close Camp J in 2018;</w:t>
      </w:r>
    </w:p>
    <w:p w14:paraId="54F9C03F" w14:textId="77777777" w:rsidR="00943207" w:rsidRPr="00E06A98" w:rsidRDefault="00943207" w:rsidP="00257786">
      <w:pPr>
        <w:pStyle w:val="ExoNormal"/>
      </w:pPr>
      <w:r w:rsidRPr="00E06A98">
        <w:rPr>
          <w:bCs/>
        </w:rPr>
        <w:t>WHEREAS,</w:t>
      </w:r>
      <w:r w:rsidRPr="00E06A98">
        <w:t xml:space="preserve"> the security conditions of Camp J present a threat of injury and a threat to the lives of offenders housed or working within Camp J as well as employees, contractors, or members of the public who may be within Camp J at any time;</w:t>
      </w:r>
    </w:p>
    <w:p w14:paraId="0C5116CB" w14:textId="77777777" w:rsidR="00943207" w:rsidRPr="00E06A98" w:rsidRDefault="00943207" w:rsidP="00257786">
      <w:pPr>
        <w:pStyle w:val="ExoNormal"/>
      </w:pPr>
      <w:r w:rsidRPr="00E06A98">
        <w:rPr>
          <w:bCs/>
        </w:rPr>
        <w:t>WHEREAS</w:t>
      </w:r>
      <w:r w:rsidRPr="00E06A98">
        <w:t>, Camp J and the surrounding infrastructure requires facility improvements and maintenance to adequately hold any violent offenders and to protect the lives of any employees, contractors, or members of the public who may be within Camp J at any time;</w:t>
      </w:r>
    </w:p>
    <w:p w14:paraId="1DE41E6C" w14:textId="77777777" w:rsidR="00943207" w:rsidRPr="00E06A98" w:rsidRDefault="00943207" w:rsidP="00257786">
      <w:pPr>
        <w:pStyle w:val="ExoNormal"/>
      </w:pPr>
      <w:r w:rsidRPr="00E06A98">
        <w:rPr>
          <w:bCs/>
        </w:rPr>
        <w:t>NOW THEREFORE, I, JEFF LANDRY,</w:t>
      </w:r>
      <w:r w:rsidRPr="00E06A98">
        <w:t xml:space="preserve"> Governor of the State of Louisiana, by virtue of the authority vested by the Constitution and laws of the State of Louisiana, order and direct as follows:</w:t>
      </w:r>
    </w:p>
    <w:p w14:paraId="40147F8F" w14:textId="77777777" w:rsidR="006219DE" w:rsidRDefault="006219DE" w:rsidP="00257786">
      <w:pPr>
        <w:pStyle w:val="1"/>
      </w:pPr>
      <w:r>
        <w:br w:type="page"/>
      </w:r>
    </w:p>
    <w:p w14:paraId="536FE34F" w14:textId="11533492" w:rsidR="00943207" w:rsidRPr="00E06A98" w:rsidRDefault="00943207" w:rsidP="00257786">
      <w:pPr>
        <w:pStyle w:val="1"/>
      </w:pPr>
      <w:r w:rsidRPr="00E06A98">
        <w:lastRenderedPageBreak/>
        <w:t>Section 1:</w:t>
      </w:r>
      <w:r w:rsidRPr="00E06A98">
        <w:tab/>
        <w:t xml:space="preserve">Pursuant to the Louisiana Homeland Security and Emergency Assistance and Disaster Act, R.S. 29:721, </w:t>
      </w:r>
      <w:r w:rsidRPr="00E06A98">
        <w:rPr>
          <w:i/>
          <w:iCs/>
        </w:rPr>
        <w:t>et seq</w:t>
      </w:r>
      <w:r w:rsidRPr="00E06A98">
        <w:t>., a state of emergency is hereby declared to exist that currently threatens the lives, safety, and property of the citizens in Louisiana.</w:t>
      </w:r>
    </w:p>
    <w:p w14:paraId="067031E2" w14:textId="77777777" w:rsidR="00943207" w:rsidRPr="00E06A98" w:rsidRDefault="00943207" w:rsidP="00257786">
      <w:pPr>
        <w:pStyle w:val="1"/>
      </w:pPr>
      <w:r w:rsidRPr="00E06A98">
        <w:t>Section 2:</w:t>
      </w:r>
      <w:r w:rsidRPr="00E06A98">
        <w:tab/>
        <w:t>Pursuant to R.S. 29:724(A)(3), the designated emergency area, which is or may be affected, shall include Camp J and surrounding infrastructure, within the Louisiana State Penitentiary.</w:t>
      </w:r>
    </w:p>
    <w:p w14:paraId="193658F6" w14:textId="77777777" w:rsidR="00943207" w:rsidRPr="00E06A98" w:rsidRDefault="00943207" w:rsidP="00257786">
      <w:pPr>
        <w:pStyle w:val="1"/>
      </w:pPr>
      <w:r w:rsidRPr="00E06A98">
        <w:t>Section 3:</w:t>
      </w:r>
      <w:r w:rsidRPr="00E06A98">
        <w:tab/>
        <w:t xml:space="preserve">The Director of the Governor's Office of Homeland Security and Emergency Preparedness (GOHSEP) and the Secretary of the Department of Public Safety and Corrections are hereby authorized to undertake any activity authorized by law that they deem appropriate in response to this declaration. </w:t>
      </w:r>
    </w:p>
    <w:p w14:paraId="54FF8F23" w14:textId="77777777" w:rsidR="00943207" w:rsidRPr="00E06A98" w:rsidRDefault="00943207" w:rsidP="00257786">
      <w:pPr>
        <w:pStyle w:val="1"/>
        <w:rPr>
          <w:bCs/>
        </w:rPr>
      </w:pPr>
      <w:r w:rsidRPr="00E06A98">
        <w:t>Section 4:</w:t>
      </w:r>
      <w:r w:rsidRPr="00E06A98">
        <w:tab/>
        <w:t xml:space="preserve">Pursuant to R.S. 29:724(D)(l), the Louisiana Procurement Code (R.S. 39:1551, </w:t>
      </w:r>
      <w:r w:rsidRPr="00E06A98">
        <w:rPr>
          <w:i/>
          <w:iCs/>
        </w:rPr>
        <w:t>et seq</w:t>
      </w:r>
      <w:r w:rsidRPr="00E06A98">
        <w:t xml:space="preserve">.) and Louisiana Public Bid Law (R.S. 38:2211, </w:t>
      </w:r>
      <w:r w:rsidRPr="00E06A98">
        <w:rPr>
          <w:i/>
          <w:iCs/>
        </w:rPr>
        <w:t>et seq</w:t>
      </w:r>
      <w:r w:rsidRPr="00E06A98">
        <w:t>.) and their corresponding rules and regulations are hereby suspended for the purpose of the procurement of any good or services necessary to respond to this emergency, including emergency contracts, cooperative endeavor agreements, any other emergency amendments to existing contracts, or any public work necessary to respond to this emergency.</w:t>
      </w:r>
    </w:p>
    <w:p w14:paraId="6B230D46" w14:textId="77777777" w:rsidR="00943207" w:rsidRPr="00E06A98" w:rsidRDefault="00943207" w:rsidP="00257786">
      <w:pPr>
        <w:pStyle w:val="1"/>
      </w:pPr>
      <w:r w:rsidRPr="00E06A98">
        <w:t>Section 5:</w:t>
      </w:r>
      <w:r w:rsidRPr="00E06A98">
        <w:tab/>
        <w:t>All departments, commissions, boards, agencies and officers of the State, or any political subdivision thereof, are authorized and directed to cooperate in actions the State may take in response to this event.</w:t>
      </w:r>
    </w:p>
    <w:p w14:paraId="3AC13549" w14:textId="77777777" w:rsidR="00943207" w:rsidRPr="00E06A98" w:rsidRDefault="00943207" w:rsidP="00257786">
      <w:pPr>
        <w:pStyle w:val="1"/>
      </w:pPr>
      <w:r w:rsidRPr="00E06A98">
        <w:t>Section 6:</w:t>
      </w:r>
      <w:r w:rsidRPr="00E06A98">
        <w:tab/>
        <w:t>This Order is effective upon signature and shall remain in effect from Friday, July 31, 2026 to Sunday, August 30, 2026, unless amended, modified, terminated, or rescinded earlier by the Governor, or terminated by operation of law.</w:t>
      </w:r>
    </w:p>
    <w:p w14:paraId="2125F8EE" w14:textId="77777777" w:rsidR="00943207" w:rsidRDefault="00943207" w:rsidP="00257786">
      <w:pPr>
        <w:pStyle w:val="ExoNormal"/>
      </w:pPr>
      <w:r w:rsidRPr="00E06A98">
        <w:rPr>
          <w:bCs/>
        </w:rPr>
        <w:t xml:space="preserve">IN WITNESS WHEREOF, </w:t>
      </w:r>
      <w:r w:rsidRPr="00E06A98">
        <w:t>I have set my hand officially and caused to be affixed the Great Seal of Louisiana in the City of Baton Rouge on this 31</w:t>
      </w:r>
      <w:r w:rsidRPr="00E06A98">
        <w:rPr>
          <w:vertAlign w:val="superscript"/>
        </w:rPr>
        <w:t>st</w:t>
      </w:r>
      <w:r w:rsidRPr="00E06A98">
        <w:t xml:space="preserve"> day of July 2026.</w:t>
      </w:r>
    </w:p>
    <w:p w14:paraId="48CB79E8" w14:textId="77777777" w:rsidR="00943207" w:rsidRDefault="00943207" w:rsidP="00257786">
      <w:pPr>
        <w:pStyle w:val="RegSignature"/>
        <w:rPr>
          <w:shd w:val="clear" w:color="auto" w:fill="FFFFFF"/>
        </w:rPr>
      </w:pPr>
    </w:p>
    <w:p w14:paraId="4110A301" w14:textId="77777777" w:rsidR="00943207" w:rsidRDefault="00943207" w:rsidP="00257786">
      <w:pPr>
        <w:pStyle w:val="RegSignature"/>
        <w:rPr>
          <w:shd w:val="clear" w:color="auto" w:fill="FFFFFF"/>
        </w:rPr>
      </w:pPr>
      <w:r>
        <w:rPr>
          <w:shd w:val="clear" w:color="auto" w:fill="FFFFFF"/>
        </w:rPr>
        <w:t>Jeff Landry</w:t>
      </w:r>
    </w:p>
    <w:p w14:paraId="364A4284" w14:textId="77777777" w:rsidR="00943207" w:rsidRDefault="00943207" w:rsidP="00257786">
      <w:pPr>
        <w:pStyle w:val="RegSignature"/>
        <w:rPr>
          <w:shd w:val="clear" w:color="auto" w:fill="FFFFFF"/>
        </w:rPr>
      </w:pPr>
      <w:r>
        <w:rPr>
          <w:shd w:val="clear" w:color="auto" w:fill="FFFFFF"/>
        </w:rPr>
        <w:t>Governor</w:t>
      </w:r>
    </w:p>
    <w:p w14:paraId="59E6A408" w14:textId="77777777" w:rsidR="00943207" w:rsidRDefault="00943207" w:rsidP="00257786">
      <w:pPr>
        <w:pStyle w:val="ExoSecOfState"/>
        <w:rPr>
          <w:shd w:val="clear" w:color="auto" w:fill="FFFFFF"/>
        </w:rPr>
      </w:pPr>
      <w:r>
        <w:rPr>
          <w:shd w:val="clear" w:color="auto" w:fill="FFFFFF"/>
        </w:rPr>
        <w:t>ATTEST BY</w:t>
      </w:r>
    </w:p>
    <w:p w14:paraId="002FBE32" w14:textId="77777777" w:rsidR="00943207" w:rsidRDefault="00943207" w:rsidP="00257786">
      <w:pPr>
        <w:pStyle w:val="ExoSecOfState"/>
        <w:rPr>
          <w:shd w:val="clear" w:color="auto" w:fill="FFFFFF"/>
        </w:rPr>
      </w:pPr>
      <w:r>
        <w:rPr>
          <w:shd w:val="clear" w:color="auto" w:fill="FFFFFF"/>
        </w:rPr>
        <w:t>THE GOVERNOR</w:t>
      </w:r>
    </w:p>
    <w:p w14:paraId="42A03E3C" w14:textId="77777777" w:rsidR="00943207" w:rsidRDefault="00943207" w:rsidP="00257786">
      <w:pPr>
        <w:pStyle w:val="ExoSecOfState"/>
        <w:rPr>
          <w:shd w:val="clear" w:color="auto" w:fill="FFFFFF"/>
        </w:rPr>
      </w:pPr>
      <w:r>
        <w:rPr>
          <w:shd w:val="clear" w:color="auto" w:fill="FFFFFF"/>
        </w:rPr>
        <w:t>Nancy Landry</w:t>
      </w:r>
    </w:p>
    <w:p w14:paraId="188054E0" w14:textId="77777777" w:rsidR="00943207" w:rsidRDefault="00943207" w:rsidP="00257786">
      <w:pPr>
        <w:pStyle w:val="ExoSecOfState"/>
        <w:rPr>
          <w:shd w:val="clear" w:color="auto" w:fill="FFFFFF"/>
        </w:rPr>
      </w:pPr>
      <w:r>
        <w:rPr>
          <w:shd w:val="clear" w:color="auto" w:fill="FFFFFF"/>
        </w:rPr>
        <w:t>Secretary of State</w:t>
      </w:r>
    </w:p>
    <w:p w14:paraId="0E44C568" w14:textId="77777777" w:rsidR="00943207" w:rsidRPr="00E06A98" w:rsidRDefault="00943207" w:rsidP="00257786">
      <w:pPr>
        <w:pStyle w:val="RegLogNumber"/>
        <w:rPr>
          <w:shd w:val="clear" w:color="auto" w:fill="FFFFFF"/>
        </w:rPr>
      </w:pPr>
      <w:r>
        <w:rPr>
          <w:shd w:val="clear" w:color="auto" w:fill="FFFFFF"/>
        </w:rPr>
        <w:t>2608#066</w:t>
      </w:r>
    </w:p>
    <w:p w14:paraId="103ED8D3" w14:textId="77777777" w:rsidR="00943207" w:rsidRPr="00943207" w:rsidRDefault="00943207" w:rsidP="00943207"/>
    <w:p w14:paraId="1A32D740" w14:textId="77777777" w:rsidR="00943207" w:rsidRDefault="00943207" w:rsidP="009C676D">
      <w:pPr>
        <w:pStyle w:val="RegItemFirstLine"/>
      </w:pPr>
      <w:r>
        <w:t>EXECUTIVE ORDER JML 26-072</w:t>
      </w:r>
    </w:p>
    <w:p w14:paraId="2B78674D" w14:textId="77777777" w:rsidR="00943207" w:rsidRDefault="00943207" w:rsidP="009C676D">
      <w:pPr>
        <w:pStyle w:val="RegItemTitle"/>
      </w:pPr>
      <w:r w:rsidRPr="00E67BFC">
        <w:t xml:space="preserve">Renewal </w:t>
      </w:r>
      <w:r>
        <w:t>o</w:t>
      </w:r>
      <w:r w:rsidRPr="00E67BFC">
        <w:t xml:space="preserve">f State </w:t>
      </w:r>
      <w:r>
        <w:t>o</w:t>
      </w:r>
      <w:r w:rsidRPr="00E67BFC">
        <w:t>f Emergency</w:t>
      </w:r>
      <w:r>
        <w:t>—</w:t>
      </w:r>
      <w:r w:rsidRPr="00E67BFC">
        <w:t>Hurricane Ida</w:t>
      </w:r>
    </w:p>
    <w:p w14:paraId="451FBF87" w14:textId="77777777" w:rsidR="00943207" w:rsidRPr="00E67BFC" w:rsidRDefault="00943207" w:rsidP="009C676D">
      <w:pPr>
        <w:pStyle w:val="ExoNormal"/>
      </w:pPr>
      <w:r w:rsidRPr="00E67BFC">
        <w:t>WHEREAS,</w:t>
      </w:r>
      <w:r w:rsidRPr="00E67BFC">
        <w:tab/>
        <w:t>the Louisiana Homeland Security and Emergency Assistance and Disaster Act, R.S. 29:721, et seq., confers upon the Governor of the State of Louisiana emergency powers to deal with emergencies and disasters, including those caused by fire, flood, earthquake, or other natural or manmade causes, in order to ensure that preparations of this state will be adequate to deal with such emergencies or disasters and to preserve the lives and property of the people of the State of Louisiana;</w:t>
      </w:r>
    </w:p>
    <w:p w14:paraId="6E036D9D" w14:textId="77777777" w:rsidR="00943207" w:rsidRPr="00E67BFC" w:rsidRDefault="00943207" w:rsidP="009C676D">
      <w:pPr>
        <w:pStyle w:val="ExoNormal"/>
        <w:rPr>
          <w:rFonts w:eastAsia="Calibri"/>
        </w:rPr>
      </w:pPr>
      <w:r w:rsidRPr="00E67BFC">
        <w:rPr>
          <w:rFonts w:eastAsia="Calibri"/>
        </w:rPr>
        <w:t>WHEREAS,</w:t>
      </w:r>
      <w:r w:rsidRPr="00E67BFC">
        <w:rPr>
          <w:rFonts w:eastAsia="Calibri"/>
        </w:rPr>
        <w:tab/>
        <w:t xml:space="preserve">pursuant to the Louisiana Homeland Security and Emergency Assistance and Disaster Act, R.S. 29:721, </w:t>
      </w:r>
      <w:r w:rsidRPr="00E67BFC">
        <w:rPr>
          <w:rFonts w:eastAsia="Calibri"/>
          <w:i/>
        </w:rPr>
        <w:t>et seq.</w:t>
      </w:r>
      <w:r w:rsidRPr="00E67BFC">
        <w:rPr>
          <w:rFonts w:eastAsia="Calibri"/>
        </w:rPr>
        <w:t xml:space="preserve">, Governor John Bel Edwards declared a state of emergency in response to the imminent threat posed by </w:t>
      </w:r>
      <w:r w:rsidRPr="00E67BFC">
        <w:rPr>
          <w:rFonts w:eastAsia="Calibri"/>
        </w:rPr>
        <w:t>Hurricane Ida on August 26, 2021, in Proclamation Number 165 JBE 2021;</w:t>
      </w:r>
    </w:p>
    <w:p w14:paraId="14911C7E" w14:textId="77777777" w:rsidR="00943207" w:rsidRPr="00E67BFC" w:rsidRDefault="00943207" w:rsidP="009C676D">
      <w:pPr>
        <w:pStyle w:val="ExoNormal"/>
        <w:rPr>
          <w:rFonts w:eastAsia="Calibri"/>
        </w:rPr>
      </w:pPr>
      <w:r w:rsidRPr="00E67BFC">
        <w:rPr>
          <w:rFonts w:eastAsia="Calibri"/>
        </w:rPr>
        <w:t>WHEREAS,</w:t>
      </w:r>
      <w:r w:rsidRPr="00E67BFC">
        <w:rPr>
          <w:rFonts w:eastAsia="Calibri"/>
        </w:rPr>
        <w:tab/>
        <w:t>Proclamation Number 165 JBE 2021 has been renewed and extended every thirty (30) days through JML 26-059, which is in effect through Saturday, August 1, 2026;</w:t>
      </w:r>
    </w:p>
    <w:p w14:paraId="1DFEDC60" w14:textId="77777777" w:rsidR="00943207" w:rsidRPr="00E67BFC" w:rsidRDefault="00943207" w:rsidP="009C676D">
      <w:pPr>
        <w:pStyle w:val="ExoNormal"/>
        <w:rPr>
          <w:rFonts w:eastAsia="Calibri"/>
        </w:rPr>
      </w:pPr>
      <w:r w:rsidRPr="00E67BFC">
        <w:rPr>
          <w:rFonts w:eastAsia="Calibri"/>
        </w:rPr>
        <w:t>WHEREAS,</w:t>
      </w:r>
      <w:r w:rsidRPr="00E67BFC">
        <w:rPr>
          <w:rFonts w:eastAsia="Calibri"/>
        </w:rPr>
        <w:tab/>
        <w:t xml:space="preserve">Hurricane Ida made landfall on the Louisiana coast as a major hurricane on Sunday, August 29, 2021, bringing devastating winds, widespread power-outages, and severe damage to Louisiana and its citizens. </w:t>
      </w:r>
    </w:p>
    <w:p w14:paraId="5559171B" w14:textId="77777777" w:rsidR="00943207" w:rsidRPr="00E67BFC" w:rsidRDefault="00943207" w:rsidP="009C676D">
      <w:pPr>
        <w:pStyle w:val="ExoNormal"/>
        <w:rPr>
          <w:rFonts w:eastAsia="Calibri"/>
          <w:bCs/>
        </w:rPr>
      </w:pPr>
      <w:r w:rsidRPr="00E67BFC">
        <w:t>WHEREAS,</w:t>
      </w:r>
      <w:r w:rsidRPr="00E67BFC">
        <w:tab/>
        <w:t xml:space="preserve">on August 27, 2021, President Joseph R. Biden approved an Emergency Declaration for the State of Louisiana, authorizing appropriate assistance under Title V of the Stafford Act, to be coordinated by the United States Department of Homeland Security and the Federal Emergency Management Agency; </w:t>
      </w:r>
    </w:p>
    <w:p w14:paraId="55D8448B" w14:textId="77777777" w:rsidR="00943207" w:rsidRPr="00E67BFC" w:rsidRDefault="00943207" w:rsidP="009C676D">
      <w:pPr>
        <w:pStyle w:val="ExoNormal"/>
        <w:rPr>
          <w:rFonts w:eastAsia="Calibri"/>
          <w:bCs/>
        </w:rPr>
      </w:pPr>
      <w:r w:rsidRPr="00E67BFC">
        <w:rPr>
          <w:rFonts w:eastAsia="Calibri"/>
          <w:bCs/>
        </w:rPr>
        <w:t>WHEREAS,</w:t>
      </w:r>
      <w:r w:rsidRPr="00E67BFC">
        <w:rPr>
          <w:rFonts w:eastAsia="Calibri"/>
          <w:bCs/>
        </w:rPr>
        <w:tab/>
      </w:r>
      <w:r w:rsidRPr="00E67BFC">
        <w:t>on August 29, 2021, President Biden approved a Major Disaster Declaration for the State of Louisiana, authorizing individual and public assistance for all impacted parishes;</w:t>
      </w:r>
    </w:p>
    <w:p w14:paraId="64CA6B40" w14:textId="77777777" w:rsidR="00943207" w:rsidRPr="00E67BFC" w:rsidRDefault="00943207" w:rsidP="009C676D">
      <w:pPr>
        <w:pStyle w:val="ExoNormal"/>
        <w:rPr>
          <w:rFonts w:eastAsia="Calibri"/>
        </w:rPr>
      </w:pPr>
      <w:r w:rsidRPr="00E67BFC">
        <w:rPr>
          <w:rFonts w:eastAsia="Calibri"/>
        </w:rPr>
        <w:t>WHEREAS,</w:t>
      </w:r>
      <w:r w:rsidRPr="00E67BFC">
        <w:rPr>
          <w:rFonts w:eastAsia="Calibri"/>
        </w:rPr>
        <w:tab/>
        <w:t>R.S. 29:724 authorizes the governor during a declared state of emergency to suspend the provisions of any state regulatory statute prescribing procedures for conducting state business, or the orders, rules or regulations of any state agency, if strict compliance with the provision of any statute, order, rule, or regulation would in any way prevent, hinder, or delay necessary action in coping with the emergency;</w:t>
      </w:r>
    </w:p>
    <w:p w14:paraId="44815F86" w14:textId="77777777" w:rsidR="00943207" w:rsidRPr="00E67BFC" w:rsidRDefault="00943207" w:rsidP="009C676D">
      <w:pPr>
        <w:pStyle w:val="ExoNormal"/>
      </w:pPr>
      <w:r w:rsidRPr="00E67BFC">
        <w:rPr>
          <w:rFonts w:eastAsia="Calibri"/>
        </w:rPr>
        <w:t>WHEREAS,</w:t>
      </w:r>
      <w:r w:rsidRPr="00E67BFC">
        <w:rPr>
          <w:rFonts w:eastAsia="Calibri"/>
        </w:rPr>
        <w:tab/>
        <w:t>damage from this storm continues to pose a threat to citizens and communities across the Gulf Coast and create conditions that place lives and property in the state in jeopardy;</w:t>
      </w:r>
    </w:p>
    <w:p w14:paraId="323A7963" w14:textId="77777777" w:rsidR="00943207" w:rsidRPr="00E67BFC" w:rsidRDefault="00943207" w:rsidP="009C676D">
      <w:pPr>
        <w:pStyle w:val="ExoNormal"/>
        <w:rPr>
          <w:color w:val="1F1F1F"/>
        </w:rPr>
      </w:pPr>
      <w:r w:rsidRPr="00E67BFC">
        <w:rPr>
          <w:bCs/>
        </w:rPr>
        <w:t xml:space="preserve">NOW THEREFORE, I, </w:t>
      </w:r>
      <w:r w:rsidRPr="00E67BFC">
        <w:rPr>
          <w:bCs/>
          <w:color w:val="1F1F1F"/>
        </w:rPr>
        <w:t>JEFF LANDRY</w:t>
      </w:r>
      <w:r w:rsidRPr="00E67BFC">
        <w:rPr>
          <w:bCs/>
        </w:rPr>
        <w:t xml:space="preserve">, </w:t>
      </w:r>
      <w:r w:rsidRPr="00E67BFC">
        <w:t xml:space="preserve">Governor of </w:t>
      </w:r>
      <w:r w:rsidRPr="00E67BFC">
        <w:rPr>
          <w:color w:val="1F1F1F"/>
        </w:rPr>
        <w:t xml:space="preserve">the </w:t>
      </w:r>
      <w:r w:rsidRPr="00E67BFC">
        <w:t>State of Louisiana</w:t>
      </w:r>
      <w:r w:rsidRPr="00E67BFC">
        <w:rPr>
          <w:color w:val="565656"/>
        </w:rPr>
        <w:t xml:space="preserve">, </w:t>
      </w:r>
      <w:r w:rsidRPr="00E67BFC">
        <w:rPr>
          <w:color w:val="1F1F1F"/>
        </w:rPr>
        <w:t xml:space="preserve">by </w:t>
      </w:r>
      <w:r w:rsidRPr="00E67BFC">
        <w:t xml:space="preserve">virtue of </w:t>
      </w:r>
      <w:r w:rsidRPr="00E67BFC">
        <w:rPr>
          <w:color w:val="1F1F1F"/>
        </w:rPr>
        <w:t xml:space="preserve">the </w:t>
      </w:r>
      <w:r w:rsidRPr="00E67BFC">
        <w:t xml:space="preserve">authority vested by </w:t>
      </w:r>
      <w:r w:rsidRPr="00E67BFC">
        <w:rPr>
          <w:color w:val="1F1F1F"/>
        </w:rPr>
        <w:t xml:space="preserve">the </w:t>
      </w:r>
      <w:r w:rsidRPr="00E67BFC">
        <w:t xml:space="preserve">Constitution and </w:t>
      </w:r>
      <w:r w:rsidRPr="00E67BFC">
        <w:rPr>
          <w:color w:val="1F1F1F"/>
        </w:rPr>
        <w:t xml:space="preserve">the laws </w:t>
      </w:r>
      <w:r w:rsidRPr="00E67BFC">
        <w:t xml:space="preserve">of </w:t>
      </w:r>
      <w:r w:rsidRPr="00E67BFC">
        <w:rPr>
          <w:color w:val="1F1F1F"/>
        </w:rPr>
        <w:t xml:space="preserve">the State </w:t>
      </w:r>
      <w:r w:rsidRPr="00E67BFC">
        <w:t xml:space="preserve">of Louisiana, do </w:t>
      </w:r>
      <w:r w:rsidRPr="00E67BFC">
        <w:rPr>
          <w:color w:val="1F1F1F"/>
        </w:rPr>
        <w:t xml:space="preserve">hereby </w:t>
      </w:r>
      <w:r w:rsidRPr="00E67BFC">
        <w:t xml:space="preserve">order and direct as </w:t>
      </w:r>
      <w:r w:rsidRPr="00E67BFC">
        <w:rPr>
          <w:color w:val="1F1F1F"/>
        </w:rPr>
        <w:t>follows:</w:t>
      </w:r>
    </w:p>
    <w:p w14:paraId="084F9F6A" w14:textId="77777777" w:rsidR="00943207" w:rsidRPr="00E67BFC" w:rsidRDefault="00943207" w:rsidP="009C676D">
      <w:pPr>
        <w:pStyle w:val="1"/>
      </w:pPr>
      <w:r w:rsidRPr="00E67BFC">
        <w:t>Section 1:</w:t>
      </w:r>
      <w:r w:rsidRPr="00E67BFC">
        <w:tab/>
        <w:t xml:space="preserve">Pursuant to the Louisiana Homeland Security and Emergency Assistance and Disaster Act, R.S. 29:721, </w:t>
      </w:r>
      <w:r w:rsidRPr="00E67BFC">
        <w:rPr>
          <w:i/>
        </w:rPr>
        <w:t xml:space="preserve">et seq., </w:t>
      </w:r>
      <w:r w:rsidRPr="00E67BFC">
        <w:t>a state of emergency is hereby declared to continue to exist statewide in the State of Louisiana as a result of the threat of emergency conditions that threaten the lives and property of the citizens of the State.</w:t>
      </w:r>
    </w:p>
    <w:p w14:paraId="71A34DD1" w14:textId="77777777" w:rsidR="00943207" w:rsidRPr="00E67BFC" w:rsidRDefault="00943207" w:rsidP="009C676D">
      <w:pPr>
        <w:pStyle w:val="1"/>
      </w:pPr>
      <w:r w:rsidRPr="00E67BFC">
        <w:t>Section 2:</w:t>
      </w:r>
      <w:r w:rsidRPr="00E67BFC">
        <w:tab/>
        <w:t>The Director of the Governor’s Office of Homeland Security and Emergency Preparedness (GOHSEP) is hereby authorized to continue to undertake any activity authorized by law that he deems appropriate in response to this declaration.</w:t>
      </w:r>
    </w:p>
    <w:p w14:paraId="20ED407E" w14:textId="77777777" w:rsidR="00943207" w:rsidRPr="00E67BFC" w:rsidRDefault="00943207" w:rsidP="009C676D">
      <w:pPr>
        <w:pStyle w:val="1"/>
      </w:pPr>
      <w:r w:rsidRPr="00E67BFC">
        <w:t>Section 3:</w:t>
      </w:r>
      <w:r>
        <w:tab/>
      </w:r>
      <w:r w:rsidRPr="00E67BFC">
        <w:t>Pursuant to R.S. 29:732, during a declared state of emergency, the prices charged or value received for goods and services sold within the designated emergency area may not exceed the prices ordinarily charged for comparable goods and services in the same market area at or immediately before the time of the state of emergency, unless the price by the seller is attributable to fluctuations in applicable commodity markets, fluctuations in applicable regional or national market trends, or to reasonable expenses and charges and attendant business risk incurred in procuring or selling the goods or services during the state of emergency.</w:t>
      </w:r>
    </w:p>
    <w:p w14:paraId="48CFD519" w14:textId="77777777" w:rsidR="00943207" w:rsidRPr="00E67BFC" w:rsidRDefault="00943207" w:rsidP="009C676D">
      <w:pPr>
        <w:pStyle w:val="1"/>
        <w:rPr>
          <w:color w:val="1F1F1F"/>
        </w:rPr>
      </w:pPr>
      <w:r w:rsidRPr="00E67BFC">
        <w:rPr>
          <w:color w:val="1F1F1F"/>
        </w:rPr>
        <w:t>Section 4:</w:t>
      </w:r>
      <w:r>
        <w:rPr>
          <w:color w:val="1F1F1F"/>
        </w:rPr>
        <w:tab/>
      </w:r>
      <w:r w:rsidRPr="00E67BFC">
        <w:t xml:space="preserve">Pursuant to R.S. 29:724(D)(1), the Louisiana Procurement Code (R.S. 39:1551, </w:t>
      </w:r>
      <w:r w:rsidRPr="00E67BFC">
        <w:rPr>
          <w:i/>
        </w:rPr>
        <w:t>et seq</w:t>
      </w:r>
      <w:r w:rsidRPr="00E67BFC">
        <w:t xml:space="preserve">.) and Louisiana Public Bid Law (R.S. 38:2211, </w:t>
      </w:r>
      <w:r w:rsidRPr="00E67BFC">
        <w:rPr>
          <w:i/>
        </w:rPr>
        <w:t>et seq</w:t>
      </w:r>
      <w:r w:rsidRPr="00E67BFC">
        <w:t xml:space="preserve">.) and their corresponding rules and regulations continue to be suspended </w:t>
      </w:r>
      <w:r w:rsidRPr="00E67BFC">
        <w:lastRenderedPageBreak/>
        <w:t>for the purpose of the procurement of any goods or services necessary to respond to this emergency, including emergency contracts, cooperative endeavor agreements, and any other emergency amendments to existing contracts.</w:t>
      </w:r>
    </w:p>
    <w:p w14:paraId="682F0A2E" w14:textId="77777777" w:rsidR="00943207" w:rsidRPr="00E67BFC" w:rsidRDefault="00943207" w:rsidP="009C676D">
      <w:pPr>
        <w:pStyle w:val="1"/>
      </w:pPr>
      <w:r w:rsidRPr="00E67BFC">
        <w:rPr>
          <w:color w:val="1F1F1F"/>
        </w:rPr>
        <w:t>Section 5:</w:t>
      </w:r>
      <w:r w:rsidRPr="00E67BFC">
        <w:tab/>
        <w:t>Pursuant to R.S. 29:724(D)(1), the provisions of R.S. 39:126 regarding prior approval of change orders continue to be suspended.</w:t>
      </w:r>
    </w:p>
    <w:p w14:paraId="6FA66857" w14:textId="77777777" w:rsidR="00943207" w:rsidRPr="00E67BFC" w:rsidRDefault="00943207" w:rsidP="009C676D">
      <w:pPr>
        <w:pStyle w:val="1"/>
      </w:pPr>
      <w:r w:rsidRPr="00E67BFC">
        <w:t>Section 6:</w:t>
      </w:r>
      <w:r w:rsidRPr="00E67BFC">
        <w:tab/>
        <w:t>All departments, commissions, boards, agencies and officers of the State, or any political subdivision thereof, are authorized and directed to cooperate in actions the State may take in response to the effects of this severe weather event.</w:t>
      </w:r>
    </w:p>
    <w:p w14:paraId="5DFDC571" w14:textId="77777777" w:rsidR="00943207" w:rsidRPr="00E67BFC" w:rsidRDefault="00943207" w:rsidP="009C676D">
      <w:pPr>
        <w:pStyle w:val="1"/>
      </w:pPr>
      <w:r w:rsidRPr="00E67BFC">
        <w:rPr>
          <w:color w:val="1F1F1F"/>
        </w:rPr>
        <w:t>Section 7:</w:t>
      </w:r>
      <w:r w:rsidRPr="00E67BFC">
        <w:rPr>
          <w:color w:val="1F1F1F"/>
        </w:rPr>
        <w:tab/>
      </w:r>
      <w:r w:rsidRPr="00E67BFC">
        <w:t>This Order is effective upon signature and shall continue in effect from Friday, July 31, 2026 to Sunday, August 30, 2026, unless amended, modified, or terminated sooner.</w:t>
      </w:r>
    </w:p>
    <w:p w14:paraId="6B8C795B" w14:textId="77777777" w:rsidR="00943207" w:rsidRDefault="00943207" w:rsidP="009C676D">
      <w:pPr>
        <w:pStyle w:val="ExoNormal"/>
        <w:rPr>
          <w:rFonts w:ascii="Calibri" w:eastAsia="Calibri" w:hAnsi="Calibri"/>
        </w:rPr>
      </w:pPr>
      <w:r w:rsidRPr="00E67BFC">
        <w:rPr>
          <w:bCs/>
        </w:rPr>
        <w:t xml:space="preserve">IN WITNESS WHEREOF, </w:t>
      </w:r>
      <w:r w:rsidRPr="00E67BFC">
        <w:t>I have set my hand officially and caused to be affixed the Great Seal of Louisiana in the City of Baton Rouge, on this 31</w:t>
      </w:r>
      <w:r w:rsidRPr="00E67BFC">
        <w:rPr>
          <w:vertAlign w:val="superscript"/>
        </w:rPr>
        <w:t>st</w:t>
      </w:r>
      <w:r w:rsidRPr="00E67BFC">
        <w:t xml:space="preserve"> day of July, 2026.</w:t>
      </w:r>
    </w:p>
    <w:p w14:paraId="07189B30" w14:textId="77777777" w:rsidR="00943207" w:rsidRDefault="00943207" w:rsidP="009C676D">
      <w:pPr>
        <w:pStyle w:val="RegSignature"/>
      </w:pPr>
    </w:p>
    <w:p w14:paraId="56062F1E" w14:textId="77777777" w:rsidR="00943207" w:rsidRDefault="00943207" w:rsidP="009C676D">
      <w:pPr>
        <w:pStyle w:val="RegSignature"/>
      </w:pPr>
      <w:r>
        <w:t>Jeff Landry</w:t>
      </w:r>
    </w:p>
    <w:p w14:paraId="464A71F5" w14:textId="77777777" w:rsidR="00943207" w:rsidRDefault="00943207" w:rsidP="009C676D">
      <w:pPr>
        <w:pStyle w:val="RegSignature"/>
      </w:pPr>
      <w:r>
        <w:t>Governor</w:t>
      </w:r>
    </w:p>
    <w:p w14:paraId="31029899" w14:textId="77777777" w:rsidR="00943207" w:rsidRDefault="00943207" w:rsidP="009C676D">
      <w:pPr>
        <w:pStyle w:val="ExoSecOfState"/>
      </w:pPr>
      <w:r>
        <w:t>ATTEST BY</w:t>
      </w:r>
    </w:p>
    <w:p w14:paraId="4BA50231" w14:textId="77777777" w:rsidR="00943207" w:rsidRDefault="00943207" w:rsidP="009C676D">
      <w:pPr>
        <w:pStyle w:val="ExoSecOfState"/>
      </w:pPr>
      <w:r>
        <w:t>THE GOVERNOR</w:t>
      </w:r>
    </w:p>
    <w:p w14:paraId="1451FF20" w14:textId="77777777" w:rsidR="00943207" w:rsidRDefault="00943207" w:rsidP="009C676D">
      <w:pPr>
        <w:pStyle w:val="ExoSecOfState"/>
      </w:pPr>
      <w:r>
        <w:t>Nancy Landry</w:t>
      </w:r>
    </w:p>
    <w:p w14:paraId="28B522A1" w14:textId="77777777" w:rsidR="00943207" w:rsidRDefault="00943207" w:rsidP="009C676D">
      <w:pPr>
        <w:pStyle w:val="ExoSecOfState"/>
      </w:pPr>
      <w:r>
        <w:t>Secretary of State</w:t>
      </w:r>
    </w:p>
    <w:p w14:paraId="47FE3036" w14:textId="77777777" w:rsidR="00943207" w:rsidRPr="00E67BFC" w:rsidRDefault="00943207" w:rsidP="009C676D">
      <w:pPr>
        <w:pStyle w:val="RegLogNumber"/>
      </w:pPr>
      <w:r>
        <w:t>2608#067</w:t>
      </w:r>
    </w:p>
    <w:p w14:paraId="5D77A20A" w14:textId="77777777" w:rsidR="00943207" w:rsidRPr="00943207" w:rsidRDefault="00943207" w:rsidP="00943207"/>
    <w:p w14:paraId="61619C74" w14:textId="77777777" w:rsidR="00943207" w:rsidRDefault="00943207" w:rsidP="006C45E7">
      <w:pPr>
        <w:pStyle w:val="RegItemFirstLine"/>
      </w:pPr>
      <w:r>
        <w:t>EXECUTIVE ORDER JML 26-073</w:t>
      </w:r>
    </w:p>
    <w:p w14:paraId="78BBF34A" w14:textId="77777777" w:rsidR="00943207" w:rsidRDefault="00943207" w:rsidP="006C45E7">
      <w:pPr>
        <w:pStyle w:val="RegItemTitle"/>
      </w:pPr>
      <w:r w:rsidRPr="00CD189D">
        <w:t xml:space="preserve">Amendment </w:t>
      </w:r>
      <w:r>
        <w:t>a</w:t>
      </w:r>
      <w:r w:rsidRPr="00CD189D">
        <w:t xml:space="preserve">nd Renewal </w:t>
      </w:r>
      <w:r>
        <w:t>o</w:t>
      </w:r>
      <w:r w:rsidRPr="00CD189D">
        <w:t xml:space="preserve">f State </w:t>
      </w:r>
      <w:r>
        <w:t>o</w:t>
      </w:r>
      <w:r w:rsidRPr="00CD189D">
        <w:t>f Emergency</w:t>
      </w:r>
      <w:r>
        <w:br/>
      </w:r>
      <w:r w:rsidRPr="00CD189D">
        <w:t>Tropical Storm Arthur</w:t>
      </w:r>
      <w:r>
        <w:t>—</w:t>
      </w:r>
      <w:r w:rsidRPr="00CD189D">
        <w:t>June 18, 2026</w:t>
      </w:r>
    </w:p>
    <w:p w14:paraId="5D716653" w14:textId="77777777" w:rsidR="00943207" w:rsidRPr="00CD189D" w:rsidRDefault="00943207" w:rsidP="006C45E7">
      <w:pPr>
        <w:pStyle w:val="ExoNormal"/>
      </w:pPr>
      <w:r w:rsidRPr="00CD189D">
        <w:rPr>
          <w:bCs/>
        </w:rPr>
        <w:t>WHEREAS,</w:t>
      </w:r>
      <w:r w:rsidRPr="00CD189D">
        <w:t xml:space="preserve"> the Governor is responsible for meeting the dangers to the state and people presented by emergencies and disasters;</w:t>
      </w:r>
    </w:p>
    <w:p w14:paraId="626F7583" w14:textId="77777777" w:rsidR="00943207" w:rsidRPr="00CD189D" w:rsidRDefault="00943207" w:rsidP="006C45E7">
      <w:pPr>
        <w:pStyle w:val="ExoNormal"/>
      </w:pPr>
      <w:r w:rsidRPr="00CD189D">
        <w:rPr>
          <w:bCs/>
        </w:rPr>
        <w:t>WHEREAS,</w:t>
      </w:r>
      <w:r w:rsidRPr="00CD189D">
        <w:t xml:space="preserve"> the Louisiana Homeland Security and Emergency Assistance and Disaster Act, La. R.S. 29:721, </w:t>
      </w:r>
      <w:r w:rsidRPr="00CD189D">
        <w:rPr>
          <w:i/>
          <w:iCs/>
        </w:rPr>
        <w:t>et seq.</w:t>
      </w:r>
      <w:r w:rsidRPr="00CD189D">
        <w:t>, confers upon the Governor of the State of Louisiana emergency powers to address disasters resulting from natural or man-made events that cause or threaten loss of life, injury, or property damage, as well as emergencies, which include actual or potential conditions created by such disasters, in order to ensure that the preparations of this State will be adequate to deal with such emergencies or disasters and to preserve the lives and property of the people of the State of Louisiana;</w:t>
      </w:r>
    </w:p>
    <w:p w14:paraId="68FC09FD" w14:textId="77777777" w:rsidR="00943207" w:rsidRPr="00CD189D" w:rsidRDefault="00943207" w:rsidP="006C45E7">
      <w:pPr>
        <w:pStyle w:val="ExoNormal"/>
      </w:pPr>
      <w:r w:rsidRPr="00CD189D">
        <w:rPr>
          <w:bCs/>
        </w:rPr>
        <w:t>WHEREAS,</w:t>
      </w:r>
      <w:r w:rsidRPr="00CD189D">
        <w:t xml:space="preserve"> when the Governor determines that a disaster or emergency has occurred, or the threat thereof is imminent, R.S. 29:724(B)(1) empowers him to declare a state of emergency or disaster by executive order, which has the force and effect of law;</w:t>
      </w:r>
    </w:p>
    <w:p w14:paraId="2818223A" w14:textId="77777777" w:rsidR="00943207" w:rsidRPr="00CD189D" w:rsidRDefault="00943207" w:rsidP="006C45E7">
      <w:pPr>
        <w:pStyle w:val="ExoNormal"/>
      </w:pPr>
      <w:r w:rsidRPr="00CD189D">
        <w:rPr>
          <w:bCs/>
        </w:rPr>
        <w:t>WHEREAS,</w:t>
      </w:r>
      <w:r w:rsidRPr="00CD189D">
        <w:t xml:space="preserve"> R.S. 29:724 authorizes the Governor during a declared state of emergency to suspend the provisions of any state regulatory statute prescribing procedures for conducting state business, or the orders, rules, or regulations of any state agency, if strict compliance with the provision of any statute, order, rule, or regulation would in any way prevent, hinder, or delay necessary action in coping with the emergency;</w:t>
      </w:r>
    </w:p>
    <w:p w14:paraId="40E5D374" w14:textId="77777777" w:rsidR="00943207" w:rsidRPr="00CD189D" w:rsidRDefault="00943207" w:rsidP="006C45E7">
      <w:pPr>
        <w:pStyle w:val="ExoNormal"/>
      </w:pPr>
      <w:r w:rsidRPr="00CD189D">
        <w:rPr>
          <w:bCs/>
        </w:rPr>
        <w:t>WHEREAS,</w:t>
      </w:r>
      <w:r w:rsidRPr="00CD189D">
        <w:t xml:space="preserve"> a declaration of emergency or disaster activates the state’s emergency response and recovery program under the command of the Director of the </w:t>
      </w:r>
      <w:r w:rsidRPr="00CD189D">
        <w:t>Governor’s Office of Homeland Security and Emergency Preparedness (“GOHSEP”);</w:t>
      </w:r>
    </w:p>
    <w:p w14:paraId="4BEDCE73" w14:textId="77777777" w:rsidR="00943207" w:rsidRPr="00CD189D" w:rsidRDefault="00943207" w:rsidP="006C45E7">
      <w:pPr>
        <w:pStyle w:val="ExoNormal"/>
      </w:pPr>
      <w:r w:rsidRPr="00CD189D">
        <w:rPr>
          <w:bCs/>
        </w:rPr>
        <w:t xml:space="preserve">WHEREAS, </w:t>
      </w:r>
      <w:r w:rsidRPr="00CD189D">
        <w:t xml:space="preserve">GOHSEP is responsible for determining the requirements of the state and its political subdivisions for food, clothing, and other necessities and supplies in a designated emergency area; </w:t>
      </w:r>
    </w:p>
    <w:p w14:paraId="7D15EC4A" w14:textId="77777777" w:rsidR="00943207" w:rsidRPr="00CD189D" w:rsidRDefault="00943207" w:rsidP="006C45E7">
      <w:pPr>
        <w:pStyle w:val="ExoNormal"/>
      </w:pPr>
      <w:r w:rsidRPr="00CD189D">
        <w:rPr>
          <w:bCs/>
        </w:rPr>
        <w:t xml:space="preserve">WHEREAS, </w:t>
      </w:r>
      <w:r w:rsidRPr="00CD189D">
        <w:t xml:space="preserve">pursuant to the Louisiana Homeland Security and Emergency Assistance and Disaster Act, R.S. 29:721, </w:t>
      </w:r>
      <w:r w:rsidRPr="00CD189D">
        <w:rPr>
          <w:i/>
          <w:iCs/>
        </w:rPr>
        <w:t>et seq.</w:t>
      </w:r>
      <w:r w:rsidRPr="00CD189D">
        <w:t xml:space="preserve">, a state of emergency was declared through Executive Order No. JML 26-055 on June 18, 2026, and JML 26-055 has been renewed and amended by JML 26-057, and JML 26-062; </w:t>
      </w:r>
    </w:p>
    <w:p w14:paraId="4D16BCE8" w14:textId="77777777" w:rsidR="00943207" w:rsidRPr="00CD189D" w:rsidRDefault="00943207" w:rsidP="006C45E7">
      <w:pPr>
        <w:pStyle w:val="ExoNormal"/>
        <w:rPr>
          <w:highlight w:val="yellow"/>
        </w:rPr>
      </w:pPr>
      <w:r w:rsidRPr="00CD189D">
        <w:rPr>
          <w:bCs/>
        </w:rPr>
        <w:t>WHEREAS,</w:t>
      </w:r>
      <w:r w:rsidRPr="00CD189D">
        <w:t xml:space="preserve"> Tropical Storm Arthur brought widespread rainfall and severe storms across Louisiana on June 17 and 18, 2026;</w:t>
      </w:r>
    </w:p>
    <w:p w14:paraId="7C59EB04" w14:textId="77777777" w:rsidR="00943207" w:rsidRPr="00CD189D" w:rsidRDefault="00943207" w:rsidP="006C45E7">
      <w:pPr>
        <w:pStyle w:val="ExoNormal"/>
      </w:pPr>
      <w:r w:rsidRPr="00CD189D">
        <w:rPr>
          <w:bCs/>
        </w:rPr>
        <w:t xml:space="preserve">WHEREAS, </w:t>
      </w:r>
      <w:r w:rsidRPr="00CD189D">
        <w:t>the National Weather Service has already confirmed three tornadoes during that period, and estimates that the parishes of Avoyelles and Pointe Coupee experienced record or near-record rainfalls in a twelve-hour span;</w:t>
      </w:r>
    </w:p>
    <w:p w14:paraId="2099F762" w14:textId="77777777" w:rsidR="00943207" w:rsidRPr="00CD189D" w:rsidRDefault="00943207" w:rsidP="006C45E7">
      <w:pPr>
        <w:pStyle w:val="ExoNormal"/>
      </w:pPr>
      <w:r w:rsidRPr="00CD189D">
        <w:rPr>
          <w:bCs/>
        </w:rPr>
        <w:t>WHEREAS,</w:t>
      </w:r>
      <w:r w:rsidRPr="00CD189D">
        <w:t xml:space="preserve"> many parishes have declared states of emergency and executed their emergency operations plans in order to protect drivers, control floodwaters, conduct search and rescue operations, shelter citizens, and conduct other emergency protective measures;</w:t>
      </w:r>
    </w:p>
    <w:p w14:paraId="4DB4390D" w14:textId="77777777" w:rsidR="00943207" w:rsidRPr="00CD189D" w:rsidRDefault="00943207" w:rsidP="006C45E7">
      <w:pPr>
        <w:pStyle w:val="ExoNormal"/>
      </w:pPr>
      <w:r w:rsidRPr="00CD189D">
        <w:rPr>
          <w:bCs/>
        </w:rPr>
        <w:t xml:space="preserve">WHEREAS, </w:t>
      </w:r>
      <w:r w:rsidRPr="00CD189D">
        <w:t>the National Weather Service reports that many rivers, including the Tchefuncte and Tangipahoa, are already at minor or major flood stage and will likely rise over the next two days, worsening the existing flood conditions; and</w:t>
      </w:r>
    </w:p>
    <w:p w14:paraId="15FD8862" w14:textId="77777777" w:rsidR="00943207" w:rsidRPr="00CD189D" w:rsidRDefault="00943207" w:rsidP="006C45E7">
      <w:pPr>
        <w:pStyle w:val="ExoNormal"/>
      </w:pPr>
      <w:r w:rsidRPr="00CD189D">
        <w:rPr>
          <w:bCs/>
        </w:rPr>
        <w:t xml:space="preserve">WHEREAS, </w:t>
      </w:r>
      <w:r w:rsidRPr="00CD189D">
        <w:t xml:space="preserve">some parishes may require assistance from the State to provide resources to protect the life, safety, and welfare of the citizens of Louisiana, especially those parishes conducting search and rescue, evacuations, and sheltering operations; </w:t>
      </w:r>
    </w:p>
    <w:p w14:paraId="3A65D737" w14:textId="77777777" w:rsidR="00943207" w:rsidRPr="00CD189D" w:rsidRDefault="00943207" w:rsidP="006C45E7">
      <w:pPr>
        <w:pStyle w:val="ExoNormal"/>
      </w:pPr>
      <w:r w:rsidRPr="00CD189D">
        <w:rPr>
          <w:bCs/>
        </w:rPr>
        <w:t xml:space="preserve">WHEREAS, </w:t>
      </w:r>
      <w:r w:rsidRPr="00CD189D">
        <w:t xml:space="preserve">it is necessary to amend the </w:t>
      </w:r>
      <w:r w:rsidRPr="00CD189D">
        <w:rPr>
          <w:color w:val="1F1F1F"/>
        </w:rPr>
        <w:t>designated emergency area</w:t>
      </w:r>
      <w:r w:rsidRPr="00CD189D">
        <w:t xml:space="preserve"> to add the parish of East Feliciana;</w:t>
      </w:r>
    </w:p>
    <w:p w14:paraId="6FFE3AFC" w14:textId="77777777" w:rsidR="00943207" w:rsidRPr="00CD189D" w:rsidRDefault="00943207" w:rsidP="006C45E7">
      <w:pPr>
        <w:pStyle w:val="ExoNormal"/>
      </w:pPr>
      <w:r w:rsidRPr="00CD189D">
        <w:rPr>
          <w:bCs/>
        </w:rPr>
        <w:t>NOW THEREFORE, I, JEFF LANDRY,</w:t>
      </w:r>
      <w:r w:rsidRPr="00CD189D">
        <w:t xml:space="preserve"> Governor of the State of Louisiana, by virtue of the authority vested by the Constitution and laws of the State of Louisiana, order and direct as follows:</w:t>
      </w:r>
    </w:p>
    <w:p w14:paraId="0729C5DE" w14:textId="77777777" w:rsidR="00943207" w:rsidRPr="00CD189D" w:rsidRDefault="00943207" w:rsidP="006C45E7">
      <w:pPr>
        <w:pStyle w:val="1"/>
      </w:pPr>
      <w:r w:rsidRPr="00CD189D">
        <w:t>Section 1:</w:t>
      </w:r>
      <w:r w:rsidRPr="00CD189D">
        <w:tab/>
        <w:t xml:space="preserve">Pursuant to the Louisiana Homeland Security and Emergency Assistance and Disaster Act, R.S. 29:721, </w:t>
      </w:r>
      <w:r w:rsidRPr="00CD189D">
        <w:rPr>
          <w:i/>
          <w:iCs/>
        </w:rPr>
        <w:t>et seq</w:t>
      </w:r>
      <w:r w:rsidRPr="00CD189D">
        <w:t xml:space="preserve">., a state of emergency is hereby declared to exist as a result of the emergency conditions that currently threaten the lives, safety, and property of the citizens in Louisiana. </w:t>
      </w:r>
    </w:p>
    <w:p w14:paraId="689893E9" w14:textId="77777777" w:rsidR="00943207" w:rsidRPr="00CD189D" w:rsidRDefault="00943207" w:rsidP="006C45E7">
      <w:pPr>
        <w:pStyle w:val="ExoNormal"/>
      </w:pPr>
      <w:r w:rsidRPr="00CD189D">
        <w:t>Section 2:</w:t>
      </w:r>
      <w:r w:rsidRPr="00CD189D">
        <w:tab/>
        <w:t xml:space="preserve">Pursuant to R.S. 29:724(A)(3) the </w:t>
      </w:r>
      <w:r w:rsidRPr="00CD189D">
        <w:rPr>
          <w:color w:val="1F1F1F"/>
        </w:rPr>
        <w:t xml:space="preserve">designated emergency area which is or may be affected shall include the </w:t>
      </w:r>
      <w:r w:rsidRPr="00CD189D">
        <w:t>parishes of Avoyelles, East Feliciana, Lafourche, Pointe Coupee, St. Charles, St. Landry, St. Tammany, Terrebonne, and Winn.</w:t>
      </w:r>
    </w:p>
    <w:p w14:paraId="406F4FAD" w14:textId="77777777" w:rsidR="00943207" w:rsidRPr="00CD189D" w:rsidRDefault="00943207" w:rsidP="006C45E7">
      <w:pPr>
        <w:pStyle w:val="1"/>
      </w:pPr>
      <w:r w:rsidRPr="00CD189D">
        <w:t>Section 3:</w:t>
      </w:r>
      <w:r w:rsidRPr="00CD189D">
        <w:tab/>
        <w:t xml:space="preserve">The Director of the Governor’s Office of Homeland Security and Emergency Preparedness (GOHSEP) is hereby authorized to undertake any activity authorized by law that he deems appropriate in response to this declaration. </w:t>
      </w:r>
    </w:p>
    <w:p w14:paraId="4F8C2950" w14:textId="77777777" w:rsidR="006219DE" w:rsidRDefault="00943207" w:rsidP="006C45E7">
      <w:pPr>
        <w:pStyle w:val="1"/>
      </w:pPr>
      <w:r w:rsidRPr="00CD189D">
        <w:t>Section 4:</w:t>
      </w:r>
      <w:r w:rsidRPr="00CD189D">
        <w:tab/>
        <w:t xml:space="preserve">Pursuant to R.S. 29:732, during a declared state of emergency, the prices charged or value received for goods and services sold within the designated emergency area may not exceed the prices ordinarily charged for comparable goods and services in the same market area at or immediately before the time of the state of emergency, unless the price by </w:t>
      </w:r>
      <w:r w:rsidR="006219DE">
        <w:br w:type="page"/>
      </w:r>
    </w:p>
    <w:p w14:paraId="09506742" w14:textId="3F37823D" w:rsidR="00943207" w:rsidRPr="00CD189D" w:rsidRDefault="00943207" w:rsidP="006219DE">
      <w:pPr>
        <w:pStyle w:val="1"/>
        <w:ind w:firstLine="0"/>
      </w:pPr>
      <w:r w:rsidRPr="00CD189D">
        <w:lastRenderedPageBreak/>
        <w:t>the seller is attributable to fluctuations in applicable commodity markets, fluctuations in applicable regional or national market trends, or to reasonable expenses and charges and attendant business risk incurred in procuring or selling the goods or services during the state of emergency.</w:t>
      </w:r>
    </w:p>
    <w:p w14:paraId="6C96066C" w14:textId="77777777" w:rsidR="00943207" w:rsidRPr="00CD189D" w:rsidRDefault="00943207" w:rsidP="006C45E7">
      <w:pPr>
        <w:pStyle w:val="1"/>
        <w:rPr>
          <w:bCs/>
        </w:rPr>
      </w:pPr>
      <w:r w:rsidRPr="00CD189D">
        <w:t>Section 5:</w:t>
      </w:r>
      <w:r w:rsidRPr="00CD189D">
        <w:tab/>
        <w:t xml:space="preserve">Pursuant to R.S. 29:724(D)(l), the Louisiana Procurement Code (R.S. 39:1551, </w:t>
      </w:r>
      <w:r w:rsidRPr="00CD189D">
        <w:rPr>
          <w:i/>
          <w:iCs/>
        </w:rPr>
        <w:t>et seq</w:t>
      </w:r>
      <w:r w:rsidRPr="00CD189D">
        <w:t xml:space="preserve">.) and Louisiana Public Bid Law (R.S. 38:2211, </w:t>
      </w:r>
      <w:r w:rsidRPr="00CD189D">
        <w:rPr>
          <w:i/>
          <w:iCs/>
        </w:rPr>
        <w:t>et seq</w:t>
      </w:r>
      <w:r w:rsidRPr="00CD189D">
        <w:t>.) and their corresponding rules and regulations are hereby suspended for the purpose of the procurement of any good or services necessary to respond to this emergency, including emergency contracts, cooperative endeavor agreements, and any other emergency amendments to existing contracts.</w:t>
      </w:r>
    </w:p>
    <w:p w14:paraId="528146F5" w14:textId="77777777" w:rsidR="00943207" w:rsidRPr="00CD189D" w:rsidRDefault="00943207" w:rsidP="006C45E7">
      <w:pPr>
        <w:pStyle w:val="1"/>
      </w:pPr>
      <w:r w:rsidRPr="00CD189D">
        <w:t>Section 6:</w:t>
      </w:r>
      <w:r w:rsidRPr="00CD189D">
        <w:tab/>
        <w:t>All departments, commissions, boards, agencies and officers of the State, or any political subdivision thereof, are authorized and directed to cooperate in actions the State may take in response to this event.</w:t>
      </w:r>
    </w:p>
    <w:p w14:paraId="448C0A3B" w14:textId="77777777" w:rsidR="00943207" w:rsidRPr="00CD189D" w:rsidRDefault="00943207" w:rsidP="006C45E7">
      <w:pPr>
        <w:pStyle w:val="1"/>
      </w:pPr>
      <w:r w:rsidRPr="00CD189D">
        <w:t>Section 7:</w:t>
      </w:r>
      <w:r w:rsidRPr="00CD189D">
        <w:tab/>
        <w:t>This Order is effective upon signature and shall remain in effect from Thursday, August 6, 2026 until Saturday, September 5, 2026, unless amended, modified, terminated, or rescinded earlier by the Governor, or terminated by operation of law.</w:t>
      </w:r>
    </w:p>
    <w:p w14:paraId="4B71627C" w14:textId="77777777" w:rsidR="00943207" w:rsidRDefault="00943207" w:rsidP="006C45E7">
      <w:pPr>
        <w:pStyle w:val="ExoNormal"/>
        <w:rPr>
          <w:bCs/>
          <w:i/>
          <w:iCs/>
        </w:rPr>
      </w:pPr>
      <w:r w:rsidRPr="00CD189D">
        <w:rPr>
          <w:bCs/>
        </w:rPr>
        <w:t xml:space="preserve">IN WITNESS WHEREOF, </w:t>
      </w:r>
      <w:r w:rsidRPr="00CD189D">
        <w:t>I have set my hand officially and caused to be affixed the Great Seal of Louisiana in the City of Baton Rouge, on this 6</w:t>
      </w:r>
      <w:r w:rsidRPr="00CD189D">
        <w:rPr>
          <w:vertAlign w:val="superscript"/>
        </w:rPr>
        <w:t>th</w:t>
      </w:r>
      <w:r>
        <w:t xml:space="preserve"> </w:t>
      </w:r>
      <w:r w:rsidRPr="00CD189D">
        <w:t>day of August 2026.</w:t>
      </w:r>
    </w:p>
    <w:p w14:paraId="57DBFBD9" w14:textId="77777777" w:rsidR="00943207" w:rsidRDefault="00943207" w:rsidP="006C45E7">
      <w:pPr>
        <w:pStyle w:val="RegSignature"/>
        <w:rPr>
          <w:shd w:val="clear" w:color="auto" w:fill="FFFFFF"/>
        </w:rPr>
      </w:pPr>
    </w:p>
    <w:p w14:paraId="2D5994A4" w14:textId="77777777" w:rsidR="00943207" w:rsidRDefault="00943207" w:rsidP="006C45E7">
      <w:pPr>
        <w:pStyle w:val="RegSignature"/>
        <w:rPr>
          <w:shd w:val="clear" w:color="auto" w:fill="FFFFFF"/>
        </w:rPr>
      </w:pPr>
      <w:r>
        <w:rPr>
          <w:shd w:val="clear" w:color="auto" w:fill="FFFFFF"/>
        </w:rPr>
        <w:t>Jeff Landry</w:t>
      </w:r>
    </w:p>
    <w:p w14:paraId="60A82521" w14:textId="77777777" w:rsidR="00943207" w:rsidRDefault="00943207" w:rsidP="006C45E7">
      <w:pPr>
        <w:pStyle w:val="RegSignature"/>
        <w:rPr>
          <w:shd w:val="clear" w:color="auto" w:fill="FFFFFF"/>
        </w:rPr>
      </w:pPr>
      <w:r>
        <w:rPr>
          <w:shd w:val="clear" w:color="auto" w:fill="FFFFFF"/>
        </w:rPr>
        <w:t>Governor</w:t>
      </w:r>
    </w:p>
    <w:p w14:paraId="2DA53CC1" w14:textId="77777777" w:rsidR="00943207" w:rsidRDefault="00943207" w:rsidP="006C45E7">
      <w:pPr>
        <w:pStyle w:val="ExoSecOfState"/>
        <w:rPr>
          <w:shd w:val="clear" w:color="auto" w:fill="FFFFFF"/>
        </w:rPr>
      </w:pPr>
      <w:r>
        <w:rPr>
          <w:shd w:val="clear" w:color="auto" w:fill="FFFFFF"/>
        </w:rPr>
        <w:t>ATTEST BY</w:t>
      </w:r>
    </w:p>
    <w:p w14:paraId="371882D1" w14:textId="77777777" w:rsidR="00943207" w:rsidRDefault="00943207" w:rsidP="006C45E7">
      <w:pPr>
        <w:pStyle w:val="ExoSecOfState"/>
        <w:rPr>
          <w:shd w:val="clear" w:color="auto" w:fill="FFFFFF"/>
        </w:rPr>
      </w:pPr>
      <w:r>
        <w:rPr>
          <w:shd w:val="clear" w:color="auto" w:fill="FFFFFF"/>
        </w:rPr>
        <w:t>THE GOVERNOR</w:t>
      </w:r>
    </w:p>
    <w:p w14:paraId="425F6970" w14:textId="77777777" w:rsidR="00943207" w:rsidRDefault="00943207" w:rsidP="006C45E7">
      <w:pPr>
        <w:pStyle w:val="ExoSecOfState"/>
        <w:rPr>
          <w:shd w:val="clear" w:color="auto" w:fill="FFFFFF"/>
        </w:rPr>
      </w:pPr>
      <w:r>
        <w:rPr>
          <w:shd w:val="clear" w:color="auto" w:fill="FFFFFF"/>
        </w:rPr>
        <w:t>Nancy Landry</w:t>
      </w:r>
    </w:p>
    <w:p w14:paraId="615CBB89" w14:textId="77777777" w:rsidR="00943207" w:rsidRDefault="00943207" w:rsidP="006C45E7">
      <w:pPr>
        <w:pStyle w:val="ExoSecOfState"/>
        <w:rPr>
          <w:shd w:val="clear" w:color="auto" w:fill="FFFFFF"/>
        </w:rPr>
      </w:pPr>
      <w:r>
        <w:rPr>
          <w:shd w:val="clear" w:color="auto" w:fill="FFFFFF"/>
        </w:rPr>
        <w:t>Secretary of State</w:t>
      </w:r>
    </w:p>
    <w:p w14:paraId="3D936C68" w14:textId="77777777" w:rsidR="00943207" w:rsidRPr="00CD189D" w:rsidRDefault="00943207" w:rsidP="006C45E7">
      <w:pPr>
        <w:pStyle w:val="RegLogNumber"/>
        <w:rPr>
          <w:shd w:val="clear" w:color="auto" w:fill="FFFFFF"/>
        </w:rPr>
      </w:pPr>
      <w:r>
        <w:rPr>
          <w:shd w:val="clear" w:color="auto" w:fill="FFFFFF"/>
        </w:rPr>
        <w:t>2608#068</w:t>
      </w:r>
    </w:p>
    <w:p w14:paraId="23F6BBED" w14:textId="77777777" w:rsidR="00943207" w:rsidRPr="00943207" w:rsidRDefault="00943207" w:rsidP="00943207"/>
    <w:p w14:paraId="651D98FA" w14:textId="77777777" w:rsidR="00943207" w:rsidRDefault="00943207" w:rsidP="00BC3EC8">
      <w:pPr>
        <w:pStyle w:val="RegItemFirstLine"/>
      </w:pPr>
      <w:r>
        <w:t>EXECUTIVE ORDER JML 26-074</w:t>
      </w:r>
    </w:p>
    <w:p w14:paraId="3B82976C" w14:textId="77777777" w:rsidR="00943207" w:rsidRDefault="00943207" w:rsidP="00BC3EC8">
      <w:pPr>
        <w:pStyle w:val="RegItemTitle"/>
      </w:pPr>
      <w:r w:rsidRPr="00E45CB8">
        <w:t>Flags at Half-Staff</w:t>
      </w:r>
      <w:r>
        <w:br/>
      </w:r>
      <w:r w:rsidRPr="00E45CB8">
        <w:t>Former State Representative</w:t>
      </w:r>
      <w:r>
        <w:t>—</w:t>
      </w:r>
      <w:r w:rsidRPr="00E45CB8">
        <w:t>Mickey James Guillory</w:t>
      </w:r>
    </w:p>
    <w:p w14:paraId="1BF7D397" w14:textId="77777777" w:rsidR="00943207" w:rsidRPr="00E45CB8" w:rsidRDefault="00943207" w:rsidP="00BC3EC8">
      <w:pPr>
        <w:pStyle w:val="ExoNormal"/>
      </w:pPr>
      <w:r w:rsidRPr="00E45CB8">
        <w:rPr>
          <w:bCs/>
        </w:rPr>
        <w:t xml:space="preserve">WHEREAS, </w:t>
      </w:r>
      <w:r w:rsidRPr="00E45CB8">
        <w:t>former State Representative Mickey James Guillory passed away on August 3, 2026 after a lifetime of public service;</w:t>
      </w:r>
    </w:p>
    <w:p w14:paraId="0D7D1B07" w14:textId="77777777" w:rsidR="00943207" w:rsidRPr="00E45CB8" w:rsidRDefault="00943207" w:rsidP="00BC3EC8">
      <w:pPr>
        <w:pStyle w:val="ExoNormal"/>
      </w:pPr>
      <w:r w:rsidRPr="00E45CB8">
        <w:rPr>
          <w:bCs/>
        </w:rPr>
        <w:t xml:space="preserve">WHEREAS, </w:t>
      </w:r>
      <w:r w:rsidRPr="00E45CB8">
        <w:t>he was born to Winnie and Priscilla Saucier Guillory on February 29, 1940;</w:t>
      </w:r>
    </w:p>
    <w:p w14:paraId="1382A6D9" w14:textId="77777777" w:rsidR="00943207" w:rsidRPr="00E45CB8" w:rsidRDefault="00943207" w:rsidP="00BC3EC8">
      <w:pPr>
        <w:pStyle w:val="ExoNormal"/>
      </w:pPr>
      <w:r w:rsidRPr="00E45CB8">
        <w:rPr>
          <w:bCs/>
        </w:rPr>
        <w:t>WHEREAS,</w:t>
      </w:r>
      <w:r w:rsidRPr="00E45CB8">
        <w:t xml:space="preserve"> he attended Louisiana State University, LSUE, and graduated from the Louisiana Police Academy;</w:t>
      </w:r>
    </w:p>
    <w:p w14:paraId="16479B5E" w14:textId="77777777" w:rsidR="00943207" w:rsidRPr="00E45CB8" w:rsidRDefault="00943207" w:rsidP="00BC3EC8">
      <w:pPr>
        <w:pStyle w:val="ExoNormal"/>
      </w:pPr>
      <w:r w:rsidRPr="00E45CB8">
        <w:rPr>
          <w:bCs/>
        </w:rPr>
        <w:t>WHEREAS</w:t>
      </w:r>
      <w:r w:rsidRPr="00E45CB8">
        <w:t>, he served his community and the state as a law enforcement officer, both as Eunice City Marshal and as a Louisiana State Trooper;</w:t>
      </w:r>
    </w:p>
    <w:p w14:paraId="54201208" w14:textId="77777777" w:rsidR="00943207" w:rsidRPr="00E45CB8" w:rsidRDefault="00943207" w:rsidP="00BC3EC8">
      <w:pPr>
        <w:pStyle w:val="ExoNormal"/>
      </w:pPr>
      <w:r w:rsidRPr="00E45CB8">
        <w:rPr>
          <w:bCs/>
        </w:rPr>
        <w:t>WHEREAS</w:t>
      </w:r>
      <w:r w:rsidRPr="00E45CB8">
        <w:t>, his life exemplified the courage and commitment of those who stand on the Thin Blue Line, a symbol of the brave men and women who dedicate their lives to protecting our communities;</w:t>
      </w:r>
    </w:p>
    <w:p w14:paraId="6D608F2D" w14:textId="77777777" w:rsidR="00943207" w:rsidRPr="00E45CB8" w:rsidRDefault="00943207" w:rsidP="00BC3EC8">
      <w:pPr>
        <w:pStyle w:val="ExoNormal"/>
      </w:pPr>
      <w:r w:rsidRPr="00E45CB8">
        <w:rPr>
          <w:bCs/>
        </w:rPr>
        <w:t>WHEREAS</w:t>
      </w:r>
      <w:r w:rsidRPr="00E45CB8">
        <w:t>, he inspired many young adults through his work with the Junior Deputy Program;</w:t>
      </w:r>
    </w:p>
    <w:p w14:paraId="2C619C1F" w14:textId="77777777" w:rsidR="00943207" w:rsidRPr="00E45CB8" w:rsidRDefault="00943207" w:rsidP="00BC3EC8">
      <w:pPr>
        <w:pStyle w:val="ExoNormal"/>
      </w:pPr>
      <w:r w:rsidRPr="00E45CB8">
        <w:rPr>
          <w:bCs/>
        </w:rPr>
        <w:t xml:space="preserve">WHEREAS, </w:t>
      </w:r>
      <w:r w:rsidRPr="00E45CB8">
        <w:t>he continued his legacy of public service by serving as a member of the Louisiana House of Representatives for District 41, representing Acadia, Evangeline, and St. Landry Parishes;</w:t>
      </w:r>
    </w:p>
    <w:p w14:paraId="37AF24F5" w14:textId="77777777" w:rsidR="00943207" w:rsidRPr="00E45CB8" w:rsidRDefault="00943207" w:rsidP="00BC3EC8">
      <w:pPr>
        <w:pStyle w:val="ExoNormal"/>
      </w:pPr>
      <w:r w:rsidRPr="00E45CB8">
        <w:rPr>
          <w:bCs/>
        </w:rPr>
        <w:t>WHEREAS,</w:t>
      </w:r>
      <w:r w:rsidRPr="00E45CB8">
        <w:t xml:space="preserve"> while in the Legislature, he proudly served on the House Ways and Means Committee;</w:t>
      </w:r>
    </w:p>
    <w:p w14:paraId="5529A0B9" w14:textId="4F19C305" w:rsidR="00943207" w:rsidRPr="00E45CB8" w:rsidRDefault="006219DE" w:rsidP="00BC3EC8">
      <w:pPr>
        <w:pStyle w:val="ExoNormal"/>
      </w:pPr>
      <w:r>
        <w:rPr>
          <w:bCs/>
        </w:rPr>
        <w:br w:type="column"/>
      </w:r>
      <w:r w:rsidR="00943207" w:rsidRPr="00E45CB8">
        <w:rPr>
          <w:bCs/>
        </w:rPr>
        <w:t>WHEREAS,</w:t>
      </w:r>
      <w:r w:rsidR="00943207" w:rsidRPr="00E45CB8">
        <w:t xml:space="preserve"> he used his time in the Legislature to passionately advocate for LSUE, one example of which was his work to secure funding for LSUE’s Classroom Community Education Building;</w:t>
      </w:r>
    </w:p>
    <w:p w14:paraId="3907AB41" w14:textId="77777777" w:rsidR="00943207" w:rsidRPr="00E45CB8" w:rsidRDefault="00943207" w:rsidP="00BC3EC8">
      <w:pPr>
        <w:pStyle w:val="ExoNormal"/>
      </w:pPr>
      <w:r w:rsidRPr="00E45CB8">
        <w:rPr>
          <w:bCs/>
        </w:rPr>
        <w:t>WHEREAS,</w:t>
      </w:r>
      <w:r w:rsidRPr="00E45CB8">
        <w:t xml:space="preserve"> aside from his public service, he was known for his love of music, horses, cooking, and reading;</w:t>
      </w:r>
    </w:p>
    <w:p w14:paraId="7641B27A" w14:textId="77777777" w:rsidR="00943207" w:rsidRPr="00E45CB8" w:rsidRDefault="00943207" w:rsidP="00BC3EC8">
      <w:pPr>
        <w:pStyle w:val="ExoNormal"/>
      </w:pPr>
      <w:r w:rsidRPr="00E45CB8">
        <w:rPr>
          <w:bCs/>
        </w:rPr>
        <w:t xml:space="preserve">WHEREAS, </w:t>
      </w:r>
      <w:r w:rsidRPr="00E45CB8">
        <w:t xml:space="preserve">he was a beloved husband, father, grandfather, and great-grandfather; </w:t>
      </w:r>
    </w:p>
    <w:p w14:paraId="5168F8AA" w14:textId="77777777" w:rsidR="00943207" w:rsidRPr="00E45CB8" w:rsidRDefault="00943207" w:rsidP="00BC3EC8">
      <w:pPr>
        <w:pStyle w:val="ExoNormal"/>
      </w:pPr>
      <w:r w:rsidRPr="00E45CB8">
        <w:rPr>
          <w:bCs/>
        </w:rPr>
        <w:t>WHEREAS,</w:t>
      </w:r>
      <w:r w:rsidRPr="00E45CB8">
        <w:t xml:space="preserve"> he is preceded in death by his beloved wife, Helen Aucoin Guillory; his parents; and brother, John Akin Vidrine;</w:t>
      </w:r>
    </w:p>
    <w:p w14:paraId="431885D2" w14:textId="77777777" w:rsidR="00943207" w:rsidRPr="00E45CB8" w:rsidRDefault="00943207" w:rsidP="00BC3EC8">
      <w:pPr>
        <w:pStyle w:val="ExoNormal"/>
      </w:pPr>
      <w:r w:rsidRPr="00E45CB8">
        <w:rPr>
          <w:bCs/>
        </w:rPr>
        <w:t xml:space="preserve">WHEREAS, </w:t>
      </w:r>
      <w:r w:rsidRPr="00E45CB8">
        <w:t>he is survived by many family members and friends, including his son, John Ross Guillory and wife, Lisa of Eunice; his daughter, Vickie Gatte and husband, Fralan of Jennings; his two grandchildren, John Rhett Guillory of Eunice, and T.J. Gatte and wife, Caitlin of Jennings; and his great grandchild, Gianna Diane Gatte;</w:t>
      </w:r>
    </w:p>
    <w:p w14:paraId="1ED2B0FE" w14:textId="77777777" w:rsidR="00943207" w:rsidRPr="00E45CB8" w:rsidRDefault="00943207" w:rsidP="00BC3EC8">
      <w:pPr>
        <w:pStyle w:val="ExoNormal"/>
      </w:pPr>
      <w:r w:rsidRPr="00E45CB8">
        <w:rPr>
          <w:bCs/>
        </w:rPr>
        <w:t xml:space="preserve">WHEREAS, </w:t>
      </w:r>
      <w:r w:rsidRPr="00E45CB8">
        <w:t>the State of Louisiana is indebted to him for his years of leadership and contributions;</w:t>
      </w:r>
    </w:p>
    <w:p w14:paraId="13DCC2BD" w14:textId="77777777" w:rsidR="00943207" w:rsidRPr="00E45CB8" w:rsidRDefault="00943207" w:rsidP="00BC3EC8">
      <w:pPr>
        <w:pStyle w:val="ExoNormal"/>
      </w:pPr>
      <w:r w:rsidRPr="00E45CB8">
        <w:rPr>
          <w:bCs/>
        </w:rPr>
        <w:t>NOW THEREFORE, I,</w:t>
      </w:r>
      <w:r w:rsidRPr="00E45CB8">
        <w:t xml:space="preserve"> </w:t>
      </w:r>
      <w:r w:rsidRPr="00E45CB8">
        <w:rPr>
          <w:bCs/>
        </w:rPr>
        <w:t xml:space="preserve">JEFF LANDRY, </w:t>
      </w:r>
      <w:r w:rsidRPr="00E45CB8">
        <w:t>Governor of the State of Louisiana, by virtue of the authority vested by the Constitution and the laws of the State of Louisiana, do hereby order and direct as follows:</w:t>
      </w:r>
    </w:p>
    <w:p w14:paraId="1727848F" w14:textId="77777777" w:rsidR="00943207" w:rsidRPr="00E45CB8" w:rsidRDefault="00943207" w:rsidP="00BC3EC8">
      <w:pPr>
        <w:pStyle w:val="1"/>
      </w:pPr>
      <w:r w:rsidRPr="00E45CB8">
        <w:t>Section 1:</w:t>
      </w:r>
      <w:r w:rsidRPr="00E45CB8">
        <w:tab/>
        <w:t>As an expression of respect and to honor former representative Mickey Guillory, the flags of the United States and the State of Louisiana shall be flown at half-staff over the State Capitol and all state buildings from sunrise until sunset on August 7, 2026.</w:t>
      </w:r>
    </w:p>
    <w:p w14:paraId="621528C1" w14:textId="77777777" w:rsidR="00943207" w:rsidRPr="00E45CB8" w:rsidRDefault="00943207" w:rsidP="00BC3EC8">
      <w:pPr>
        <w:pStyle w:val="1"/>
      </w:pPr>
      <w:r w:rsidRPr="00E45CB8">
        <w:t>Section 2:</w:t>
      </w:r>
      <w:r>
        <w:tab/>
      </w:r>
      <w:r w:rsidRPr="00E45CB8">
        <w:t>This Order is effective upon signature and shall remain in effect until sunset, on August 7, 2026.</w:t>
      </w:r>
    </w:p>
    <w:p w14:paraId="60C966E7" w14:textId="77777777" w:rsidR="00943207" w:rsidRDefault="00943207" w:rsidP="00BC3EC8">
      <w:pPr>
        <w:pStyle w:val="ExoNormal"/>
        <w:rPr>
          <w:bCs/>
        </w:rPr>
      </w:pPr>
      <w:r w:rsidRPr="00E45CB8">
        <w:rPr>
          <w:bCs/>
        </w:rPr>
        <w:t xml:space="preserve">IN WITNESS WHEREOF, </w:t>
      </w:r>
      <w:r w:rsidRPr="00E45CB8">
        <w:t>I have set my hand officially and caused to be affixed the Great Seal of Louisiana in the City of Baton Rouge, on this 7</w:t>
      </w:r>
      <w:r w:rsidRPr="00E45CB8">
        <w:rPr>
          <w:vertAlign w:val="superscript"/>
        </w:rPr>
        <w:t>th</w:t>
      </w:r>
      <w:r w:rsidRPr="00E45CB8">
        <w:t xml:space="preserve"> day of August 2026.</w:t>
      </w:r>
    </w:p>
    <w:p w14:paraId="297D9040" w14:textId="77777777" w:rsidR="00943207" w:rsidRDefault="00943207" w:rsidP="00BC3EC8">
      <w:pPr>
        <w:pStyle w:val="RegSignature"/>
      </w:pPr>
    </w:p>
    <w:p w14:paraId="5113A30B" w14:textId="77777777" w:rsidR="00943207" w:rsidRDefault="00943207" w:rsidP="00BC3EC8">
      <w:pPr>
        <w:pStyle w:val="RegSignature"/>
      </w:pPr>
      <w:r>
        <w:t>Jeff Landry</w:t>
      </w:r>
    </w:p>
    <w:p w14:paraId="7962B4E2" w14:textId="77777777" w:rsidR="00943207" w:rsidRDefault="00943207" w:rsidP="00BC3EC8">
      <w:pPr>
        <w:pStyle w:val="RegSignature"/>
      </w:pPr>
      <w:r>
        <w:t>Governor</w:t>
      </w:r>
    </w:p>
    <w:p w14:paraId="5AC244C6" w14:textId="77777777" w:rsidR="00943207" w:rsidRDefault="00943207" w:rsidP="00BC3EC8">
      <w:pPr>
        <w:pStyle w:val="ExoSecOfState"/>
      </w:pPr>
      <w:r>
        <w:t>ATTEST BY</w:t>
      </w:r>
    </w:p>
    <w:p w14:paraId="69D557BD" w14:textId="77777777" w:rsidR="00943207" w:rsidRDefault="00943207" w:rsidP="00BC3EC8">
      <w:pPr>
        <w:pStyle w:val="ExoSecOfState"/>
      </w:pPr>
      <w:r>
        <w:t>THE GOVERNOR</w:t>
      </w:r>
    </w:p>
    <w:p w14:paraId="3893D882" w14:textId="77777777" w:rsidR="00943207" w:rsidRDefault="00943207" w:rsidP="00BC3EC8">
      <w:pPr>
        <w:pStyle w:val="ExoSecOfState"/>
      </w:pPr>
      <w:r>
        <w:t>Nancy Landry</w:t>
      </w:r>
    </w:p>
    <w:p w14:paraId="1AE5CDD1" w14:textId="77777777" w:rsidR="00943207" w:rsidRDefault="00943207" w:rsidP="00BC3EC8">
      <w:pPr>
        <w:pStyle w:val="ExoSecOfState"/>
      </w:pPr>
      <w:r>
        <w:t>Secretary of State</w:t>
      </w:r>
    </w:p>
    <w:p w14:paraId="7D15958D" w14:textId="77777777" w:rsidR="00943207" w:rsidRPr="00E45CB8" w:rsidRDefault="00943207" w:rsidP="00BC3EC8">
      <w:pPr>
        <w:pStyle w:val="RegLogNumber"/>
      </w:pPr>
      <w:r>
        <w:t>2608#069</w:t>
      </w:r>
    </w:p>
    <w:p w14:paraId="0DF4A2F0" w14:textId="77777777" w:rsidR="00943207" w:rsidRPr="00943207" w:rsidRDefault="00943207" w:rsidP="00943207"/>
    <w:p w14:paraId="581627BD" w14:textId="77777777" w:rsidR="00943207" w:rsidRDefault="00943207" w:rsidP="00A4277A">
      <w:pPr>
        <w:pStyle w:val="RegItemFirstLine"/>
      </w:pPr>
      <w:r>
        <w:t>EXECUTIVE ORDER JML 26-075</w:t>
      </w:r>
    </w:p>
    <w:p w14:paraId="64FF5181" w14:textId="77777777" w:rsidR="00943207" w:rsidRDefault="00943207" w:rsidP="00A4277A">
      <w:pPr>
        <w:pStyle w:val="RegItemTitle"/>
      </w:pPr>
      <w:r w:rsidRPr="00CD6166">
        <w:rPr>
          <w:spacing w:val="1"/>
        </w:rPr>
        <w:t>Renewal of S</w:t>
      </w:r>
      <w:r w:rsidRPr="00CD6166">
        <w:t>tate</w:t>
      </w:r>
      <w:r w:rsidRPr="00CD6166">
        <w:rPr>
          <w:spacing w:val="1"/>
        </w:rPr>
        <w:t xml:space="preserve"> </w:t>
      </w:r>
      <w:r w:rsidRPr="00CD6166">
        <w:t xml:space="preserve">of </w:t>
      </w:r>
      <w:r w:rsidRPr="00CD6166">
        <w:rPr>
          <w:spacing w:val="1"/>
        </w:rPr>
        <w:t>E</w:t>
      </w:r>
      <w:r w:rsidRPr="00CD6166">
        <w:rPr>
          <w:spacing w:val="-2"/>
        </w:rPr>
        <w:t>m</w:t>
      </w:r>
      <w:r w:rsidRPr="00CD6166">
        <w:t>erge</w:t>
      </w:r>
      <w:r w:rsidRPr="00CD6166">
        <w:rPr>
          <w:spacing w:val="-3"/>
        </w:rPr>
        <w:t>n</w:t>
      </w:r>
      <w:r w:rsidRPr="00CD6166">
        <w:t>cy</w:t>
      </w:r>
      <w:r>
        <w:t>—</w:t>
      </w:r>
      <w:r w:rsidRPr="00CD6166">
        <w:t>Cybersecurity Incidents</w:t>
      </w:r>
    </w:p>
    <w:p w14:paraId="31E6A585" w14:textId="77777777" w:rsidR="00943207" w:rsidRPr="00CD6166" w:rsidRDefault="00943207" w:rsidP="00A4277A">
      <w:pPr>
        <w:pStyle w:val="ExoNormal"/>
      </w:pPr>
      <w:r w:rsidRPr="00CD6166">
        <w:t xml:space="preserve">WHEREAS, the Louisiana Homeland Security and Emergency Assistance and Disaster Act, R.S. 29:721, </w:t>
      </w:r>
      <w:r w:rsidRPr="00CD6166">
        <w:rPr>
          <w:i/>
        </w:rPr>
        <w:t>et seq</w:t>
      </w:r>
      <w:r w:rsidRPr="00CD6166">
        <w:t xml:space="preserve">., </w:t>
      </w:r>
      <w:r w:rsidRPr="00CD6166">
        <w:rPr>
          <w:bCs/>
          <w:color w:val="313131"/>
        </w:rPr>
        <w:t>confers</w:t>
      </w:r>
      <w:r w:rsidRPr="00CD6166">
        <w:t xml:space="preserve"> upon the Governor of the State of Louisiana emergency powers to deal with emergencies, including those caused by breach of cybersecurity, in order to ensure that preparations of this State will be adequate to deal with such emergencies or disasters and to preserve the lives and property of the people of the State of Louisiana;</w:t>
      </w:r>
    </w:p>
    <w:p w14:paraId="7868A91E" w14:textId="77777777" w:rsidR="00943207" w:rsidRPr="00CD6166" w:rsidRDefault="00943207" w:rsidP="00A4277A">
      <w:pPr>
        <w:pStyle w:val="ExoNormal"/>
      </w:pPr>
      <w:r w:rsidRPr="00CD6166">
        <w:t>WHEREAS, pursuant to</w:t>
      </w:r>
      <w:r w:rsidRPr="00CD6166">
        <w:rPr>
          <w:spacing w:val="2"/>
        </w:rPr>
        <w:t xml:space="preserve"> </w:t>
      </w:r>
      <w:r w:rsidRPr="00CD6166">
        <w:t>R.</w:t>
      </w:r>
      <w:r w:rsidRPr="00CD6166">
        <w:rPr>
          <w:spacing w:val="1"/>
        </w:rPr>
        <w:t>S</w:t>
      </w:r>
      <w:r w:rsidRPr="00CD6166">
        <w:t>.</w:t>
      </w:r>
      <w:r w:rsidRPr="00CD6166">
        <w:rPr>
          <w:spacing w:val="2"/>
        </w:rPr>
        <w:t xml:space="preserve"> </w:t>
      </w:r>
      <w:r w:rsidRPr="00CD6166">
        <w:t>29:</w:t>
      </w:r>
      <w:r w:rsidRPr="00CD6166">
        <w:rPr>
          <w:spacing w:val="-2"/>
        </w:rPr>
        <w:t>7</w:t>
      </w:r>
      <w:r w:rsidRPr="00CD6166">
        <w:t>24(</w:t>
      </w:r>
      <w:r w:rsidRPr="00CD6166">
        <w:rPr>
          <w:spacing w:val="-2"/>
        </w:rPr>
        <w:t>B</w:t>
      </w:r>
      <w:r w:rsidRPr="00CD6166">
        <w:rPr>
          <w:spacing w:val="1"/>
        </w:rPr>
        <w:t>)</w:t>
      </w:r>
      <w:r w:rsidRPr="00CD6166">
        <w:t xml:space="preserve">(1), </w:t>
      </w:r>
      <w:r w:rsidRPr="00CD6166">
        <w:rPr>
          <w:bCs/>
          <w:color w:val="313131"/>
        </w:rPr>
        <w:t>Gov</w:t>
      </w:r>
      <w:r w:rsidRPr="00CD6166">
        <w:rPr>
          <w:bCs/>
          <w:color w:val="313131"/>
          <w:spacing w:val="1"/>
        </w:rPr>
        <w:t>e</w:t>
      </w:r>
      <w:r w:rsidRPr="00CD6166">
        <w:rPr>
          <w:bCs/>
          <w:color w:val="313131"/>
        </w:rPr>
        <w:t>rnor</w:t>
      </w:r>
      <w:r w:rsidRPr="00CD6166">
        <w:rPr>
          <w:spacing w:val="13"/>
        </w:rPr>
        <w:t xml:space="preserve"> John Bel Edwards declared a </w:t>
      </w:r>
      <w:r w:rsidRPr="00CD6166">
        <w:t>state of</w:t>
      </w:r>
      <w:r w:rsidRPr="00CD6166">
        <w:rPr>
          <w:spacing w:val="13"/>
        </w:rPr>
        <w:t xml:space="preserve"> </w:t>
      </w:r>
      <w:r w:rsidRPr="00CD6166">
        <w:rPr>
          <w:spacing w:val="1"/>
        </w:rPr>
        <w:t>e</w:t>
      </w:r>
      <w:r w:rsidRPr="00CD6166">
        <w:t>me</w:t>
      </w:r>
      <w:r w:rsidRPr="00CD6166">
        <w:rPr>
          <w:spacing w:val="-1"/>
        </w:rPr>
        <w:t>r</w:t>
      </w:r>
      <w:r w:rsidRPr="00CD6166">
        <w:t>g</w:t>
      </w:r>
      <w:r w:rsidRPr="00CD6166">
        <w:rPr>
          <w:spacing w:val="-1"/>
        </w:rPr>
        <w:t>e</w:t>
      </w:r>
      <w:r w:rsidRPr="00CD6166">
        <w:t>n</w:t>
      </w:r>
      <w:r w:rsidRPr="00CD6166">
        <w:rPr>
          <w:spacing w:val="4"/>
        </w:rPr>
        <w:t>c</w:t>
      </w:r>
      <w:r w:rsidRPr="00CD6166">
        <w:t>y</w:t>
      </w:r>
      <w:r w:rsidRPr="00CD6166">
        <w:rPr>
          <w:spacing w:val="9"/>
        </w:rPr>
        <w:t xml:space="preserve"> on December 28, 2023, in Proclamation Number 236 JBE 2023 in response to </w:t>
      </w:r>
      <w:r w:rsidRPr="00CD6166">
        <w:t>the</w:t>
      </w:r>
      <w:r w:rsidRPr="00CD6166">
        <w:rPr>
          <w:spacing w:val="1"/>
        </w:rPr>
        <w:t xml:space="preserve"> </w:t>
      </w:r>
      <w:r w:rsidRPr="00CD6166">
        <w:t>thr</w:t>
      </w:r>
      <w:r w:rsidRPr="00CD6166">
        <w:rPr>
          <w:spacing w:val="-1"/>
        </w:rPr>
        <w:t>ea</w:t>
      </w:r>
      <w:r w:rsidRPr="00CD6166">
        <w:t>t</w:t>
      </w:r>
      <w:r w:rsidRPr="00CD6166">
        <w:rPr>
          <w:spacing w:val="2"/>
        </w:rPr>
        <w:t xml:space="preserve"> </w:t>
      </w:r>
      <w:r w:rsidRPr="00CD6166">
        <w:t>of intentional cybersecurity breaches of public entities throughout the State of Louisiana;</w:t>
      </w:r>
    </w:p>
    <w:p w14:paraId="622CE0E1" w14:textId="77777777" w:rsidR="00943207" w:rsidRPr="00CD6166" w:rsidRDefault="00943207" w:rsidP="00A4277A">
      <w:pPr>
        <w:pStyle w:val="ExoNormal"/>
        <w:rPr>
          <w:rFonts w:eastAsia="Calibri"/>
        </w:rPr>
      </w:pPr>
      <w:r w:rsidRPr="00CD6166">
        <w:rPr>
          <w:rFonts w:eastAsia="Calibri"/>
        </w:rPr>
        <w:t>WHEREAS,</w:t>
      </w:r>
      <w:r w:rsidRPr="00CD6166">
        <w:rPr>
          <w:rFonts w:eastAsia="Calibri"/>
        </w:rPr>
        <w:tab/>
        <w:t>Proclamation Number 263 JBE 2023 has been renewed and extended every thirty (30) days through JML 26-063, which is in effect through Sunday, August 9, 2026;</w:t>
      </w:r>
    </w:p>
    <w:p w14:paraId="6EBBF0AD" w14:textId="77777777" w:rsidR="00943207" w:rsidRPr="00CD6166" w:rsidRDefault="00943207" w:rsidP="00A4277A">
      <w:pPr>
        <w:pStyle w:val="ExoNormal"/>
      </w:pPr>
      <w:r w:rsidRPr="00CD6166">
        <w:lastRenderedPageBreak/>
        <w:t>WHEREAS, there have been severe, intentional cybersecurity breaches of public entities throughout the State of Louisiana;</w:t>
      </w:r>
    </w:p>
    <w:p w14:paraId="3B0D0DFD" w14:textId="77777777" w:rsidR="00943207" w:rsidRPr="00CD6166" w:rsidRDefault="00943207" w:rsidP="00A4277A">
      <w:pPr>
        <w:pStyle w:val="ExoNormal"/>
      </w:pPr>
      <w:r w:rsidRPr="00CD6166">
        <w:rPr>
          <w:rFonts w:eastAsia="Calibri"/>
        </w:rPr>
        <w:t>WHEREAS, R.S. 29:724 authorizes the governor during a declared state of emergency to suspend the provisions of any state regulatory statute prescribing procedures for conducting state business, or the orders, rules or regulations of any state agency, if strict compliance with the provision of any statute, order, rule, or regulation would in any way prevent, hinder, or delay necessary action in coping with the emergency;</w:t>
      </w:r>
    </w:p>
    <w:p w14:paraId="7EDE8789" w14:textId="77777777" w:rsidR="00943207" w:rsidRPr="00CD6166" w:rsidRDefault="00943207" w:rsidP="00A4277A">
      <w:pPr>
        <w:pStyle w:val="ExoNormal"/>
      </w:pPr>
      <w:r w:rsidRPr="00CD6166">
        <w:rPr>
          <w:bCs/>
        </w:rPr>
        <w:t xml:space="preserve">WHEREAS, </w:t>
      </w:r>
      <w:r w:rsidRPr="00CD6166">
        <w:t>it is necessary for the State to continue to work cooperatively to mitigate any damages, current or future from cybersecurity breaches and to address cybersecurity vulnerabilities in current systems;</w:t>
      </w:r>
    </w:p>
    <w:p w14:paraId="3A0290CD" w14:textId="77777777" w:rsidR="00943207" w:rsidRPr="00CD6166" w:rsidRDefault="00943207" w:rsidP="00A4277A">
      <w:pPr>
        <w:pStyle w:val="ExoNormal"/>
      </w:pPr>
      <w:r w:rsidRPr="00CD6166">
        <w:rPr>
          <w:bCs/>
        </w:rPr>
        <w:t>NOW TH</w:t>
      </w:r>
      <w:r w:rsidRPr="00CD6166">
        <w:rPr>
          <w:bCs/>
          <w:spacing w:val="1"/>
        </w:rPr>
        <w:t>E</w:t>
      </w:r>
      <w:r w:rsidRPr="00CD6166">
        <w:rPr>
          <w:bCs/>
        </w:rPr>
        <w:t>RE</w:t>
      </w:r>
      <w:r w:rsidRPr="00CD6166">
        <w:rPr>
          <w:bCs/>
          <w:spacing w:val="-2"/>
        </w:rPr>
        <w:t>F</w:t>
      </w:r>
      <w:r w:rsidRPr="00CD6166">
        <w:rPr>
          <w:bCs/>
        </w:rPr>
        <w:t>ORE, I,</w:t>
      </w:r>
      <w:r w:rsidRPr="00CD6166">
        <w:rPr>
          <w:bCs/>
          <w:spacing w:val="2"/>
        </w:rPr>
        <w:t xml:space="preserve"> JEFF LANDRY</w:t>
      </w:r>
      <w:r w:rsidRPr="00CD6166">
        <w:rPr>
          <w:bCs/>
        </w:rPr>
        <w:t>,</w:t>
      </w:r>
      <w:r w:rsidRPr="00CD6166">
        <w:rPr>
          <w:bCs/>
          <w:spacing w:val="2"/>
        </w:rPr>
        <w:t xml:space="preserve"> </w:t>
      </w:r>
      <w:r w:rsidRPr="00CD6166">
        <w:t>Go</w:t>
      </w:r>
      <w:r w:rsidRPr="00CD6166">
        <w:rPr>
          <w:spacing w:val="2"/>
        </w:rPr>
        <w:t>v</w:t>
      </w:r>
      <w:r w:rsidRPr="00CD6166">
        <w:rPr>
          <w:spacing w:val="-1"/>
        </w:rPr>
        <w:t>e</w:t>
      </w:r>
      <w:r w:rsidRPr="00CD6166">
        <w:t>rnor</w:t>
      </w:r>
      <w:r w:rsidRPr="00CD6166">
        <w:rPr>
          <w:spacing w:val="-1"/>
        </w:rPr>
        <w:t xml:space="preserve"> </w:t>
      </w:r>
      <w:r w:rsidRPr="00CD6166">
        <w:rPr>
          <w:spacing w:val="2"/>
        </w:rPr>
        <w:t>o</w:t>
      </w:r>
      <w:r w:rsidRPr="00CD6166">
        <w:t>f the</w:t>
      </w:r>
      <w:r w:rsidRPr="00CD6166">
        <w:rPr>
          <w:spacing w:val="1"/>
        </w:rPr>
        <w:t xml:space="preserve"> S</w:t>
      </w:r>
      <w:r w:rsidRPr="00CD6166">
        <w:t>tate</w:t>
      </w:r>
      <w:r w:rsidRPr="00CD6166">
        <w:rPr>
          <w:spacing w:val="-1"/>
        </w:rPr>
        <w:t xml:space="preserve"> </w:t>
      </w:r>
      <w:r w:rsidRPr="00CD6166">
        <w:t>of</w:t>
      </w:r>
      <w:r w:rsidRPr="00CD6166">
        <w:rPr>
          <w:spacing w:val="4"/>
        </w:rPr>
        <w:t xml:space="preserve"> </w:t>
      </w:r>
      <w:r w:rsidRPr="00CD6166">
        <w:rPr>
          <w:spacing w:val="-3"/>
        </w:rPr>
        <w:t>L</w:t>
      </w:r>
      <w:r w:rsidRPr="00CD6166">
        <w:t>ou</w:t>
      </w:r>
      <w:r w:rsidRPr="00CD6166">
        <w:rPr>
          <w:spacing w:val="3"/>
        </w:rPr>
        <w:t>i</w:t>
      </w:r>
      <w:r w:rsidRPr="00CD6166">
        <w:t>sian</w:t>
      </w:r>
      <w:r w:rsidRPr="00CD6166">
        <w:rPr>
          <w:spacing w:val="-1"/>
        </w:rPr>
        <w:t>a</w:t>
      </w:r>
      <w:r w:rsidRPr="00CD6166">
        <w:t xml:space="preserve">, </w:t>
      </w:r>
      <w:r w:rsidRPr="00CD6166">
        <w:rPr>
          <w:spacing w:val="5"/>
        </w:rPr>
        <w:t>b</w:t>
      </w:r>
      <w:r w:rsidRPr="00CD6166">
        <w:t>y</w:t>
      </w:r>
      <w:r w:rsidRPr="00CD6166">
        <w:rPr>
          <w:spacing w:val="-5"/>
        </w:rPr>
        <w:t xml:space="preserve"> </w:t>
      </w:r>
      <w:r w:rsidRPr="00CD6166">
        <w:t>virt</w:t>
      </w:r>
      <w:r w:rsidRPr="00CD6166">
        <w:rPr>
          <w:spacing w:val="2"/>
        </w:rPr>
        <w:t>u</w:t>
      </w:r>
      <w:r w:rsidRPr="00CD6166">
        <w:t>e</w:t>
      </w:r>
      <w:r w:rsidRPr="00CD6166">
        <w:rPr>
          <w:spacing w:val="-1"/>
        </w:rPr>
        <w:t xml:space="preserve"> </w:t>
      </w:r>
      <w:r w:rsidRPr="00CD6166">
        <w:t>of</w:t>
      </w:r>
      <w:r w:rsidRPr="00CD6166">
        <w:rPr>
          <w:spacing w:val="1"/>
        </w:rPr>
        <w:t xml:space="preserve"> </w:t>
      </w:r>
      <w:r w:rsidRPr="00CD6166">
        <w:t xml:space="preserve">the </w:t>
      </w:r>
      <w:r w:rsidRPr="00CD6166">
        <w:rPr>
          <w:spacing w:val="-1"/>
        </w:rPr>
        <w:t>a</w:t>
      </w:r>
      <w:r w:rsidRPr="00CD6166">
        <w:t>uthori</w:t>
      </w:r>
      <w:r w:rsidRPr="00CD6166">
        <w:rPr>
          <w:spacing w:val="3"/>
        </w:rPr>
        <w:t>t</w:t>
      </w:r>
      <w:r w:rsidRPr="00CD6166">
        <w:t>y</w:t>
      </w:r>
      <w:r w:rsidRPr="00CD6166">
        <w:rPr>
          <w:spacing w:val="21"/>
        </w:rPr>
        <w:t xml:space="preserve"> </w:t>
      </w:r>
      <w:r w:rsidRPr="00CD6166">
        <w:rPr>
          <w:spacing w:val="2"/>
        </w:rPr>
        <w:t>v</w:t>
      </w:r>
      <w:r w:rsidRPr="00CD6166">
        <w:rPr>
          <w:spacing w:val="-1"/>
        </w:rPr>
        <w:t>e</w:t>
      </w:r>
      <w:r w:rsidRPr="00CD6166">
        <w:t>sted</w:t>
      </w:r>
      <w:r w:rsidRPr="00CD6166">
        <w:rPr>
          <w:spacing w:val="26"/>
        </w:rPr>
        <w:t xml:space="preserve"> </w:t>
      </w:r>
      <w:r w:rsidRPr="00CD6166">
        <w:rPr>
          <w:spacing w:val="5"/>
        </w:rPr>
        <w:t>b</w:t>
      </w:r>
      <w:r w:rsidRPr="00CD6166">
        <w:t>y</w:t>
      </w:r>
      <w:r w:rsidRPr="00CD6166">
        <w:rPr>
          <w:spacing w:val="21"/>
        </w:rPr>
        <w:t xml:space="preserve"> </w:t>
      </w:r>
      <w:r w:rsidRPr="00CD6166">
        <w:t>the</w:t>
      </w:r>
      <w:r w:rsidRPr="00CD6166">
        <w:rPr>
          <w:spacing w:val="28"/>
        </w:rPr>
        <w:t xml:space="preserve"> </w:t>
      </w:r>
      <w:r w:rsidRPr="00CD6166">
        <w:t>Consti</w:t>
      </w:r>
      <w:r w:rsidRPr="00CD6166">
        <w:rPr>
          <w:spacing w:val="1"/>
        </w:rPr>
        <w:t>t</w:t>
      </w:r>
      <w:r w:rsidRPr="00CD6166">
        <w:t>ut</w:t>
      </w:r>
      <w:r w:rsidRPr="00CD6166">
        <w:rPr>
          <w:spacing w:val="1"/>
        </w:rPr>
        <w:t>i</w:t>
      </w:r>
      <w:r w:rsidRPr="00CD6166">
        <w:t>on</w:t>
      </w:r>
      <w:r w:rsidRPr="00CD6166">
        <w:rPr>
          <w:spacing w:val="26"/>
        </w:rPr>
        <w:t xml:space="preserve"> </w:t>
      </w:r>
      <w:r w:rsidRPr="00CD6166">
        <w:rPr>
          <w:spacing w:val="-1"/>
        </w:rPr>
        <w:t>a</w:t>
      </w:r>
      <w:r w:rsidRPr="00CD6166">
        <w:t>nd</w:t>
      </w:r>
      <w:r w:rsidRPr="00CD6166">
        <w:rPr>
          <w:spacing w:val="26"/>
        </w:rPr>
        <w:t xml:space="preserve"> </w:t>
      </w:r>
      <w:r w:rsidRPr="00CD6166">
        <w:t>the</w:t>
      </w:r>
      <w:r w:rsidRPr="00CD6166">
        <w:rPr>
          <w:spacing w:val="26"/>
        </w:rPr>
        <w:t xml:space="preserve"> </w:t>
      </w:r>
      <w:r w:rsidRPr="00CD6166">
        <w:t>la</w:t>
      </w:r>
      <w:r w:rsidRPr="00CD6166">
        <w:rPr>
          <w:spacing w:val="-1"/>
        </w:rPr>
        <w:t>w</w:t>
      </w:r>
      <w:r w:rsidRPr="00CD6166">
        <w:t>s</w:t>
      </w:r>
      <w:r w:rsidRPr="00CD6166">
        <w:rPr>
          <w:spacing w:val="26"/>
        </w:rPr>
        <w:t xml:space="preserve"> </w:t>
      </w:r>
      <w:r w:rsidRPr="00CD6166">
        <w:t>of</w:t>
      </w:r>
      <w:r w:rsidRPr="00CD6166">
        <w:rPr>
          <w:spacing w:val="25"/>
        </w:rPr>
        <w:t xml:space="preserve"> </w:t>
      </w:r>
      <w:r w:rsidRPr="00CD6166">
        <w:t>the</w:t>
      </w:r>
      <w:r w:rsidRPr="00CD6166">
        <w:rPr>
          <w:spacing w:val="26"/>
        </w:rPr>
        <w:t xml:space="preserve"> </w:t>
      </w:r>
      <w:r w:rsidRPr="00CD6166">
        <w:rPr>
          <w:spacing w:val="1"/>
        </w:rPr>
        <w:t>S</w:t>
      </w:r>
      <w:r w:rsidRPr="00CD6166">
        <w:t>tate</w:t>
      </w:r>
      <w:r w:rsidRPr="00CD6166">
        <w:rPr>
          <w:spacing w:val="25"/>
        </w:rPr>
        <w:t xml:space="preserve"> </w:t>
      </w:r>
      <w:r w:rsidRPr="00CD6166">
        <w:t>of</w:t>
      </w:r>
      <w:r w:rsidRPr="00CD6166">
        <w:rPr>
          <w:spacing w:val="30"/>
        </w:rPr>
        <w:t xml:space="preserve"> </w:t>
      </w:r>
      <w:r w:rsidRPr="00CD6166">
        <w:rPr>
          <w:spacing w:val="-3"/>
        </w:rPr>
        <w:t>L</w:t>
      </w:r>
      <w:r w:rsidRPr="00CD6166">
        <w:t>ouis</w:t>
      </w:r>
      <w:r w:rsidRPr="00CD6166">
        <w:rPr>
          <w:spacing w:val="1"/>
        </w:rPr>
        <w:t>ia</w:t>
      </w:r>
      <w:r w:rsidRPr="00CD6166">
        <w:t>n</w:t>
      </w:r>
      <w:r w:rsidRPr="00CD6166">
        <w:rPr>
          <w:spacing w:val="-1"/>
        </w:rPr>
        <w:t>a</w:t>
      </w:r>
      <w:r w:rsidRPr="00CD6166">
        <w:t>,</w:t>
      </w:r>
      <w:r w:rsidRPr="00CD6166">
        <w:rPr>
          <w:spacing w:val="26"/>
        </w:rPr>
        <w:t xml:space="preserve"> </w:t>
      </w:r>
      <w:r w:rsidRPr="00CD6166">
        <w:t>do</w:t>
      </w:r>
      <w:r w:rsidRPr="00CD6166">
        <w:rPr>
          <w:spacing w:val="26"/>
        </w:rPr>
        <w:t xml:space="preserve"> </w:t>
      </w:r>
      <w:r w:rsidRPr="00CD6166">
        <w:t>h</w:t>
      </w:r>
      <w:r w:rsidRPr="00CD6166">
        <w:rPr>
          <w:spacing w:val="1"/>
        </w:rPr>
        <w:t>e</w:t>
      </w:r>
      <w:r w:rsidRPr="00CD6166">
        <w:t>r</w:t>
      </w:r>
      <w:r w:rsidRPr="00CD6166">
        <w:rPr>
          <w:spacing w:val="-2"/>
        </w:rPr>
        <w:t>e</w:t>
      </w:r>
      <w:r w:rsidRPr="00CD6166">
        <w:rPr>
          <w:spacing w:val="5"/>
        </w:rPr>
        <w:t>b</w:t>
      </w:r>
      <w:r w:rsidRPr="00CD6166">
        <w:t>y</w:t>
      </w:r>
      <w:r w:rsidRPr="00CD6166">
        <w:rPr>
          <w:spacing w:val="21"/>
        </w:rPr>
        <w:t xml:space="preserve"> </w:t>
      </w:r>
      <w:r w:rsidRPr="00CD6166">
        <w:rPr>
          <w:spacing w:val="2"/>
        </w:rPr>
        <w:t>o</w:t>
      </w:r>
      <w:r w:rsidRPr="00CD6166">
        <w:t>rd</w:t>
      </w:r>
      <w:r w:rsidRPr="00CD6166">
        <w:rPr>
          <w:spacing w:val="-2"/>
        </w:rPr>
        <w:t>e</w:t>
      </w:r>
      <w:r w:rsidRPr="00CD6166">
        <w:t xml:space="preserve">r </w:t>
      </w:r>
      <w:r w:rsidRPr="00CD6166">
        <w:rPr>
          <w:spacing w:val="-1"/>
        </w:rPr>
        <w:t>a</w:t>
      </w:r>
      <w:r w:rsidRPr="00CD6166">
        <w:t>nd dir</w:t>
      </w:r>
      <w:r w:rsidRPr="00CD6166">
        <w:rPr>
          <w:spacing w:val="-1"/>
        </w:rPr>
        <w:t>ec</w:t>
      </w:r>
      <w:r w:rsidRPr="00CD6166">
        <w:t>t as</w:t>
      </w:r>
      <w:r w:rsidRPr="00CD6166">
        <w:rPr>
          <w:spacing w:val="2"/>
        </w:rPr>
        <w:t xml:space="preserve"> </w:t>
      </w:r>
      <w:r w:rsidRPr="00CD6166">
        <w:t>follows:</w:t>
      </w:r>
    </w:p>
    <w:p w14:paraId="0F79D008" w14:textId="77777777" w:rsidR="00943207" w:rsidRPr="00CD6166" w:rsidRDefault="00943207" w:rsidP="00A4277A">
      <w:pPr>
        <w:pStyle w:val="1"/>
      </w:pPr>
      <w:r w:rsidRPr="00CD6166">
        <w:rPr>
          <w:bCs/>
          <w:spacing w:val="1"/>
        </w:rPr>
        <w:t>S</w:t>
      </w:r>
      <w:r w:rsidRPr="00CD6166">
        <w:rPr>
          <w:bCs/>
        </w:rPr>
        <w:t>ecti</w:t>
      </w:r>
      <w:r w:rsidRPr="00CD6166">
        <w:rPr>
          <w:bCs/>
          <w:spacing w:val="1"/>
        </w:rPr>
        <w:t>o</w:t>
      </w:r>
      <w:r w:rsidRPr="00CD6166">
        <w:rPr>
          <w:bCs/>
        </w:rPr>
        <w:t>n 1:</w:t>
      </w:r>
      <w:r w:rsidRPr="00CD6166">
        <w:rPr>
          <w:bCs/>
        </w:rPr>
        <w:tab/>
      </w:r>
      <w:r w:rsidRPr="00CD6166">
        <w:rPr>
          <w:spacing w:val="1"/>
        </w:rPr>
        <w:t>P</w:t>
      </w:r>
      <w:r w:rsidRPr="00CD6166">
        <w:t>u</w:t>
      </w:r>
      <w:r w:rsidRPr="00CD6166">
        <w:rPr>
          <w:spacing w:val="-1"/>
        </w:rPr>
        <w:t>r</w:t>
      </w:r>
      <w:r w:rsidRPr="00CD6166">
        <w:t>suant</w:t>
      </w:r>
      <w:r w:rsidRPr="00CD6166">
        <w:rPr>
          <w:spacing w:val="24"/>
        </w:rPr>
        <w:t xml:space="preserve"> </w:t>
      </w:r>
      <w:r w:rsidRPr="00CD6166">
        <w:t>to</w:t>
      </w:r>
      <w:r w:rsidRPr="00CD6166">
        <w:rPr>
          <w:spacing w:val="24"/>
        </w:rPr>
        <w:t xml:space="preserve"> </w:t>
      </w:r>
      <w:r w:rsidRPr="00CD6166">
        <w:t>the</w:t>
      </w:r>
      <w:r w:rsidRPr="00CD6166">
        <w:rPr>
          <w:spacing w:val="26"/>
        </w:rPr>
        <w:t xml:space="preserve"> </w:t>
      </w:r>
      <w:r w:rsidRPr="00CD6166">
        <w:rPr>
          <w:spacing w:val="-5"/>
        </w:rPr>
        <w:t>L</w:t>
      </w:r>
      <w:r w:rsidRPr="00CD6166">
        <w:t>ouis</w:t>
      </w:r>
      <w:r w:rsidRPr="00CD6166">
        <w:rPr>
          <w:spacing w:val="1"/>
        </w:rPr>
        <w:t>i</w:t>
      </w:r>
      <w:r w:rsidRPr="00CD6166">
        <w:rPr>
          <w:spacing w:val="-1"/>
        </w:rPr>
        <w:t>a</w:t>
      </w:r>
      <w:r w:rsidRPr="00CD6166">
        <w:t>na</w:t>
      </w:r>
      <w:r w:rsidRPr="00CD6166">
        <w:rPr>
          <w:spacing w:val="23"/>
        </w:rPr>
        <w:t xml:space="preserve"> </w:t>
      </w:r>
      <w:r w:rsidRPr="00CD6166">
        <w:t>Hom</w:t>
      </w:r>
      <w:r w:rsidRPr="00CD6166">
        <w:rPr>
          <w:spacing w:val="-1"/>
        </w:rPr>
        <w:t>e</w:t>
      </w:r>
      <w:r w:rsidRPr="00CD6166">
        <w:t>land</w:t>
      </w:r>
      <w:r w:rsidRPr="00CD6166">
        <w:rPr>
          <w:spacing w:val="23"/>
        </w:rPr>
        <w:t xml:space="preserve"> </w:t>
      </w:r>
      <w:r w:rsidRPr="00CD6166">
        <w:rPr>
          <w:spacing w:val="1"/>
        </w:rPr>
        <w:t>S</w:t>
      </w:r>
      <w:r w:rsidRPr="00CD6166">
        <w:rPr>
          <w:spacing w:val="-1"/>
        </w:rPr>
        <w:t>ec</w:t>
      </w:r>
      <w:r w:rsidRPr="00CD6166">
        <w:t>u</w:t>
      </w:r>
      <w:r w:rsidRPr="00CD6166">
        <w:rPr>
          <w:spacing w:val="-1"/>
        </w:rPr>
        <w:t>r</w:t>
      </w:r>
      <w:r w:rsidRPr="00CD6166">
        <w:t>i</w:t>
      </w:r>
      <w:r w:rsidRPr="00CD6166">
        <w:rPr>
          <w:spacing w:val="6"/>
        </w:rPr>
        <w:t>t</w:t>
      </w:r>
      <w:r w:rsidRPr="00CD6166">
        <w:t>y</w:t>
      </w:r>
      <w:r w:rsidRPr="00CD6166">
        <w:rPr>
          <w:spacing w:val="19"/>
        </w:rPr>
        <w:t xml:space="preserve"> </w:t>
      </w:r>
      <w:r w:rsidRPr="00CD6166">
        <w:rPr>
          <w:spacing w:val="-1"/>
        </w:rPr>
        <w:t>a</w:t>
      </w:r>
      <w:r w:rsidRPr="00CD6166">
        <w:rPr>
          <w:spacing w:val="2"/>
        </w:rPr>
        <w:t>n</w:t>
      </w:r>
      <w:r w:rsidRPr="00CD6166">
        <w:t>d</w:t>
      </w:r>
      <w:r w:rsidRPr="00CD6166">
        <w:rPr>
          <w:spacing w:val="24"/>
        </w:rPr>
        <w:t xml:space="preserve"> </w:t>
      </w:r>
      <w:r w:rsidRPr="00CD6166">
        <w:t>Eme</w:t>
      </w:r>
      <w:r w:rsidRPr="00CD6166">
        <w:rPr>
          <w:spacing w:val="-1"/>
        </w:rPr>
        <w:t>r</w:t>
      </w:r>
      <w:r w:rsidRPr="00CD6166">
        <w:t>g</w:t>
      </w:r>
      <w:r w:rsidRPr="00CD6166">
        <w:rPr>
          <w:spacing w:val="-1"/>
        </w:rPr>
        <w:t>e</w:t>
      </w:r>
      <w:r w:rsidRPr="00CD6166">
        <w:t>n</w:t>
      </w:r>
      <w:r w:rsidRPr="00CD6166">
        <w:rPr>
          <w:spacing w:val="4"/>
        </w:rPr>
        <w:t>c</w:t>
      </w:r>
      <w:r w:rsidRPr="00CD6166">
        <w:t>y</w:t>
      </w:r>
      <w:r w:rsidRPr="00CD6166">
        <w:rPr>
          <w:spacing w:val="19"/>
        </w:rPr>
        <w:t xml:space="preserve"> </w:t>
      </w:r>
      <w:r w:rsidRPr="00CD6166">
        <w:t>Assistan</w:t>
      </w:r>
      <w:r w:rsidRPr="00CD6166">
        <w:rPr>
          <w:spacing w:val="1"/>
        </w:rPr>
        <w:t>c</w:t>
      </w:r>
      <w:r w:rsidRPr="00CD6166">
        <w:t xml:space="preserve">e </w:t>
      </w:r>
      <w:r w:rsidRPr="00CD6166">
        <w:rPr>
          <w:spacing w:val="-1"/>
        </w:rPr>
        <w:t>a</w:t>
      </w:r>
      <w:r w:rsidRPr="00CD6166">
        <w:t>nd</w:t>
      </w:r>
      <w:r w:rsidRPr="00CD6166">
        <w:rPr>
          <w:spacing w:val="5"/>
        </w:rPr>
        <w:t xml:space="preserve"> </w:t>
      </w:r>
      <w:r w:rsidRPr="00CD6166">
        <w:t>Disast</w:t>
      </w:r>
      <w:r w:rsidRPr="00CD6166">
        <w:rPr>
          <w:spacing w:val="-1"/>
        </w:rPr>
        <w:t>e</w:t>
      </w:r>
      <w:r w:rsidRPr="00CD6166">
        <w:t>r</w:t>
      </w:r>
      <w:r w:rsidRPr="00CD6166">
        <w:rPr>
          <w:spacing w:val="4"/>
        </w:rPr>
        <w:t xml:space="preserve"> </w:t>
      </w:r>
      <w:r w:rsidRPr="00CD6166">
        <w:rPr>
          <w:spacing w:val="2"/>
        </w:rPr>
        <w:t>A</w:t>
      </w:r>
      <w:r w:rsidRPr="00CD6166">
        <w:rPr>
          <w:spacing w:val="-1"/>
        </w:rPr>
        <w:t>c</w:t>
      </w:r>
      <w:r w:rsidRPr="00CD6166">
        <w:t>t,</w:t>
      </w:r>
      <w:r w:rsidRPr="00CD6166">
        <w:rPr>
          <w:spacing w:val="5"/>
        </w:rPr>
        <w:t xml:space="preserve"> </w:t>
      </w:r>
      <w:r w:rsidRPr="00CD6166">
        <w:t>R.</w:t>
      </w:r>
      <w:r w:rsidRPr="00CD6166">
        <w:rPr>
          <w:spacing w:val="1"/>
        </w:rPr>
        <w:t>S</w:t>
      </w:r>
      <w:r w:rsidRPr="00CD6166">
        <w:t>.</w:t>
      </w:r>
      <w:r w:rsidRPr="00CD6166">
        <w:rPr>
          <w:spacing w:val="5"/>
        </w:rPr>
        <w:t xml:space="preserve"> </w:t>
      </w:r>
      <w:r w:rsidRPr="00CD6166">
        <w:t>29:721,</w:t>
      </w:r>
      <w:r w:rsidRPr="00CD6166">
        <w:rPr>
          <w:spacing w:val="8"/>
        </w:rPr>
        <w:t xml:space="preserve"> </w:t>
      </w:r>
      <w:r w:rsidRPr="00CD6166">
        <w:rPr>
          <w:i/>
          <w:spacing w:val="-1"/>
        </w:rPr>
        <w:t>e</w:t>
      </w:r>
      <w:r w:rsidRPr="00CD6166">
        <w:rPr>
          <w:i/>
        </w:rPr>
        <w:t>t</w:t>
      </w:r>
      <w:r w:rsidRPr="00CD6166">
        <w:rPr>
          <w:i/>
          <w:spacing w:val="5"/>
        </w:rPr>
        <w:t xml:space="preserve"> </w:t>
      </w:r>
      <w:r w:rsidRPr="00CD6166">
        <w:rPr>
          <w:i/>
        </w:rPr>
        <w:t>s</w:t>
      </w:r>
      <w:r w:rsidRPr="00CD6166">
        <w:rPr>
          <w:i/>
          <w:spacing w:val="-1"/>
        </w:rPr>
        <w:t>e</w:t>
      </w:r>
      <w:r w:rsidRPr="00CD6166">
        <w:rPr>
          <w:i/>
        </w:rPr>
        <w:t>q.</w:t>
      </w:r>
      <w:r w:rsidRPr="00CD6166">
        <w:t>,</w:t>
      </w:r>
      <w:r w:rsidRPr="00CD6166">
        <w:rPr>
          <w:spacing w:val="5"/>
        </w:rPr>
        <w:t xml:space="preserve"> </w:t>
      </w:r>
      <w:r w:rsidRPr="00CD6166">
        <w:t>a</w:t>
      </w:r>
      <w:r w:rsidRPr="00CD6166">
        <w:rPr>
          <w:spacing w:val="4"/>
        </w:rPr>
        <w:t xml:space="preserve"> </w:t>
      </w:r>
      <w:r w:rsidRPr="00CD6166">
        <w:t>state</w:t>
      </w:r>
      <w:r w:rsidRPr="00CD6166">
        <w:rPr>
          <w:spacing w:val="6"/>
        </w:rPr>
        <w:t xml:space="preserve"> </w:t>
      </w:r>
      <w:r w:rsidRPr="00CD6166">
        <w:t>of</w:t>
      </w:r>
      <w:r w:rsidRPr="00CD6166">
        <w:rPr>
          <w:spacing w:val="4"/>
        </w:rPr>
        <w:t xml:space="preserve"> </w:t>
      </w:r>
      <w:r w:rsidRPr="00CD6166">
        <w:rPr>
          <w:spacing w:val="-1"/>
        </w:rPr>
        <w:t>e</w:t>
      </w:r>
      <w:r w:rsidRPr="00CD6166">
        <w:t>me</w:t>
      </w:r>
      <w:r w:rsidRPr="00CD6166">
        <w:rPr>
          <w:spacing w:val="1"/>
        </w:rPr>
        <w:t>r</w:t>
      </w:r>
      <w:r w:rsidRPr="00CD6166">
        <w:t>g</w:t>
      </w:r>
      <w:r w:rsidRPr="00CD6166">
        <w:rPr>
          <w:spacing w:val="-1"/>
        </w:rPr>
        <w:t>e</w:t>
      </w:r>
      <w:r w:rsidRPr="00CD6166">
        <w:t>n</w:t>
      </w:r>
      <w:r w:rsidRPr="00CD6166">
        <w:rPr>
          <w:spacing w:val="4"/>
        </w:rPr>
        <w:t>c</w:t>
      </w:r>
      <w:r w:rsidRPr="00CD6166">
        <w:t>y is</w:t>
      </w:r>
      <w:r w:rsidRPr="00CD6166">
        <w:rPr>
          <w:spacing w:val="5"/>
        </w:rPr>
        <w:t xml:space="preserve"> </w:t>
      </w:r>
      <w:r w:rsidRPr="00CD6166">
        <w:t>h</w:t>
      </w:r>
      <w:r w:rsidRPr="00CD6166">
        <w:rPr>
          <w:spacing w:val="-1"/>
        </w:rPr>
        <w:t>e</w:t>
      </w:r>
      <w:r w:rsidRPr="00CD6166">
        <w:rPr>
          <w:spacing w:val="1"/>
        </w:rPr>
        <w:t>r</w:t>
      </w:r>
      <w:r w:rsidRPr="00CD6166">
        <w:rPr>
          <w:spacing w:val="-1"/>
        </w:rPr>
        <w:t>e</w:t>
      </w:r>
      <w:r w:rsidRPr="00CD6166">
        <w:rPr>
          <w:spacing w:val="5"/>
        </w:rPr>
        <w:t>b</w:t>
      </w:r>
      <w:r w:rsidRPr="00CD6166">
        <w:t>y d</w:t>
      </w:r>
      <w:r w:rsidRPr="00CD6166">
        <w:rPr>
          <w:spacing w:val="-1"/>
        </w:rPr>
        <w:t>ec</w:t>
      </w:r>
      <w:r w:rsidRPr="00CD6166">
        <w:t>la</w:t>
      </w:r>
      <w:r w:rsidRPr="00CD6166">
        <w:rPr>
          <w:spacing w:val="1"/>
        </w:rPr>
        <w:t>r</w:t>
      </w:r>
      <w:r w:rsidRPr="00CD6166">
        <w:rPr>
          <w:spacing w:val="-1"/>
        </w:rPr>
        <w:t>e</w:t>
      </w:r>
      <w:r w:rsidRPr="00CD6166">
        <w:t>d</w:t>
      </w:r>
      <w:r w:rsidRPr="00CD6166">
        <w:rPr>
          <w:spacing w:val="5"/>
        </w:rPr>
        <w:t xml:space="preserve"> </w:t>
      </w:r>
      <w:r w:rsidRPr="00CD6166">
        <w:t>to</w:t>
      </w:r>
      <w:r w:rsidRPr="00CD6166">
        <w:rPr>
          <w:spacing w:val="5"/>
        </w:rPr>
        <w:t xml:space="preserve"> continue to </w:t>
      </w:r>
      <w:r w:rsidRPr="00CD6166">
        <w:rPr>
          <w:spacing w:val="-1"/>
        </w:rPr>
        <w:t>e</w:t>
      </w:r>
      <w:r w:rsidRPr="00CD6166">
        <w:rPr>
          <w:spacing w:val="2"/>
        </w:rPr>
        <w:t>xi</w:t>
      </w:r>
      <w:r w:rsidRPr="00CD6166">
        <w:t>st</w:t>
      </w:r>
      <w:r w:rsidRPr="00CD6166">
        <w:rPr>
          <w:spacing w:val="6"/>
        </w:rPr>
        <w:t xml:space="preserve"> statewide in the State of Louisiana</w:t>
      </w:r>
      <w:r w:rsidRPr="00CD6166">
        <w:rPr>
          <w:spacing w:val="4"/>
        </w:rPr>
        <w:t xml:space="preserve"> </w:t>
      </w:r>
      <w:r w:rsidRPr="00CD6166">
        <w:rPr>
          <w:spacing w:val="-1"/>
        </w:rPr>
        <w:t>a</w:t>
      </w:r>
      <w:r w:rsidRPr="00CD6166">
        <w:t>s</w:t>
      </w:r>
      <w:r w:rsidRPr="00CD6166">
        <w:rPr>
          <w:spacing w:val="5"/>
        </w:rPr>
        <w:t xml:space="preserve"> </w:t>
      </w:r>
      <w:r w:rsidRPr="00CD6166">
        <w:t>a</w:t>
      </w:r>
      <w:r w:rsidRPr="00CD6166">
        <w:rPr>
          <w:spacing w:val="6"/>
        </w:rPr>
        <w:t xml:space="preserve"> </w:t>
      </w:r>
      <w:r w:rsidRPr="00CD6166">
        <w:t>r</w:t>
      </w:r>
      <w:r w:rsidRPr="00CD6166">
        <w:rPr>
          <w:spacing w:val="-2"/>
        </w:rPr>
        <w:t>e</w:t>
      </w:r>
      <w:r w:rsidRPr="00CD6166">
        <w:t>sult</w:t>
      </w:r>
      <w:r w:rsidRPr="00CD6166">
        <w:rPr>
          <w:spacing w:val="6"/>
        </w:rPr>
        <w:t xml:space="preserve"> </w:t>
      </w:r>
      <w:r w:rsidRPr="00CD6166">
        <w:t>of</w:t>
      </w:r>
      <w:r w:rsidRPr="00CD6166">
        <w:rPr>
          <w:spacing w:val="4"/>
        </w:rPr>
        <w:t xml:space="preserve"> the imminent threat to </w:t>
      </w:r>
      <w:r w:rsidRPr="00CD6166">
        <w:t>the</w:t>
      </w:r>
      <w:r w:rsidRPr="00CD6166">
        <w:rPr>
          <w:spacing w:val="-1"/>
        </w:rPr>
        <w:t xml:space="preserve"> c</w:t>
      </w:r>
      <w:r w:rsidRPr="00CD6166">
        <w:rPr>
          <w:spacing w:val="3"/>
        </w:rPr>
        <w:t>i</w:t>
      </w:r>
      <w:r w:rsidRPr="00CD6166">
        <w:t>t</w:t>
      </w:r>
      <w:r w:rsidRPr="00CD6166">
        <w:rPr>
          <w:spacing w:val="1"/>
        </w:rPr>
        <w:t>iz</w:t>
      </w:r>
      <w:r w:rsidRPr="00CD6166">
        <w:rPr>
          <w:spacing w:val="-1"/>
        </w:rPr>
        <w:t>e</w:t>
      </w:r>
      <w:r w:rsidRPr="00CD6166">
        <w:t>ns of the</w:t>
      </w:r>
      <w:r w:rsidRPr="00CD6166">
        <w:rPr>
          <w:spacing w:val="-1"/>
        </w:rPr>
        <w:t xml:space="preserve"> </w:t>
      </w:r>
      <w:r w:rsidRPr="00CD6166">
        <w:rPr>
          <w:spacing w:val="1"/>
        </w:rPr>
        <w:t>S</w:t>
      </w:r>
      <w:r w:rsidRPr="00CD6166">
        <w:t>tat</w:t>
      </w:r>
      <w:r w:rsidRPr="00CD6166">
        <w:rPr>
          <w:spacing w:val="-1"/>
        </w:rPr>
        <w:t>e</w:t>
      </w:r>
      <w:r w:rsidRPr="00CD6166">
        <w:t>.</w:t>
      </w:r>
    </w:p>
    <w:p w14:paraId="4F2E884A" w14:textId="77777777" w:rsidR="00943207" w:rsidRPr="00CD6166" w:rsidRDefault="00943207" w:rsidP="00A4277A">
      <w:pPr>
        <w:pStyle w:val="1"/>
      </w:pPr>
      <w:r w:rsidRPr="00CD6166">
        <w:t>Section 2:</w:t>
      </w:r>
      <w:r w:rsidRPr="00CD6166">
        <w:tab/>
        <w:t xml:space="preserve">The Director of the Governor’s Office of Homeland </w:t>
      </w:r>
      <w:r w:rsidRPr="00A4277A">
        <w:rPr>
          <w:spacing w:val="19"/>
        </w:rPr>
        <w:t>Security</w:t>
      </w:r>
      <w:r w:rsidRPr="00CD6166">
        <w:t xml:space="preserve"> and Emergency Preparedness (GOHSEP) is hereby authorized to continue to undertake any activity authorized by law that he deems appropriate in response to this declaration.</w:t>
      </w:r>
    </w:p>
    <w:p w14:paraId="472F605D" w14:textId="77777777" w:rsidR="00943207" w:rsidRPr="00CD6166" w:rsidRDefault="00943207" w:rsidP="00A4277A">
      <w:pPr>
        <w:pStyle w:val="1"/>
        <w:rPr>
          <w:bCs/>
          <w:spacing w:val="1"/>
        </w:rPr>
      </w:pPr>
      <w:r w:rsidRPr="00CD6166">
        <w:t>Section 3:</w:t>
      </w:r>
      <w:r w:rsidRPr="00CD6166">
        <w:tab/>
        <w:t xml:space="preserve">Pursuant to R.S. 29:732, during a declared state of emergency, the prices charged or value received for goods and services sold within the designated emergency area may </w:t>
      </w:r>
      <w:r w:rsidRPr="00A4277A">
        <w:rPr>
          <w:spacing w:val="19"/>
        </w:rPr>
        <w:t>not</w:t>
      </w:r>
      <w:r w:rsidRPr="00CD6166">
        <w:t xml:space="preserve"> exceed the prices ordinarily charged for comparable goods and services in the same market area at or immediately before the time of the state of emergency, unless the price by the seller is attributable to fluctuations in applicable commodity markets, fluctuations in applicable regional or national market trends, or to reasonable expenses and charges and attendant business risk incurred in procuring or selling the goods or services during the state of emergency.</w:t>
      </w:r>
    </w:p>
    <w:p w14:paraId="7F90B5AF" w14:textId="77777777" w:rsidR="00943207" w:rsidRPr="00CD6166" w:rsidRDefault="00943207" w:rsidP="00A4277A">
      <w:pPr>
        <w:pStyle w:val="1"/>
      </w:pPr>
      <w:r w:rsidRPr="00D73E6A">
        <w:t>Section 4:</w:t>
      </w:r>
      <w:r w:rsidRPr="00D73E6A">
        <w:tab/>
      </w:r>
      <w:r w:rsidRPr="00CD6166">
        <w:t>All</w:t>
      </w:r>
      <w:r w:rsidRPr="00D73E6A">
        <w:t xml:space="preserve"> departments</w:t>
      </w:r>
      <w:r w:rsidRPr="00CD6166">
        <w:t>,</w:t>
      </w:r>
      <w:r w:rsidRPr="00D73E6A">
        <w:t xml:space="preserve"> c</w:t>
      </w:r>
      <w:r w:rsidRPr="00CD6166">
        <w:t>ommissions,</w:t>
      </w:r>
      <w:r w:rsidRPr="00D73E6A">
        <w:t xml:space="preserve"> </w:t>
      </w:r>
      <w:r w:rsidRPr="00CD6166">
        <w:t>bo</w:t>
      </w:r>
      <w:r w:rsidRPr="00D73E6A">
        <w:t>a</w:t>
      </w:r>
      <w:r w:rsidRPr="00CD6166">
        <w:t>rds,</w:t>
      </w:r>
      <w:r w:rsidRPr="00D73E6A">
        <w:t xml:space="preserve"> a</w:t>
      </w:r>
      <w:r w:rsidRPr="00CD6166">
        <w:t>g</w:t>
      </w:r>
      <w:r w:rsidRPr="00D73E6A">
        <w:t>e</w:t>
      </w:r>
      <w:r w:rsidRPr="00CD6166">
        <w:t>n</w:t>
      </w:r>
      <w:r w:rsidRPr="00D73E6A">
        <w:t>c</w:t>
      </w:r>
      <w:r w:rsidRPr="00CD6166">
        <w:t>ies</w:t>
      </w:r>
      <w:r w:rsidRPr="00D73E6A">
        <w:t xml:space="preserve"> a</w:t>
      </w:r>
      <w:r w:rsidRPr="00CD6166">
        <w:t>nd</w:t>
      </w:r>
      <w:r w:rsidRPr="00D73E6A">
        <w:t xml:space="preserve"> </w:t>
      </w:r>
      <w:r w:rsidRPr="00CD6166">
        <w:t>o</w:t>
      </w:r>
      <w:r w:rsidRPr="00D73E6A">
        <w:t>f</w:t>
      </w:r>
      <w:r w:rsidRPr="00CD6166">
        <w:t>fi</w:t>
      </w:r>
      <w:r w:rsidRPr="00D73E6A">
        <w:t>c</w:t>
      </w:r>
      <w:r w:rsidRPr="00CD6166">
        <w:t>ers</w:t>
      </w:r>
      <w:r w:rsidRPr="00D73E6A">
        <w:t xml:space="preserve"> </w:t>
      </w:r>
      <w:r w:rsidRPr="00CD6166">
        <w:t>of</w:t>
      </w:r>
      <w:r w:rsidRPr="00D73E6A">
        <w:t xml:space="preserve"> </w:t>
      </w:r>
      <w:r w:rsidRPr="00CD6166">
        <w:t>the</w:t>
      </w:r>
      <w:r w:rsidRPr="00D73E6A">
        <w:t xml:space="preserve"> </w:t>
      </w:r>
      <w:r w:rsidRPr="00CD6166">
        <w:t>stat</w:t>
      </w:r>
      <w:r w:rsidRPr="00D73E6A">
        <w:t>e</w:t>
      </w:r>
      <w:r w:rsidRPr="00CD6166">
        <w:t>, or</w:t>
      </w:r>
      <w:r w:rsidRPr="00D73E6A">
        <w:t xml:space="preserve"> an</w:t>
      </w:r>
      <w:r w:rsidRPr="00CD6166">
        <w:t>y politi</w:t>
      </w:r>
      <w:r w:rsidRPr="00D73E6A">
        <w:t>ca</w:t>
      </w:r>
      <w:r w:rsidRPr="00CD6166">
        <w:t>l</w:t>
      </w:r>
      <w:r w:rsidRPr="00D73E6A">
        <w:t xml:space="preserve"> </w:t>
      </w:r>
      <w:r w:rsidRPr="00CD6166">
        <w:t>subdivis</w:t>
      </w:r>
      <w:r w:rsidRPr="00D73E6A">
        <w:t>i</w:t>
      </w:r>
      <w:r w:rsidRPr="00CD6166">
        <w:t>on</w:t>
      </w:r>
      <w:r w:rsidRPr="00CD6166">
        <w:rPr>
          <w:spacing w:val="5"/>
        </w:rPr>
        <w:t xml:space="preserve"> </w:t>
      </w:r>
      <w:r w:rsidRPr="00CD6166">
        <w:t>the</w:t>
      </w:r>
      <w:r w:rsidRPr="00CD6166">
        <w:rPr>
          <w:spacing w:val="-1"/>
        </w:rPr>
        <w:t>re</w:t>
      </w:r>
      <w:r w:rsidRPr="00CD6166">
        <w:t>o</w:t>
      </w:r>
      <w:r w:rsidRPr="00CD6166">
        <w:rPr>
          <w:spacing w:val="-1"/>
        </w:rPr>
        <w:t>f</w:t>
      </w:r>
      <w:r w:rsidRPr="00CD6166">
        <w:t>,</w:t>
      </w:r>
      <w:r w:rsidRPr="00CD6166">
        <w:rPr>
          <w:spacing w:val="5"/>
        </w:rPr>
        <w:t xml:space="preserve"> </w:t>
      </w:r>
      <w:r w:rsidRPr="00CD6166">
        <w:t>are</w:t>
      </w:r>
      <w:r w:rsidRPr="00CD6166">
        <w:rPr>
          <w:spacing w:val="2"/>
        </w:rPr>
        <w:t xml:space="preserve"> </w:t>
      </w:r>
      <w:r w:rsidRPr="00CD6166">
        <w:rPr>
          <w:spacing w:val="-1"/>
        </w:rPr>
        <w:t>a</w:t>
      </w:r>
      <w:r w:rsidRPr="00CD6166">
        <w:t>uthoriz</w:t>
      </w:r>
      <w:r w:rsidRPr="00CD6166">
        <w:rPr>
          <w:spacing w:val="-1"/>
        </w:rPr>
        <w:t>e</w:t>
      </w:r>
      <w:r w:rsidRPr="00CD6166">
        <w:t>d</w:t>
      </w:r>
      <w:r w:rsidRPr="00CD6166">
        <w:rPr>
          <w:spacing w:val="3"/>
        </w:rPr>
        <w:t xml:space="preserve"> </w:t>
      </w:r>
      <w:r w:rsidRPr="00CD6166">
        <w:rPr>
          <w:spacing w:val="-1"/>
        </w:rPr>
        <w:t>a</w:t>
      </w:r>
      <w:r w:rsidRPr="00CD6166">
        <w:t>nd</w:t>
      </w:r>
      <w:r w:rsidRPr="00CD6166">
        <w:rPr>
          <w:spacing w:val="3"/>
        </w:rPr>
        <w:t xml:space="preserve"> </w:t>
      </w:r>
      <w:r w:rsidRPr="00CD6166">
        <w:t>di</w:t>
      </w:r>
      <w:r w:rsidRPr="00CD6166">
        <w:rPr>
          <w:spacing w:val="2"/>
        </w:rPr>
        <w:t>r</w:t>
      </w:r>
      <w:r w:rsidRPr="00CD6166">
        <w:rPr>
          <w:spacing w:val="-1"/>
        </w:rPr>
        <w:t>ec</w:t>
      </w:r>
      <w:r w:rsidRPr="00CD6166">
        <w:t>ted to cooperate in actions the state may take in response to the effects of this cybersecurity event.</w:t>
      </w:r>
    </w:p>
    <w:p w14:paraId="6D96FBF9" w14:textId="77777777" w:rsidR="00943207" w:rsidRPr="00CD6166" w:rsidRDefault="00943207" w:rsidP="00A4277A">
      <w:pPr>
        <w:pStyle w:val="1"/>
      </w:pPr>
      <w:r w:rsidRPr="00CD6166">
        <w:rPr>
          <w:bCs/>
        </w:rPr>
        <w:t>Section 5:</w:t>
      </w:r>
      <w:r w:rsidRPr="00CD6166">
        <w:rPr>
          <w:bCs/>
        </w:rPr>
        <w:tab/>
      </w:r>
      <w:r w:rsidRPr="00CD6166">
        <w:t>All</w:t>
      </w:r>
      <w:r w:rsidRPr="00CD6166">
        <w:rPr>
          <w:spacing w:val="19"/>
        </w:rPr>
        <w:t xml:space="preserve"> </w:t>
      </w:r>
      <w:r w:rsidRPr="00CD6166">
        <w:t>d</w:t>
      </w:r>
      <w:r w:rsidRPr="00CD6166">
        <w:rPr>
          <w:spacing w:val="-1"/>
        </w:rPr>
        <w:t>e</w:t>
      </w:r>
      <w:r w:rsidRPr="00CD6166">
        <w:t>p</w:t>
      </w:r>
      <w:r w:rsidRPr="00CD6166">
        <w:rPr>
          <w:spacing w:val="-1"/>
        </w:rPr>
        <w:t>a</w:t>
      </w:r>
      <w:r w:rsidRPr="00CD6166">
        <w:t>rtme</w:t>
      </w:r>
      <w:r w:rsidRPr="00CD6166">
        <w:rPr>
          <w:spacing w:val="-1"/>
        </w:rPr>
        <w:t>n</w:t>
      </w:r>
      <w:r w:rsidRPr="00CD6166">
        <w:t>ts,</w:t>
      </w:r>
      <w:r w:rsidRPr="00CD6166">
        <w:rPr>
          <w:spacing w:val="20"/>
        </w:rPr>
        <w:t xml:space="preserve"> </w:t>
      </w:r>
      <w:r w:rsidRPr="00CD6166">
        <w:rPr>
          <w:spacing w:val="-1"/>
        </w:rPr>
        <w:t>c</w:t>
      </w:r>
      <w:r w:rsidRPr="00CD6166">
        <w:t>ommissions,</w:t>
      </w:r>
      <w:r w:rsidRPr="00CD6166">
        <w:rPr>
          <w:spacing w:val="20"/>
        </w:rPr>
        <w:t xml:space="preserve"> </w:t>
      </w:r>
      <w:r w:rsidRPr="00CD6166">
        <w:t>bo</w:t>
      </w:r>
      <w:r w:rsidRPr="00CD6166">
        <w:rPr>
          <w:spacing w:val="-1"/>
        </w:rPr>
        <w:t>a</w:t>
      </w:r>
      <w:r w:rsidRPr="00CD6166">
        <w:t>rds,</w:t>
      </w:r>
      <w:r w:rsidRPr="00CD6166">
        <w:rPr>
          <w:spacing w:val="18"/>
        </w:rPr>
        <w:t xml:space="preserve"> </w:t>
      </w:r>
      <w:r w:rsidRPr="00CD6166">
        <w:rPr>
          <w:spacing w:val="-1"/>
        </w:rPr>
        <w:t>a</w:t>
      </w:r>
      <w:r w:rsidRPr="00CD6166">
        <w:t>g</w:t>
      </w:r>
      <w:r w:rsidRPr="00CD6166">
        <w:rPr>
          <w:spacing w:val="-1"/>
        </w:rPr>
        <w:t>e</w:t>
      </w:r>
      <w:r w:rsidRPr="00CD6166">
        <w:t>n</w:t>
      </w:r>
      <w:r w:rsidRPr="00CD6166">
        <w:rPr>
          <w:spacing w:val="-1"/>
        </w:rPr>
        <w:t>c</w:t>
      </w:r>
      <w:r w:rsidRPr="00CD6166">
        <w:t>ies</w:t>
      </w:r>
      <w:r w:rsidRPr="00CD6166">
        <w:rPr>
          <w:spacing w:val="21"/>
        </w:rPr>
        <w:t xml:space="preserve"> </w:t>
      </w:r>
      <w:r w:rsidRPr="00CD6166">
        <w:rPr>
          <w:spacing w:val="-1"/>
        </w:rPr>
        <w:t>a</w:t>
      </w:r>
      <w:r w:rsidRPr="00CD6166">
        <w:t>nd</w:t>
      </w:r>
      <w:r w:rsidRPr="00CD6166">
        <w:rPr>
          <w:spacing w:val="19"/>
        </w:rPr>
        <w:t xml:space="preserve"> </w:t>
      </w:r>
      <w:r w:rsidRPr="00CD6166">
        <w:t>o</w:t>
      </w:r>
      <w:r w:rsidRPr="00CD6166">
        <w:rPr>
          <w:spacing w:val="-1"/>
        </w:rPr>
        <w:t>f</w:t>
      </w:r>
      <w:r w:rsidRPr="00CD6166">
        <w:t>fi</w:t>
      </w:r>
      <w:r w:rsidRPr="00CD6166">
        <w:rPr>
          <w:spacing w:val="-1"/>
        </w:rPr>
        <w:t>c</w:t>
      </w:r>
      <w:r w:rsidRPr="00CD6166">
        <w:t>ers</w:t>
      </w:r>
      <w:r w:rsidRPr="00CD6166">
        <w:rPr>
          <w:spacing w:val="18"/>
        </w:rPr>
        <w:t xml:space="preserve"> </w:t>
      </w:r>
      <w:r w:rsidRPr="00CD6166">
        <w:t>of</w:t>
      </w:r>
      <w:r w:rsidRPr="00CD6166">
        <w:rPr>
          <w:spacing w:val="18"/>
        </w:rPr>
        <w:t xml:space="preserve"> </w:t>
      </w:r>
      <w:r w:rsidRPr="00CD6166">
        <w:t>the</w:t>
      </w:r>
      <w:r w:rsidRPr="00CD6166">
        <w:rPr>
          <w:spacing w:val="18"/>
        </w:rPr>
        <w:t xml:space="preserve"> </w:t>
      </w:r>
      <w:r w:rsidRPr="00CD6166">
        <w:t>stat</w:t>
      </w:r>
      <w:r w:rsidRPr="00CD6166">
        <w:rPr>
          <w:spacing w:val="-1"/>
        </w:rPr>
        <w:t>e</w:t>
      </w:r>
      <w:r w:rsidRPr="00CD6166">
        <w:t>, or</w:t>
      </w:r>
      <w:r w:rsidRPr="00CD6166">
        <w:rPr>
          <w:spacing w:val="4"/>
        </w:rPr>
        <w:t xml:space="preserve"> </w:t>
      </w:r>
      <w:r w:rsidRPr="00CD6166">
        <w:rPr>
          <w:spacing w:val="-1"/>
        </w:rPr>
        <w:t>a</w:t>
      </w:r>
      <w:r w:rsidRPr="00CD6166">
        <w:rPr>
          <w:spacing w:val="2"/>
        </w:rPr>
        <w:t>n</w:t>
      </w:r>
      <w:r w:rsidRPr="00CD6166">
        <w:t xml:space="preserve">y </w:t>
      </w:r>
      <w:r w:rsidRPr="00CD6166">
        <w:rPr>
          <w:spacing w:val="5"/>
        </w:rPr>
        <w:t xml:space="preserve">political </w:t>
      </w:r>
      <w:r w:rsidRPr="00CD6166">
        <w:t>subdivis</w:t>
      </w:r>
      <w:r w:rsidRPr="00CD6166">
        <w:rPr>
          <w:spacing w:val="-1"/>
        </w:rPr>
        <w:t>i</w:t>
      </w:r>
      <w:r w:rsidRPr="00CD6166">
        <w:t>on</w:t>
      </w:r>
      <w:r w:rsidRPr="00CD6166">
        <w:rPr>
          <w:spacing w:val="5"/>
        </w:rPr>
        <w:t xml:space="preserve"> </w:t>
      </w:r>
      <w:r w:rsidRPr="00CD6166">
        <w:t>the</w:t>
      </w:r>
      <w:r w:rsidRPr="00CD6166">
        <w:rPr>
          <w:spacing w:val="-1"/>
        </w:rPr>
        <w:t>re</w:t>
      </w:r>
      <w:r w:rsidRPr="00CD6166">
        <w:t>o</w:t>
      </w:r>
      <w:r w:rsidRPr="00CD6166">
        <w:rPr>
          <w:spacing w:val="-1"/>
        </w:rPr>
        <w:t>f</w:t>
      </w:r>
      <w:r w:rsidRPr="00CD6166">
        <w:t>,</w:t>
      </w:r>
      <w:r w:rsidRPr="00CD6166">
        <w:rPr>
          <w:spacing w:val="5"/>
        </w:rPr>
        <w:t xml:space="preserve"> </w:t>
      </w:r>
      <w:r w:rsidRPr="00CD6166">
        <w:t>are</w:t>
      </w:r>
      <w:r w:rsidRPr="00CD6166">
        <w:rPr>
          <w:spacing w:val="2"/>
        </w:rPr>
        <w:t xml:space="preserve"> further </w:t>
      </w:r>
      <w:r w:rsidRPr="00CD6166">
        <w:rPr>
          <w:spacing w:val="-1"/>
        </w:rPr>
        <w:t>a</w:t>
      </w:r>
      <w:r w:rsidRPr="00CD6166">
        <w:t>uthoriz</w:t>
      </w:r>
      <w:r w:rsidRPr="00CD6166">
        <w:rPr>
          <w:spacing w:val="-1"/>
        </w:rPr>
        <w:t>e</w:t>
      </w:r>
      <w:r w:rsidRPr="00CD6166">
        <w:t>d</w:t>
      </w:r>
      <w:r w:rsidRPr="00CD6166">
        <w:rPr>
          <w:spacing w:val="3"/>
        </w:rPr>
        <w:t xml:space="preserve"> </w:t>
      </w:r>
      <w:r w:rsidRPr="00CD6166">
        <w:rPr>
          <w:spacing w:val="-1"/>
        </w:rPr>
        <w:t>a</w:t>
      </w:r>
      <w:r w:rsidRPr="00CD6166">
        <w:t>nd</w:t>
      </w:r>
      <w:r w:rsidRPr="00CD6166">
        <w:rPr>
          <w:spacing w:val="3"/>
        </w:rPr>
        <w:t xml:space="preserve"> </w:t>
      </w:r>
      <w:r w:rsidRPr="00CD6166">
        <w:t>di</w:t>
      </w:r>
      <w:r w:rsidRPr="00CD6166">
        <w:rPr>
          <w:spacing w:val="2"/>
        </w:rPr>
        <w:t>r</w:t>
      </w:r>
      <w:r w:rsidRPr="00CD6166">
        <w:rPr>
          <w:spacing w:val="-1"/>
        </w:rPr>
        <w:t>ec</w:t>
      </w:r>
      <w:r w:rsidRPr="00CD6166">
        <w:t xml:space="preserve">ted to take all actions necessary to preserve the security and confidentiality of any </w:t>
      </w:r>
      <w:r w:rsidRPr="00A4277A">
        <w:rPr>
          <w:spacing w:val="19"/>
        </w:rPr>
        <w:t>data</w:t>
      </w:r>
      <w:r w:rsidRPr="00CD6166">
        <w:t xml:space="preserve"> related to this emergency, including the execution of Memoranda of Understanding (MOUs), Non-Disclosure Agreements (NDAs), and/or any other related documents.</w:t>
      </w:r>
    </w:p>
    <w:p w14:paraId="544D73F8" w14:textId="77777777" w:rsidR="00943207" w:rsidRPr="00CD6166" w:rsidRDefault="00943207" w:rsidP="00A4277A">
      <w:pPr>
        <w:pStyle w:val="1"/>
        <w:rPr>
          <w:spacing w:val="1"/>
        </w:rPr>
      </w:pPr>
      <w:r w:rsidRPr="00CD6166">
        <w:rPr>
          <w:bCs/>
          <w:spacing w:val="1"/>
        </w:rPr>
        <w:t>S</w:t>
      </w:r>
      <w:r w:rsidRPr="00CD6166">
        <w:rPr>
          <w:bCs/>
        </w:rPr>
        <w:t>ecti</w:t>
      </w:r>
      <w:r w:rsidRPr="00CD6166">
        <w:rPr>
          <w:bCs/>
          <w:spacing w:val="1"/>
        </w:rPr>
        <w:t>o</w:t>
      </w:r>
      <w:r w:rsidRPr="00CD6166">
        <w:rPr>
          <w:bCs/>
        </w:rPr>
        <w:t>n 6:</w:t>
      </w:r>
      <w:r w:rsidRPr="00CD6166">
        <w:rPr>
          <w:bCs/>
        </w:rPr>
        <w:tab/>
        <w:t xml:space="preserve">Any </w:t>
      </w:r>
      <w:r w:rsidRPr="00CD6166">
        <w:t>d</w:t>
      </w:r>
      <w:r w:rsidRPr="00CD6166">
        <w:rPr>
          <w:spacing w:val="-1"/>
        </w:rPr>
        <w:t>e</w:t>
      </w:r>
      <w:r w:rsidRPr="00CD6166">
        <w:t>p</w:t>
      </w:r>
      <w:r w:rsidRPr="00CD6166">
        <w:rPr>
          <w:spacing w:val="-1"/>
        </w:rPr>
        <w:t>a</w:t>
      </w:r>
      <w:r w:rsidRPr="00CD6166">
        <w:t>rtme</w:t>
      </w:r>
      <w:r w:rsidRPr="00CD6166">
        <w:rPr>
          <w:spacing w:val="-1"/>
        </w:rPr>
        <w:t>n</w:t>
      </w:r>
      <w:r w:rsidRPr="00CD6166">
        <w:t>ts,</w:t>
      </w:r>
      <w:r w:rsidRPr="00CD6166">
        <w:rPr>
          <w:spacing w:val="20"/>
        </w:rPr>
        <w:t xml:space="preserve"> </w:t>
      </w:r>
      <w:r w:rsidRPr="00CD6166">
        <w:rPr>
          <w:spacing w:val="-1"/>
        </w:rPr>
        <w:t>c</w:t>
      </w:r>
      <w:r w:rsidRPr="00CD6166">
        <w:t>om</w:t>
      </w:r>
      <w:r w:rsidRPr="00CD6166">
        <w:rPr>
          <w:spacing w:val="1"/>
        </w:rPr>
        <w:t>m</w:t>
      </w:r>
      <w:r w:rsidRPr="00CD6166">
        <w:t>is</w:t>
      </w:r>
      <w:r w:rsidRPr="00CD6166">
        <w:rPr>
          <w:spacing w:val="1"/>
        </w:rPr>
        <w:t>s</w:t>
      </w:r>
      <w:r w:rsidRPr="00CD6166">
        <w:t>ions,</w:t>
      </w:r>
      <w:r w:rsidRPr="00CD6166">
        <w:rPr>
          <w:spacing w:val="20"/>
        </w:rPr>
        <w:t xml:space="preserve"> </w:t>
      </w:r>
      <w:r w:rsidRPr="00CD6166">
        <w:t>bo</w:t>
      </w:r>
      <w:r w:rsidRPr="00CD6166">
        <w:rPr>
          <w:spacing w:val="-1"/>
        </w:rPr>
        <w:t>a</w:t>
      </w:r>
      <w:r w:rsidRPr="00CD6166">
        <w:t>rds,</w:t>
      </w:r>
      <w:r w:rsidRPr="00CD6166">
        <w:rPr>
          <w:spacing w:val="18"/>
        </w:rPr>
        <w:t xml:space="preserve"> </w:t>
      </w:r>
      <w:r w:rsidRPr="00CD6166">
        <w:rPr>
          <w:spacing w:val="-1"/>
        </w:rPr>
        <w:t>a</w:t>
      </w:r>
      <w:r w:rsidRPr="00CD6166">
        <w:t>g</w:t>
      </w:r>
      <w:r w:rsidRPr="00CD6166">
        <w:rPr>
          <w:spacing w:val="-1"/>
        </w:rPr>
        <w:t>e</w:t>
      </w:r>
      <w:r w:rsidRPr="00CD6166">
        <w:t>n</w:t>
      </w:r>
      <w:r w:rsidRPr="00CD6166">
        <w:rPr>
          <w:spacing w:val="-1"/>
        </w:rPr>
        <w:t>c</w:t>
      </w:r>
      <w:r w:rsidRPr="00CD6166">
        <w:t>ies</w:t>
      </w:r>
      <w:r w:rsidRPr="00CD6166">
        <w:rPr>
          <w:spacing w:val="21"/>
        </w:rPr>
        <w:t xml:space="preserve"> </w:t>
      </w:r>
      <w:r w:rsidRPr="00CD6166">
        <w:rPr>
          <w:spacing w:val="-1"/>
        </w:rPr>
        <w:t>a</w:t>
      </w:r>
      <w:r w:rsidRPr="00CD6166">
        <w:t>nd</w:t>
      </w:r>
      <w:r w:rsidRPr="00CD6166">
        <w:rPr>
          <w:spacing w:val="19"/>
        </w:rPr>
        <w:t xml:space="preserve"> </w:t>
      </w:r>
      <w:r w:rsidRPr="00CD6166">
        <w:t>o</w:t>
      </w:r>
      <w:r w:rsidRPr="00CD6166">
        <w:rPr>
          <w:spacing w:val="-1"/>
        </w:rPr>
        <w:t>f</w:t>
      </w:r>
      <w:r w:rsidRPr="00CD6166">
        <w:t>fi</w:t>
      </w:r>
      <w:r w:rsidRPr="00CD6166">
        <w:rPr>
          <w:spacing w:val="-1"/>
        </w:rPr>
        <w:t>c</w:t>
      </w:r>
      <w:r w:rsidRPr="00CD6166">
        <w:rPr>
          <w:spacing w:val="1"/>
        </w:rPr>
        <w:t>e</w:t>
      </w:r>
      <w:r w:rsidRPr="00CD6166">
        <w:t>rs</w:t>
      </w:r>
      <w:r w:rsidRPr="00CD6166">
        <w:rPr>
          <w:spacing w:val="18"/>
        </w:rPr>
        <w:t xml:space="preserve"> </w:t>
      </w:r>
      <w:r w:rsidRPr="00CD6166">
        <w:t>of</w:t>
      </w:r>
      <w:r w:rsidRPr="00CD6166">
        <w:rPr>
          <w:spacing w:val="18"/>
        </w:rPr>
        <w:t xml:space="preserve"> </w:t>
      </w:r>
      <w:r w:rsidRPr="00CD6166">
        <w:t>the</w:t>
      </w:r>
      <w:r w:rsidRPr="00CD6166">
        <w:rPr>
          <w:spacing w:val="18"/>
        </w:rPr>
        <w:t xml:space="preserve"> s</w:t>
      </w:r>
      <w:r w:rsidRPr="00CD6166">
        <w:t>tat</w:t>
      </w:r>
      <w:r w:rsidRPr="00CD6166">
        <w:rPr>
          <w:spacing w:val="-1"/>
        </w:rPr>
        <w:t>e</w:t>
      </w:r>
      <w:r w:rsidRPr="00CD6166">
        <w:t>, or</w:t>
      </w:r>
      <w:r w:rsidRPr="00CD6166">
        <w:rPr>
          <w:spacing w:val="4"/>
        </w:rPr>
        <w:t xml:space="preserve"> </w:t>
      </w:r>
      <w:r w:rsidRPr="00CD6166">
        <w:rPr>
          <w:spacing w:val="-1"/>
        </w:rPr>
        <w:t>a</w:t>
      </w:r>
      <w:r w:rsidRPr="00CD6166">
        <w:rPr>
          <w:spacing w:val="2"/>
        </w:rPr>
        <w:t>n</w:t>
      </w:r>
      <w:r w:rsidRPr="00CD6166">
        <w:t>y pol</w:t>
      </w:r>
      <w:r w:rsidRPr="00CD6166">
        <w:rPr>
          <w:spacing w:val="1"/>
        </w:rPr>
        <w:t>i</w:t>
      </w:r>
      <w:r w:rsidRPr="00CD6166">
        <w:t>t</w:t>
      </w:r>
      <w:r w:rsidRPr="00CD6166">
        <w:rPr>
          <w:spacing w:val="1"/>
        </w:rPr>
        <w:t>i</w:t>
      </w:r>
      <w:r w:rsidRPr="00CD6166">
        <w:rPr>
          <w:spacing w:val="-1"/>
        </w:rPr>
        <w:t>ca</w:t>
      </w:r>
      <w:r w:rsidRPr="00CD6166">
        <w:t>l</w:t>
      </w:r>
      <w:r w:rsidRPr="00CD6166">
        <w:rPr>
          <w:spacing w:val="5"/>
        </w:rPr>
        <w:t xml:space="preserve"> </w:t>
      </w:r>
      <w:r w:rsidRPr="00CD6166">
        <w:t>subdivis</w:t>
      </w:r>
      <w:r w:rsidRPr="00CD6166">
        <w:rPr>
          <w:spacing w:val="-1"/>
        </w:rPr>
        <w:t>i</w:t>
      </w:r>
      <w:r w:rsidRPr="00CD6166">
        <w:t>on</w:t>
      </w:r>
      <w:r w:rsidRPr="00CD6166">
        <w:rPr>
          <w:spacing w:val="5"/>
        </w:rPr>
        <w:t xml:space="preserve"> </w:t>
      </w:r>
      <w:r w:rsidRPr="00CD6166">
        <w:t>the</w:t>
      </w:r>
      <w:r w:rsidRPr="00CD6166">
        <w:rPr>
          <w:spacing w:val="-1"/>
        </w:rPr>
        <w:t>re</w:t>
      </w:r>
      <w:r w:rsidRPr="00CD6166">
        <w:t>o</w:t>
      </w:r>
      <w:r w:rsidRPr="00CD6166">
        <w:rPr>
          <w:spacing w:val="-1"/>
        </w:rPr>
        <w:t>f,</w:t>
      </w:r>
      <w:r w:rsidRPr="00CD6166">
        <w:t xml:space="preserve"> </w:t>
      </w:r>
      <w:r w:rsidRPr="00A4277A">
        <w:rPr>
          <w:spacing w:val="19"/>
        </w:rPr>
        <w:t>that</w:t>
      </w:r>
      <w:r w:rsidRPr="00CD6166">
        <w:t xml:space="preserve"> may be affected by this cybersecurity emergency are directed to work with state officials to ensure there is a coordinated response to this event and are further directed to comply with the requirements of the Database Security Breach Notification Law, R.S. 51:3071 </w:t>
      </w:r>
      <w:r w:rsidRPr="00CD6166">
        <w:rPr>
          <w:i/>
        </w:rPr>
        <w:t>et seq</w:t>
      </w:r>
      <w:r w:rsidRPr="00CD6166">
        <w:t>.</w:t>
      </w:r>
    </w:p>
    <w:p w14:paraId="3A66DC51" w14:textId="77777777" w:rsidR="00943207" w:rsidRPr="00CD6166" w:rsidRDefault="00943207" w:rsidP="00A4277A">
      <w:pPr>
        <w:pStyle w:val="1"/>
      </w:pPr>
      <w:r w:rsidRPr="00CD6166">
        <w:t>Section 7:</w:t>
      </w:r>
      <w:r w:rsidRPr="00CD6166">
        <w:tab/>
        <w:t xml:space="preserve">Pursuant to R.S. 29:724(D)(1), the Louisiana Procurement Code (R.S. 39:1551 </w:t>
      </w:r>
      <w:r w:rsidRPr="00CD6166">
        <w:rPr>
          <w:i/>
        </w:rPr>
        <w:t>et seq</w:t>
      </w:r>
      <w:r w:rsidRPr="00CD6166">
        <w:t xml:space="preserve">.), Louisiana Public Bid Law (R.S. 38:2211, </w:t>
      </w:r>
      <w:r w:rsidRPr="00CD6166">
        <w:rPr>
          <w:i/>
        </w:rPr>
        <w:t>et seq</w:t>
      </w:r>
      <w:r w:rsidRPr="00CD6166">
        <w:t>.), and the Louisiana Information Technology Procurement Code (R.S. 39:196-200), and their corresponding rules and regulations are hereby suspended if strict compliance therewith would in any way prevent, hinder, or delay necessary action in coping with this emergency.</w:t>
      </w:r>
    </w:p>
    <w:p w14:paraId="171EE67F" w14:textId="77777777" w:rsidR="00943207" w:rsidRPr="00CD6166" w:rsidRDefault="00943207" w:rsidP="00A4277A">
      <w:pPr>
        <w:pStyle w:val="1"/>
      </w:pPr>
      <w:r w:rsidRPr="00CD6166">
        <w:rPr>
          <w:spacing w:val="1"/>
        </w:rPr>
        <w:t>S</w:t>
      </w:r>
      <w:r w:rsidRPr="00CD6166">
        <w:t>ecti</w:t>
      </w:r>
      <w:r w:rsidRPr="00CD6166">
        <w:rPr>
          <w:spacing w:val="1"/>
        </w:rPr>
        <w:t>o</w:t>
      </w:r>
      <w:r w:rsidRPr="00CD6166">
        <w:t>n 8:</w:t>
      </w:r>
      <w:r w:rsidRPr="00CD6166">
        <w:rPr>
          <w:bCs/>
        </w:rPr>
        <w:tab/>
      </w:r>
      <w:r w:rsidRPr="00CD6166">
        <w:t>This Order is effective Friday, August 7, 2026, and shall continue in effect until Sunday, September 6, 2026, unless terminated sooner.</w:t>
      </w:r>
    </w:p>
    <w:p w14:paraId="177D4C2A" w14:textId="77777777" w:rsidR="00943207" w:rsidRDefault="00943207" w:rsidP="00A4277A">
      <w:pPr>
        <w:pStyle w:val="ExoNormal"/>
      </w:pPr>
      <w:r w:rsidRPr="00CD6166">
        <w:rPr>
          <w:bCs/>
        </w:rPr>
        <w:t xml:space="preserve">IN WITNESS WHEREOF, </w:t>
      </w:r>
      <w:r w:rsidRPr="00CD6166">
        <w:t>I have set my hand officially and caused to be affixed the Great Seal of Louisiana in the City of Baton Rouge, on this 7</w:t>
      </w:r>
      <w:r w:rsidRPr="00CD6166">
        <w:rPr>
          <w:vertAlign w:val="superscript"/>
        </w:rPr>
        <w:t>th</w:t>
      </w:r>
      <w:r w:rsidRPr="00CD6166">
        <w:t xml:space="preserve"> day of August, 2026.</w:t>
      </w:r>
    </w:p>
    <w:p w14:paraId="3CDF994F" w14:textId="77777777" w:rsidR="00943207" w:rsidRDefault="00943207" w:rsidP="00A4277A">
      <w:pPr>
        <w:pStyle w:val="RegSignature"/>
      </w:pPr>
    </w:p>
    <w:p w14:paraId="6909526C" w14:textId="77777777" w:rsidR="00943207" w:rsidRDefault="00943207" w:rsidP="00A4277A">
      <w:pPr>
        <w:pStyle w:val="RegSignature"/>
      </w:pPr>
      <w:r>
        <w:t>Jeff Landry</w:t>
      </w:r>
    </w:p>
    <w:p w14:paraId="25ABFA90" w14:textId="77777777" w:rsidR="00943207" w:rsidRDefault="00943207" w:rsidP="00A4277A">
      <w:pPr>
        <w:pStyle w:val="RegSignature"/>
      </w:pPr>
      <w:r>
        <w:t>Governor</w:t>
      </w:r>
    </w:p>
    <w:p w14:paraId="51B82D6B" w14:textId="77777777" w:rsidR="00943207" w:rsidRDefault="00943207" w:rsidP="00A4277A">
      <w:pPr>
        <w:pStyle w:val="ExoSecOfState"/>
      </w:pPr>
      <w:r>
        <w:t>ATTEST BY</w:t>
      </w:r>
    </w:p>
    <w:p w14:paraId="21B34A2C" w14:textId="77777777" w:rsidR="00943207" w:rsidRDefault="00943207" w:rsidP="00A4277A">
      <w:pPr>
        <w:pStyle w:val="ExoSecOfState"/>
      </w:pPr>
      <w:r>
        <w:t>THE GOVERNOR</w:t>
      </w:r>
    </w:p>
    <w:p w14:paraId="76314DD3" w14:textId="77777777" w:rsidR="00943207" w:rsidRDefault="00943207" w:rsidP="00A4277A">
      <w:pPr>
        <w:pStyle w:val="ExoSecOfState"/>
      </w:pPr>
      <w:r>
        <w:t>Nancy Landry</w:t>
      </w:r>
    </w:p>
    <w:p w14:paraId="5C83A1AB" w14:textId="77777777" w:rsidR="00943207" w:rsidRDefault="00943207" w:rsidP="00A4277A">
      <w:pPr>
        <w:pStyle w:val="ExoSecOfState"/>
      </w:pPr>
      <w:r>
        <w:t>Secretary of State</w:t>
      </w:r>
    </w:p>
    <w:p w14:paraId="40DE0D70" w14:textId="77777777" w:rsidR="00943207" w:rsidRPr="00CD6166" w:rsidRDefault="00943207" w:rsidP="00A4277A">
      <w:pPr>
        <w:pStyle w:val="RegLogNumber"/>
      </w:pPr>
      <w:r>
        <w:t>2608#070</w:t>
      </w:r>
    </w:p>
    <w:p w14:paraId="26E7DAF6" w14:textId="77777777" w:rsidR="00943207" w:rsidRPr="00943207" w:rsidRDefault="00943207" w:rsidP="00943207"/>
    <w:p w14:paraId="21B6663E" w14:textId="77777777" w:rsidR="00943207" w:rsidRDefault="00943207">
      <w:pPr>
        <w:sectPr w:rsidR="00943207">
          <w:type w:val="continuous"/>
          <w:pgSz w:w="12240" w:h="15840" w:code="1"/>
          <w:pgMar w:top="720" w:right="864" w:bottom="317" w:left="864" w:header="576" w:footer="432" w:gutter="0"/>
          <w:cols w:num="2" w:space="720"/>
        </w:sectPr>
      </w:pPr>
    </w:p>
    <w:p w14:paraId="74014190" w14:textId="77777777" w:rsidR="008E0186" w:rsidRDefault="008E0186">
      <w:pPr>
        <w:sectPr w:rsidR="008E0186">
          <w:type w:val="continuous"/>
          <w:pgSz w:w="12240" w:h="15840" w:code="1"/>
          <w:pgMar w:top="720" w:right="864" w:bottom="317" w:left="864" w:header="576" w:footer="432" w:gutter="0"/>
          <w:cols w:num="2" w:space="720"/>
        </w:sectPr>
      </w:pPr>
    </w:p>
    <w:p w14:paraId="464AF2CA" w14:textId="77777777" w:rsidR="00FC5566" w:rsidRPr="000C6F51" w:rsidRDefault="00FC5566" w:rsidP="00FC5566">
      <w:pPr>
        <w:pStyle w:val="RegSectionTitle"/>
      </w:pPr>
      <w:r>
        <w:lastRenderedPageBreak/>
        <w:t>Emergency Rules</w:t>
      </w:r>
    </w:p>
    <w:p w14:paraId="44510480" w14:textId="77777777" w:rsidR="00FC5566" w:rsidRPr="000C6F51" w:rsidRDefault="00FC5566" w:rsidP="00FC5566"/>
    <w:p w14:paraId="73268986" w14:textId="77777777" w:rsidR="00FC5566" w:rsidRPr="000C6F51" w:rsidRDefault="00FC5566" w:rsidP="00FC5566"/>
    <w:p w14:paraId="2876D085" w14:textId="77777777" w:rsidR="00FC5566" w:rsidRPr="000C6F51" w:rsidRDefault="00FC5566" w:rsidP="00FC5566">
      <w:pPr>
        <w:sectPr w:rsidR="00FC5566" w:rsidRPr="000C6F51" w:rsidSect="00FC5566">
          <w:footerReference w:type="even" r:id="rId11"/>
          <w:footerReference w:type="default" r:id="rId12"/>
          <w:pgSz w:w="12240" w:h="15840"/>
          <w:pgMar w:top="720" w:right="864" w:bottom="864" w:left="864" w:header="576" w:footer="432" w:gutter="0"/>
          <w:pgNumType w:start="1320"/>
          <w:cols w:space="720"/>
          <w:docGrid w:linePitch="272"/>
        </w:sectPr>
      </w:pPr>
    </w:p>
    <w:p w14:paraId="712A3516" w14:textId="77777777" w:rsidR="00FC5566" w:rsidRDefault="00FC5566" w:rsidP="00FC5566">
      <w:pPr>
        <w:pStyle w:val="RegItemFirstLine"/>
      </w:pPr>
      <w:r>
        <w:t>DECLARATION OF EMERGENCY</w:t>
      </w:r>
    </w:p>
    <w:p w14:paraId="7B4384B9" w14:textId="77777777" w:rsidR="00FC5566" w:rsidRDefault="00FC5566" w:rsidP="00FC5566">
      <w:pPr>
        <w:pStyle w:val="RegDepartment"/>
      </w:pPr>
      <w:bookmarkStart w:id="15" w:name="BreakPoint"/>
      <w:bookmarkEnd w:id="15"/>
      <w:r>
        <w:t>Department of Children and Family Services</w:t>
      </w:r>
    </w:p>
    <w:p w14:paraId="6847B799" w14:textId="77777777" w:rsidR="00FC5566" w:rsidRPr="00B9201D" w:rsidRDefault="00FC5566" w:rsidP="00FC5566">
      <w:pPr>
        <w:pStyle w:val="RegDepartment"/>
      </w:pPr>
      <w:r>
        <w:t>Office of Management and Finance</w:t>
      </w:r>
    </w:p>
    <w:p w14:paraId="225B554E" w14:textId="77777777" w:rsidR="00FC5566" w:rsidRPr="000E5ADB" w:rsidRDefault="00FC5566" w:rsidP="00FC5566">
      <w:pPr>
        <w:pStyle w:val="RegItemTitle"/>
        <w:spacing w:before="240"/>
      </w:pPr>
      <w:r w:rsidRPr="000E5ADB">
        <w:t>Criminal Background and State Central Registry Checks</w:t>
      </w:r>
      <w:r w:rsidRPr="000E5ADB">
        <w:br/>
        <w:t>(LAC 67:I.Chapter 2)</w:t>
      </w:r>
    </w:p>
    <w:p w14:paraId="24E45A51" w14:textId="77777777" w:rsidR="00FC5566" w:rsidRPr="000E5ADB" w:rsidRDefault="00FC5566" w:rsidP="00FC5566">
      <w:pPr>
        <w:pStyle w:val="A0"/>
      </w:pPr>
      <w:r w:rsidRPr="000E5ADB">
        <w:t xml:space="preserve">In accordance with the provisions of R.S. 36:474, R.S. 46:102, and through the emergency rulemaking provisions of the Administrative Procedure Act, R.S. 49:962, the Department of Children and Family Service (DCFS), Office of Management and Finance has amended LAC 67:I.Chapter 2. </w:t>
      </w:r>
      <w:bookmarkStart w:id="16" w:name="_Hlk235795687"/>
      <w:r w:rsidRPr="000E5ADB">
        <w:t>This Emergency Rule becomes effective on August 1, 2026, and shall remain in effect for a period of 180 days, or until adoption of the corresponding permanent rule, whichever occurs first.</w:t>
      </w:r>
      <w:bookmarkEnd w:id="16"/>
    </w:p>
    <w:p w14:paraId="6769AC1E" w14:textId="77777777" w:rsidR="00FC5566" w:rsidRPr="000E5ADB" w:rsidRDefault="00FC5566" w:rsidP="00FC5566">
      <w:pPr>
        <w:pStyle w:val="A0"/>
      </w:pPr>
      <w:r w:rsidRPr="000E5ADB">
        <w:t>This Emergency Rule is being issued to provide immediate, strengthened measures to protect the safety and well</w:t>
      </w:r>
      <w:r w:rsidRPr="000E5ADB">
        <w:noBreakHyphen/>
        <w:t>being of children in the department’s custody and to preserve the department’s authority to receive and use Federal Tax Information (FTI) needed to administer its federally mandated programs. The department’s continued authority to receive and use FTI is conditioned on compliance with the safeguarding requirements of IRC §6103(p)(4), as detailed in IRS Publication 1075, which includes the periodic background-investigation requirement addressed by this Emergency Rule. IRS Publication 1075 requires that a standard background investigation be reissued within a five-year period with an immediate effective date. A lapse in compliance would jeopardize the department’s access to FTI and its ability to administer these programs, exposing the department to federal sanctions.</w:t>
      </w:r>
    </w:p>
    <w:p w14:paraId="5BFCDACE" w14:textId="77777777" w:rsidR="00FC5566" w:rsidRPr="000E5ADB" w:rsidRDefault="00FC5566" w:rsidP="00FC5566">
      <w:pPr>
        <w:pStyle w:val="A0"/>
      </w:pPr>
      <w:r w:rsidRPr="000E5ADB">
        <w:t>These amendments are consistent with and reinforced by Act 803 of the 2026 Regular Session which requires the department to conduct criminal background checks and state central registry searches for all current and prospective employees, effective August 1, 2026, and which removes prior exemptions for staff who do not provide direct care. Delaying these screenings creates a serious gap in oversight where individuals with past criminal offenses or substantiated abuse could obtain or retain employment within the agency.</w:t>
      </w:r>
    </w:p>
    <w:p w14:paraId="0E62FDDC" w14:textId="77777777" w:rsidR="00FC5566" w:rsidRPr="000E5ADB" w:rsidRDefault="00FC5566" w:rsidP="00FC5566">
      <w:pPr>
        <w:pStyle w:val="A0"/>
      </w:pPr>
      <w:r w:rsidRPr="000E5ADB">
        <w:t xml:space="preserve">This Emergency Rule places immediate procedures in place so that department-wide criminal background and state central registry screening and rescreening can begin without delay, ensuring continuous protection for the children and families the department serves and ensuring that the department maintains continual access to FTI as needed for programmatic compliance. </w:t>
      </w:r>
    </w:p>
    <w:p w14:paraId="06B19F6A" w14:textId="77777777" w:rsidR="00FC5566" w:rsidRPr="000E5ADB" w:rsidRDefault="00FC5566" w:rsidP="00FC5566">
      <w:pPr>
        <w:pStyle w:val="A0"/>
      </w:pPr>
      <w:bookmarkStart w:id="17" w:name="_Hlk235795701"/>
      <w:r w:rsidRPr="000E5ADB">
        <w:t>This Emergency Rule has been drafted utilizing plain language principles to ensure clarity and accessibility for all users. It has also been reviewed and tested for compliance with web accessibility standards.</w:t>
      </w:r>
    </w:p>
    <w:bookmarkEnd w:id="17"/>
    <w:p w14:paraId="673D6BB7" w14:textId="77777777" w:rsidR="00FC5566" w:rsidRPr="000E5ADB" w:rsidRDefault="00FC5566" w:rsidP="00FC5566">
      <w:pPr>
        <w:pStyle w:val="RegCodeTitle"/>
      </w:pPr>
      <w:r w:rsidRPr="000E5ADB">
        <w:t>Title 67</w:t>
      </w:r>
    </w:p>
    <w:p w14:paraId="3A5A2CE3" w14:textId="77777777" w:rsidR="00FC5566" w:rsidRPr="000E5ADB" w:rsidRDefault="00FC5566" w:rsidP="00FC5566">
      <w:pPr>
        <w:pStyle w:val="RegCodeTitle"/>
      </w:pPr>
      <w:r w:rsidRPr="000E5ADB">
        <w:t>SOCIAL SERVICES</w:t>
      </w:r>
    </w:p>
    <w:p w14:paraId="3078DF66" w14:textId="77777777" w:rsidR="00FC5566" w:rsidRPr="000E5ADB" w:rsidRDefault="00FC5566" w:rsidP="00FC5566">
      <w:pPr>
        <w:pStyle w:val="RegCodePart"/>
      </w:pPr>
      <w:r w:rsidRPr="000E5ADB">
        <w:t>Part I.</w:t>
      </w:r>
      <w:r>
        <w:t xml:space="preserve">  </w:t>
      </w:r>
      <w:r w:rsidRPr="000E5ADB">
        <w:t>General Administration</w:t>
      </w:r>
    </w:p>
    <w:p w14:paraId="281F2B37" w14:textId="77777777" w:rsidR="00FC5566" w:rsidRPr="000E5ADB" w:rsidRDefault="00FC5566" w:rsidP="00FC5566">
      <w:pPr>
        <w:pStyle w:val="Chapter"/>
      </w:pPr>
      <w:bookmarkStart w:id="18" w:name="_Toc230078686"/>
      <w:r w:rsidRPr="000E5ADB">
        <w:t>Chapter 2.</w:t>
      </w:r>
      <w:r w:rsidRPr="000E5ADB">
        <w:tab/>
        <w:t>Criminal Background and State Central Registry Checks</w:t>
      </w:r>
      <w:bookmarkEnd w:id="18"/>
    </w:p>
    <w:p w14:paraId="4EC9AAAE" w14:textId="77777777" w:rsidR="00FC5566" w:rsidRPr="000E5ADB" w:rsidRDefault="00FC5566" w:rsidP="00FC5566">
      <w:pPr>
        <w:pStyle w:val="Section"/>
      </w:pPr>
      <w:bookmarkStart w:id="19" w:name="_Toc230078687"/>
      <w:r w:rsidRPr="000E5ADB">
        <w:t>§201.</w:t>
      </w:r>
      <w:r w:rsidRPr="000E5ADB">
        <w:tab/>
        <w:t>Introduction and Purpose</w:t>
      </w:r>
      <w:bookmarkEnd w:id="19"/>
    </w:p>
    <w:p w14:paraId="29A5BCEA" w14:textId="77777777" w:rsidR="00FC5566" w:rsidRPr="000E5ADB" w:rsidRDefault="00FC5566" w:rsidP="00FC5566">
      <w:pPr>
        <w:pStyle w:val="A0"/>
      </w:pPr>
      <w:r w:rsidRPr="000E5ADB">
        <w:t>A.</w:t>
      </w:r>
      <w:r w:rsidRPr="000E5ADB">
        <w:tab/>
        <w:t>Repealed.</w:t>
      </w:r>
    </w:p>
    <w:p w14:paraId="564D1F78" w14:textId="77777777" w:rsidR="00FC5566" w:rsidRPr="000E5ADB" w:rsidRDefault="00FC5566" w:rsidP="00FC5566">
      <w:pPr>
        <w:pStyle w:val="A0"/>
      </w:pPr>
      <w:r w:rsidRPr="000E5ADB">
        <w:t>B.</w:t>
      </w:r>
      <w:r w:rsidRPr="000E5ADB">
        <w:tab/>
        <w:t xml:space="preserve">In order to enhance the state’s ability to protect children, the Louisiana Legislature enacted laws which provide for state and federal criminal background checks and a state central registry check for all DCFS employees and potential employees. </w:t>
      </w:r>
    </w:p>
    <w:p w14:paraId="67BD1CDA" w14:textId="77777777" w:rsidR="00FC5566" w:rsidRPr="000E5ADB" w:rsidRDefault="00FC5566" w:rsidP="00FC5566">
      <w:pPr>
        <w:pStyle w:val="A0"/>
      </w:pPr>
      <w:r w:rsidRPr="000E5ADB">
        <w:t>C.</w:t>
      </w:r>
      <w:r w:rsidRPr="000E5ADB">
        <w:tab/>
        <w:t>The department will utilize the state central registry of justified (valid) reports of abuse or neglect for clearances of certain current and potential department employees and will prohibit these individuals from being employed or considered for employment when their name is recorded on the state central registry subsequent to January 1, 2010 and when their administrative appeal rights have been exhausted.</w:t>
      </w:r>
    </w:p>
    <w:p w14:paraId="5D08C45D" w14:textId="77777777" w:rsidR="00FC5566" w:rsidRPr="000E5ADB" w:rsidRDefault="00FC5566" w:rsidP="00FC5566">
      <w:pPr>
        <w:pStyle w:val="AuthorityNote"/>
      </w:pPr>
      <w:r w:rsidRPr="000E5ADB">
        <w:t>AUTHORITY NOTE:</w:t>
      </w:r>
      <w:r w:rsidRPr="000E5ADB">
        <w:tab/>
        <w:t>Promulgated in accordance with R.S. 46:51.2.</w:t>
      </w:r>
    </w:p>
    <w:p w14:paraId="34621694" w14:textId="77777777" w:rsidR="00FC5566" w:rsidRPr="000E5ADB" w:rsidRDefault="00FC5566" w:rsidP="00FC5566">
      <w:pPr>
        <w:pStyle w:val="HistoricalNote"/>
      </w:pPr>
      <w:r w:rsidRPr="000E5ADB">
        <w:t>HISTORICAL NOTE:</w:t>
      </w:r>
      <w:r w:rsidRPr="000E5ADB">
        <w:tab/>
        <w:t>Promulgated by the Department of Social Services, Office of the Secretary, LR 36:851 (April 2010), amended by the Department of Children and Family Services, Division of Child Welfare, LR 44:997 (June 2018), effective July 1, 2018, amended by the Department of Children and Family Services, Office of Management and Finance, LR 5</w:t>
      </w:r>
      <w:r>
        <w:t>2</w:t>
      </w:r>
      <w:r w:rsidRPr="000E5ADB">
        <w:t>:</w:t>
      </w:r>
    </w:p>
    <w:p w14:paraId="3208E9BC" w14:textId="77777777" w:rsidR="00FC5566" w:rsidRPr="000E5ADB" w:rsidRDefault="00FC5566" w:rsidP="00FC5566">
      <w:pPr>
        <w:pStyle w:val="Section"/>
      </w:pPr>
      <w:bookmarkStart w:id="20" w:name="_Toc230078688"/>
      <w:r w:rsidRPr="000E5ADB">
        <w:t>§203.</w:t>
      </w:r>
      <w:r w:rsidRPr="000E5ADB">
        <w:tab/>
        <w:t>Conditions of Employment</w:t>
      </w:r>
      <w:bookmarkEnd w:id="20"/>
    </w:p>
    <w:p w14:paraId="1AFB8D18" w14:textId="77777777" w:rsidR="00FC5566" w:rsidRPr="000E5ADB" w:rsidRDefault="00FC5566" w:rsidP="00FC5566">
      <w:pPr>
        <w:pStyle w:val="A0"/>
      </w:pPr>
      <w:r w:rsidRPr="000E5ADB">
        <w:t>A.</w:t>
      </w:r>
      <w:r w:rsidRPr="000E5ADB">
        <w:tab/>
        <w:t>No individual shall be hired by the department until the following conditions are met.</w:t>
      </w:r>
    </w:p>
    <w:p w14:paraId="3F60833F" w14:textId="77777777" w:rsidR="00FC5566" w:rsidRPr="000E5ADB" w:rsidRDefault="00FC5566" w:rsidP="00FC5566">
      <w:pPr>
        <w:pStyle w:val="1"/>
      </w:pPr>
      <w:r w:rsidRPr="000E5ADB">
        <w:t xml:space="preserve">1. </w:t>
      </w:r>
      <w:r>
        <w:t>-</w:t>
      </w:r>
      <w:r w:rsidRPr="000E5ADB">
        <w:t xml:space="preserve"> 4.</w:t>
      </w:r>
      <w:r w:rsidRPr="000E5ADB">
        <w:tab/>
        <w:t>…</w:t>
      </w:r>
    </w:p>
    <w:p w14:paraId="7497E432" w14:textId="77777777" w:rsidR="00FC5566" w:rsidRPr="000E5ADB" w:rsidRDefault="00FC5566" w:rsidP="00FC5566">
      <w:pPr>
        <w:pStyle w:val="A0"/>
      </w:pPr>
      <w:r w:rsidRPr="000E5ADB">
        <w:t>B.</w:t>
      </w:r>
      <w:r w:rsidRPr="000E5ADB">
        <w:tab/>
        <w:t xml:space="preserve">Any current employee of the department whose name is recorded subsequent to January 1, 2010, and prior to August 1, 2018, shall not be terminated from their position in the department until the employee has exhausted their right to an administrative appeal and thereafter the employee’s name is confirmed to be listed on the state central registry. If the employee’s name is recorded on the state central registry subsequent to August 1, 2018, they shall be terminated from their current position. </w:t>
      </w:r>
    </w:p>
    <w:p w14:paraId="021A49FA" w14:textId="77777777" w:rsidR="00FC5566" w:rsidRPr="000E5ADB" w:rsidRDefault="00FC5566" w:rsidP="00FC5566">
      <w:pPr>
        <w:pStyle w:val="AuthorityNote"/>
      </w:pPr>
      <w:r w:rsidRPr="000E5ADB">
        <w:t>AUTHORITY NOTE:</w:t>
      </w:r>
      <w:r w:rsidRPr="000E5ADB">
        <w:tab/>
        <w:t>Promulgated in accordance with R.S. 46:51.2.</w:t>
      </w:r>
    </w:p>
    <w:p w14:paraId="4594C061" w14:textId="77777777" w:rsidR="00FC5566" w:rsidRPr="000E5ADB" w:rsidRDefault="00FC5566" w:rsidP="00FC5566">
      <w:pPr>
        <w:pStyle w:val="HistoricalNote"/>
      </w:pPr>
      <w:r w:rsidRPr="000E5ADB">
        <w:t>HISTORICAL NOTE:</w:t>
      </w:r>
      <w:r w:rsidRPr="000E5ADB">
        <w:tab/>
        <w:t xml:space="preserve">Promulgated by the Department of Social Services, Office of the Secretary, LR 36:851 (April 2010), </w:t>
      </w:r>
      <w:bookmarkStart w:id="21" w:name="_Hlk235767969"/>
      <w:r w:rsidRPr="000E5ADB">
        <w:t xml:space="preserve">amended by the Department of Children and Family Services, </w:t>
      </w:r>
      <w:bookmarkEnd w:id="21"/>
      <w:r w:rsidRPr="000E5ADB">
        <w:t>Division of Child Welfare, LR 44:997 (June 2018), effective July 1, 2018, amended LR 45:217 (February 2019), amended by the Department of Children and Family Services, Office of Management and Finance, LR 5</w:t>
      </w:r>
      <w:r>
        <w:t>2</w:t>
      </w:r>
      <w:r w:rsidRPr="000E5ADB">
        <w:t>:</w:t>
      </w:r>
    </w:p>
    <w:p w14:paraId="76A52ACB" w14:textId="77777777" w:rsidR="00FC5566" w:rsidRPr="000E5ADB" w:rsidRDefault="00FC5566" w:rsidP="00FC5566">
      <w:pPr>
        <w:pStyle w:val="Section"/>
      </w:pPr>
      <w:bookmarkStart w:id="22" w:name="_Toc230078689"/>
      <w:r w:rsidRPr="000E5ADB">
        <w:t>§205.</w:t>
      </w:r>
      <w:r w:rsidRPr="000E5ADB">
        <w:tab/>
        <w:t>Criminal History Records Checks for Access to Federal Tax Information</w:t>
      </w:r>
      <w:bookmarkEnd w:id="22"/>
    </w:p>
    <w:p w14:paraId="3967B19F" w14:textId="77777777" w:rsidR="00FC5566" w:rsidRPr="000E5ADB" w:rsidRDefault="00FC5566" w:rsidP="00FC5566">
      <w:pPr>
        <w:pStyle w:val="A0"/>
        <w:tabs>
          <w:tab w:val="clear" w:pos="907"/>
          <w:tab w:val="left" w:pos="990"/>
        </w:tabs>
      </w:pPr>
      <w:r w:rsidRPr="000E5ADB">
        <w:t xml:space="preserve">A. </w:t>
      </w:r>
      <w:r>
        <w:t>-</w:t>
      </w:r>
      <w:r w:rsidRPr="000E5ADB">
        <w:t xml:space="preserve"> D.3.</w:t>
      </w:r>
      <w:r w:rsidRPr="000E5ADB">
        <w:tab/>
        <w:t>…</w:t>
      </w:r>
    </w:p>
    <w:p w14:paraId="5A15EE9C" w14:textId="77777777" w:rsidR="00FC5566" w:rsidRPr="000E5ADB" w:rsidRDefault="00FC5566" w:rsidP="00FC5566">
      <w:pPr>
        <w:pStyle w:val="1"/>
      </w:pPr>
      <w:r w:rsidRPr="000E5ADB">
        <w:t>4.</w:t>
      </w:r>
      <w:r w:rsidRPr="000E5ADB">
        <w:tab/>
        <w:t>Criminal history records checks shall be used by the department to determine the suitability of current or prospective employees, contractors, or subcontractors within the Office of Family Support to access FTI and records.</w:t>
      </w:r>
    </w:p>
    <w:p w14:paraId="166FCC50" w14:textId="77777777" w:rsidR="00FC5566" w:rsidRPr="000E5ADB" w:rsidRDefault="00FC5566" w:rsidP="00FC5566">
      <w:pPr>
        <w:pStyle w:val="a1"/>
      </w:pPr>
      <w:r>
        <w:br w:type="page"/>
      </w:r>
      <w:r w:rsidRPr="000E5ADB">
        <w:lastRenderedPageBreak/>
        <w:t>a.</w:t>
      </w:r>
      <w:r w:rsidRPr="000E5ADB">
        <w:tab/>
        <w:t>….</w:t>
      </w:r>
    </w:p>
    <w:p w14:paraId="59FDD348" w14:textId="77777777" w:rsidR="00FC5566" w:rsidRPr="000E5ADB" w:rsidRDefault="00FC5566" w:rsidP="00FC5566">
      <w:pPr>
        <w:pStyle w:val="a1"/>
      </w:pPr>
      <w:r w:rsidRPr="000E5ADB">
        <w:t>b.</w:t>
      </w:r>
      <w:r w:rsidRPr="000E5ADB">
        <w:tab/>
        <w:t>Current employees, contractors and subcontractors shall be subject to fingerprinting and national, state, and local criminal history records checks, at a minimum of every five years.</w:t>
      </w:r>
    </w:p>
    <w:p w14:paraId="799F502A" w14:textId="77777777" w:rsidR="00FC5566" w:rsidRPr="000E5ADB" w:rsidRDefault="00FC5566" w:rsidP="00FC5566">
      <w:pPr>
        <w:pStyle w:val="A0"/>
      </w:pPr>
      <w:r w:rsidRPr="000E5ADB">
        <w:t xml:space="preserve">D.4.c. </w:t>
      </w:r>
      <w:r>
        <w:t>-</w:t>
      </w:r>
      <w:r w:rsidRPr="000E5ADB">
        <w:t xml:space="preserve"> G.3.</w:t>
      </w:r>
      <w:r w:rsidRPr="000E5ADB">
        <w:tab/>
        <w:t>…</w:t>
      </w:r>
    </w:p>
    <w:p w14:paraId="6FD34162" w14:textId="77777777" w:rsidR="00FC5566" w:rsidRPr="000E5ADB" w:rsidRDefault="00FC5566" w:rsidP="00FC5566">
      <w:pPr>
        <w:pStyle w:val="AuthorityNote"/>
      </w:pPr>
      <w:r w:rsidRPr="000E5ADB">
        <w:t>AUTHORITY NOTE:</w:t>
      </w:r>
      <w:r w:rsidRPr="000E5ADB">
        <w:tab/>
        <w:t>Promulgated in accordance with Act 147 of the 2017 Regular Legislative Session.</w:t>
      </w:r>
    </w:p>
    <w:p w14:paraId="16803C9F" w14:textId="77777777" w:rsidR="00FC5566" w:rsidRDefault="00FC5566" w:rsidP="00FC5566">
      <w:pPr>
        <w:pStyle w:val="HistoricalNote"/>
      </w:pPr>
      <w:r w:rsidRPr="000E5ADB">
        <w:t>HISTORICAL NOTE:</w:t>
      </w:r>
      <w:r w:rsidRPr="000E5ADB">
        <w:tab/>
        <w:t>Promulgated by the Department of Children and Family Services, Child Support Enforcement Section, LR 45:651 (May 2019), LR 46:1543 (November 2020), LR 49:240 (February 2023), amended by the Department of Children and Family Services, Office of Management and Finance, LR 5</w:t>
      </w:r>
      <w:r>
        <w:t>2</w:t>
      </w:r>
      <w:r w:rsidRPr="000E5ADB">
        <w:t>:</w:t>
      </w:r>
    </w:p>
    <w:p w14:paraId="50A26884" w14:textId="77777777" w:rsidR="00FC5566" w:rsidRDefault="00FC5566" w:rsidP="00FC5566">
      <w:pPr>
        <w:pStyle w:val="HistoricalNote"/>
      </w:pPr>
      <w:bookmarkStart w:id="23" w:name="Here"/>
      <w:bookmarkEnd w:id="23"/>
    </w:p>
    <w:p w14:paraId="0190781C" w14:textId="77777777" w:rsidR="00FC5566" w:rsidRPr="000E5ADB" w:rsidRDefault="00FC5566" w:rsidP="00FC5566">
      <w:pPr>
        <w:pStyle w:val="RegSignature"/>
      </w:pPr>
      <w:r w:rsidRPr="000E5ADB">
        <w:t>Christopher Bahm</w:t>
      </w:r>
    </w:p>
    <w:p w14:paraId="1E5C69B8" w14:textId="77777777" w:rsidR="00FC5566" w:rsidRDefault="00FC5566" w:rsidP="00FC5566">
      <w:pPr>
        <w:pStyle w:val="RegSignature"/>
      </w:pPr>
      <w:r w:rsidRPr="000E5ADB">
        <w:t>Undersecretary</w:t>
      </w:r>
    </w:p>
    <w:p w14:paraId="5A507D61" w14:textId="77777777" w:rsidR="00FC5566" w:rsidRPr="000E5ADB" w:rsidRDefault="00FC5566" w:rsidP="00FC5566">
      <w:pPr>
        <w:pStyle w:val="RegLogNumber"/>
      </w:pPr>
      <w:r>
        <w:t>2608#017</w:t>
      </w:r>
    </w:p>
    <w:p w14:paraId="5CE6C6CB" w14:textId="77777777" w:rsidR="00FC5566" w:rsidRPr="000C6F51" w:rsidRDefault="00FC5566" w:rsidP="00FC5566"/>
    <w:p w14:paraId="1C654618" w14:textId="77777777" w:rsidR="00FC5566" w:rsidRDefault="00FC5566" w:rsidP="00FC5566">
      <w:pPr>
        <w:pStyle w:val="RegItemFirstLine"/>
      </w:pPr>
      <w:r>
        <w:t>DECLARATION OF EMERGENCY</w:t>
      </w:r>
    </w:p>
    <w:p w14:paraId="743ED338" w14:textId="77777777" w:rsidR="00FC5566" w:rsidRDefault="00FC5566" w:rsidP="00FC5566">
      <w:pPr>
        <w:pStyle w:val="RegDepartment"/>
      </w:pPr>
      <w:r>
        <w:t>Department of Conservation and Energy</w:t>
      </w:r>
    </w:p>
    <w:p w14:paraId="2939F6A5" w14:textId="77777777" w:rsidR="00FC5566" w:rsidRPr="001A5772" w:rsidRDefault="00FC5566" w:rsidP="00FC5566">
      <w:pPr>
        <w:pStyle w:val="RegDepartment"/>
      </w:pPr>
      <w:r>
        <w:t>Office of the Secretary</w:t>
      </w:r>
    </w:p>
    <w:p w14:paraId="2FB7CF9D" w14:textId="77777777" w:rsidR="00FC5566" w:rsidRPr="00C27C4D" w:rsidRDefault="00FC5566" w:rsidP="00FC5566">
      <w:pPr>
        <w:pStyle w:val="RegItemTitle"/>
        <w:spacing w:before="240"/>
      </w:pPr>
      <w:r w:rsidRPr="00C27C4D">
        <w:t xml:space="preserve">New Financial Security Option for Oil and </w:t>
      </w:r>
      <w:r>
        <w:br/>
      </w:r>
      <w:r w:rsidRPr="00C27C4D">
        <w:t>Gas Wells with Requirements</w:t>
      </w:r>
      <w:r w:rsidRPr="001A5772">
        <w:rPr>
          <w:bdr w:val="none" w:sz="0" w:space="0" w:color="auto" w:frame="1"/>
        </w:rPr>
        <w:t xml:space="preserve"> </w:t>
      </w:r>
      <w:r>
        <w:rPr>
          <w:bdr w:val="none" w:sz="0" w:space="0" w:color="auto" w:frame="1"/>
        </w:rPr>
        <w:t>(</w:t>
      </w:r>
      <w:r w:rsidRPr="00C27C4D">
        <w:rPr>
          <w:bdr w:val="none" w:sz="0" w:space="0" w:color="auto" w:frame="1"/>
        </w:rPr>
        <w:t>LAC 43:XIX.104</w:t>
      </w:r>
      <w:r>
        <w:rPr>
          <w:bdr w:val="none" w:sz="0" w:space="0" w:color="auto" w:frame="1"/>
        </w:rPr>
        <w:t>)</w:t>
      </w:r>
    </w:p>
    <w:p w14:paraId="39A4924D" w14:textId="77777777" w:rsidR="00FC5566" w:rsidRPr="00C27C4D" w:rsidRDefault="00FC5566" w:rsidP="00FC5566">
      <w:pPr>
        <w:pStyle w:val="A0"/>
        <w:rPr>
          <w:bCs/>
          <w:bdr w:val="none" w:sz="0" w:space="0" w:color="auto" w:frame="1"/>
        </w:rPr>
      </w:pPr>
      <w:r w:rsidRPr="00C27C4D">
        <w:t xml:space="preserve">Pursuant to R.S. 49:962 (A)(1)(a) this Emergency Rule is now adopted and promulgated by the </w:t>
      </w:r>
      <w:r>
        <w:t>s</w:t>
      </w:r>
      <w:r w:rsidRPr="00C27C4D">
        <w:t>ecretary of the Department of Conservation and Energy (“</w:t>
      </w:r>
      <w:r>
        <w:t>d</w:t>
      </w:r>
      <w:r w:rsidRPr="00C27C4D">
        <w:t xml:space="preserve">epartment”) as being necessary to avoid imminent peril to the public health, safety and welfare of the people of the </w:t>
      </w:r>
      <w:r>
        <w:t>s</w:t>
      </w:r>
      <w:r w:rsidRPr="00C27C4D">
        <w:t xml:space="preserve">tate of Louisiana, as well as the environment generally, by amending and providing additional options for financial security for well operators. </w:t>
      </w:r>
      <w:r w:rsidRPr="00C27C4D">
        <w:rPr>
          <w:bCs/>
          <w:bdr w:val="none" w:sz="0" w:space="0" w:color="auto" w:frame="1"/>
        </w:rPr>
        <w:t xml:space="preserve">Due to a lack of private financial security options as currently provided in regulation, a significant increase has occurred in the number of oil and gas wells without financial security to cover their plugging and site restoration costs. The failure of oil and gas well sites to be properly plugged and their sites restored leads to increased environmental risk due to: (1) oil and produced water spills; (2) leaks from disused equipment; and (3) in some cases endangerment of subsurface formations. Simultaneously, operators of these wells have become non-compliant with current regulatory requirements for financial security. In turn, based in part upon this non-compliance many operators have recently been declared orphaned with their wells becoming listed on the orphaned well list and the operators being prohibited from operating those sites. As such, orphaned oil and gas wells pose increased environmental risks. </w:t>
      </w:r>
    </w:p>
    <w:p w14:paraId="798D6CC2" w14:textId="77777777" w:rsidR="00FC5566" w:rsidRPr="00C27C4D" w:rsidRDefault="00FC5566" w:rsidP="00FC5566">
      <w:pPr>
        <w:pStyle w:val="A0"/>
        <w:rPr>
          <w:bdr w:val="none" w:sz="0" w:space="0" w:color="auto" w:frame="1"/>
        </w:rPr>
      </w:pPr>
      <w:r w:rsidRPr="00C27C4D">
        <w:rPr>
          <w:bdr w:val="none" w:sz="0" w:space="0" w:color="auto" w:frame="1"/>
        </w:rPr>
        <w:t xml:space="preserve">The primary proposed rule change is to amend LAC 43:XIX.104(B) to include as an allowed financial security option for regulated operators a certification that an operator has met requirements approved by the newly established Natural Resources Trust Authority in accordance with R.S. 36:356.1. Additionally, the proposed </w:t>
      </w:r>
      <w:r>
        <w:rPr>
          <w:bdr w:val="none" w:sz="0" w:space="0" w:color="auto" w:frame="1"/>
        </w:rPr>
        <w:t>R</w:t>
      </w:r>
      <w:r w:rsidRPr="00C27C4D">
        <w:rPr>
          <w:bdr w:val="none" w:sz="0" w:space="0" w:color="auto" w:frame="1"/>
        </w:rPr>
        <w:t>ule makes changes to the amended Chapter to update the names of the department, offices, and officers in accordance with several recently adopted legislative acts from the 2026 Regular Legislative Session, specifically including Act 762, Act 662, and HR 310. Finally, the proposed rule creates a definition at LAC 43:XIX.101 of “regulated financial institution” to address recent findings by the Louisiana Legislative Auditor.</w:t>
      </w:r>
    </w:p>
    <w:p w14:paraId="4192580C" w14:textId="77777777" w:rsidR="00FC5566" w:rsidRPr="00C27C4D" w:rsidRDefault="00FC5566" w:rsidP="00FC5566">
      <w:pPr>
        <w:pStyle w:val="A0"/>
        <w:rPr>
          <w:bdr w:val="none" w:sz="0" w:space="0" w:color="auto" w:frame="1"/>
        </w:rPr>
      </w:pPr>
      <w:r w:rsidRPr="00C27C4D">
        <w:rPr>
          <w:bdr w:val="none" w:sz="0" w:space="0" w:color="auto" w:frame="1"/>
        </w:rPr>
        <w:t xml:space="preserve">The need for financial security to cover the costs of plugging and restoring oil and gas well sites has long been </w:t>
      </w:r>
      <w:r w:rsidRPr="00C27C4D">
        <w:rPr>
          <w:bdr w:val="none" w:sz="0" w:space="0" w:color="auto" w:frame="1"/>
        </w:rPr>
        <w:t xml:space="preserve">recognized as necessary to provide environmental protection. The Legislative Auditor’s Office has issued several reports making this point. </w:t>
      </w:r>
      <w:r w:rsidRPr="001A5772">
        <w:rPr>
          <w:iCs/>
          <w:bdr w:val="none" w:sz="0" w:space="0" w:color="auto" w:frame="1"/>
        </w:rPr>
        <w:t>See</w:t>
      </w:r>
      <w:r w:rsidRPr="00C27C4D">
        <w:rPr>
          <w:bdr w:val="none" w:sz="0" w:space="0" w:color="auto" w:frame="1"/>
        </w:rPr>
        <w:t xml:space="preserve"> May 28, 2014, </w:t>
      </w:r>
      <w:r w:rsidRPr="00C27C4D">
        <w:rPr>
          <w:i/>
          <w:bdr w:val="none" w:sz="0" w:space="0" w:color="auto" w:frame="1"/>
        </w:rPr>
        <w:t>Oil and Gas Regulation and Orphaned Wells Office of Conservation- Department of Natural Resources</w:t>
      </w:r>
      <w:r w:rsidRPr="00C27C4D">
        <w:rPr>
          <w:bdr w:val="none" w:sz="0" w:space="0" w:color="auto" w:frame="1"/>
        </w:rPr>
        <w:t xml:space="preserve">; March 11, 2020, </w:t>
      </w:r>
      <w:r w:rsidRPr="00C27C4D">
        <w:rPr>
          <w:i/>
          <w:bdr w:val="none" w:sz="0" w:space="0" w:color="auto" w:frame="1"/>
        </w:rPr>
        <w:t>Progress Report: Regulation of Oil and Gas Wells and Management of Orphaned Wells. Office of Conservation – Department of Natural Resources</w:t>
      </w:r>
      <w:r w:rsidRPr="00C27C4D">
        <w:rPr>
          <w:bdr w:val="none" w:sz="0" w:space="0" w:color="auto" w:frame="1"/>
        </w:rPr>
        <w:t xml:space="preserve">; October 24, 2024, </w:t>
      </w:r>
      <w:r w:rsidRPr="00C27C4D">
        <w:rPr>
          <w:i/>
          <w:bdr w:val="none" w:sz="0" w:space="0" w:color="auto" w:frame="1"/>
        </w:rPr>
        <w:t>Progress Report: State Efforts to Address Orphaned Oil and Gas Wells. Office of Conservation- Department of Energy and Natural Resources</w:t>
      </w:r>
      <w:r w:rsidRPr="00C27C4D">
        <w:rPr>
          <w:bdr w:val="none" w:sz="0" w:space="0" w:color="auto" w:frame="1"/>
        </w:rPr>
        <w:t xml:space="preserve">; October 25, 2024, </w:t>
      </w:r>
      <w:r w:rsidRPr="00C27C4D">
        <w:rPr>
          <w:i/>
          <w:bdr w:val="none" w:sz="0" w:space="0" w:color="auto" w:frame="1"/>
        </w:rPr>
        <w:t>Oversight of the Louisiana Oilfield Restoration Association’s (LORA) Efforts to Address Orphaned Oil and Gas Wells. Office of Conservation- Department of Energy and Natural Resources</w:t>
      </w:r>
      <w:r w:rsidRPr="00C27C4D">
        <w:rPr>
          <w:bdr w:val="none" w:sz="0" w:space="0" w:color="auto" w:frame="1"/>
        </w:rPr>
        <w:t xml:space="preserve">; and June 17, 2026, </w:t>
      </w:r>
      <w:r w:rsidRPr="00C27C4D">
        <w:rPr>
          <w:i/>
          <w:bdr w:val="none" w:sz="0" w:space="0" w:color="auto" w:frame="1"/>
        </w:rPr>
        <w:t>Department of Conservation and Energy- Orphan Well Pilot Program</w:t>
      </w:r>
      <w:r w:rsidRPr="00C27C4D">
        <w:rPr>
          <w:bdr w:val="none" w:sz="0" w:space="0" w:color="auto" w:frame="1"/>
        </w:rPr>
        <w:t xml:space="preserve">. </w:t>
      </w:r>
    </w:p>
    <w:p w14:paraId="26488AB8" w14:textId="77777777" w:rsidR="00FC5566" w:rsidRPr="00C27C4D" w:rsidRDefault="00FC5566" w:rsidP="00FC5566">
      <w:pPr>
        <w:pStyle w:val="A0"/>
        <w:rPr>
          <w:bdr w:val="none" w:sz="0" w:space="0" w:color="auto" w:frame="1"/>
        </w:rPr>
      </w:pPr>
      <w:r w:rsidRPr="00C27C4D">
        <w:rPr>
          <w:bdr w:val="none" w:sz="0" w:space="0" w:color="auto" w:frame="1"/>
        </w:rPr>
        <w:t xml:space="preserve">The </w:t>
      </w:r>
      <w:r>
        <w:rPr>
          <w:bdr w:val="none" w:sz="0" w:space="0" w:color="auto" w:frame="1"/>
        </w:rPr>
        <w:t>d</w:t>
      </w:r>
      <w:r w:rsidRPr="00C27C4D">
        <w:rPr>
          <w:bdr w:val="none" w:sz="0" w:space="0" w:color="auto" w:frame="1"/>
        </w:rPr>
        <w:t xml:space="preserve">epartment is authorized to require financial security be established and maintained by oil and gas operators to cover these costs. </w:t>
      </w:r>
      <w:r w:rsidRPr="001A5772">
        <w:rPr>
          <w:iCs/>
          <w:bdr w:val="none" w:sz="0" w:space="0" w:color="auto" w:frame="1"/>
        </w:rPr>
        <w:t xml:space="preserve">See </w:t>
      </w:r>
      <w:r w:rsidRPr="00C27C4D">
        <w:rPr>
          <w:bdr w:val="none" w:sz="0" w:space="0" w:color="auto" w:frame="1"/>
        </w:rPr>
        <w:t xml:space="preserve">R.S. 30:4, 4.3, and 21.1. The Natural Resources Trust Authority is authorized to establish and administer “mechanisms to satisfy financial security requirements in lieu of traditional instruments, including but not limited to the collection and management of cash payments and fees from participating operators.” </w:t>
      </w:r>
      <w:r w:rsidRPr="001A5772">
        <w:rPr>
          <w:iCs/>
          <w:bdr w:val="none" w:sz="0" w:space="0" w:color="auto" w:frame="1"/>
        </w:rPr>
        <w:t>See</w:t>
      </w:r>
      <w:r w:rsidRPr="00C27C4D">
        <w:rPr>
          <w:bdr w:val="none" w:sz="0" w:space="0" w:color="auto" w:frame="1"/>
        </w:rPr>
        <w:t xml:space="preserve"> R.S. 36:356.1. The </w:t>
      </w:r>
      <w:r>
        <w:rPr>
          <w:bdr w:val="none" w:sz="0" w:space="0" w:color="auto" w:frame="1"/>
        </w:rPr>
        <w:t>d</w:t>
      </w:r>
      <w:r w:rsidRPr="00C27C4D">
        <w:rPr>
          <w:bdr w:val="none" w:sz="0" w:space="0" w:color="auto" w:frame="1"/>
        </w:rPr>
        <w:t xml:space="preserve">epartment is authorized by these statutes to adopt this Emergency Rule. </w:t>
      </w:r>
    </w:p>
    <w:p w14:paraId="47FE7DD3" w14:textId="77777777" w:rsidR="00FC5566" w:rsidRPr="00C27C4D" w:rsidRDefault="00FC5566" w:rsidP="00FC5566">
      <w:pPr>
        <w:pStyle w:val="A0"/>
        <w:rPr>
          <w:bdr w:val="none" w:sz="0" w:space="0" w:color="auto" w:frame="1"/>
        </w:rPr>
      </w:pPr>
      <w:r w:rsidRPr="00C27C4D">
        <w:rPr>
          <w:bdr w:val="none" w:sz="0" w:space="0" w:color="auto" w:frame="1"/>
        </w:rPr>
        <w:t>A combination of factors ha</w:t>
      </w:r>
      <w:r>
        <w:rPr>
          <w:bdr w:val="none" w:sz="0" w:space="0" w:color="auto" w:frame="1"/>
        </w:rPr>
        <w:t>s</w:t>
      </w:r>
      <w:r w:rsidRPr="00C27C4D">
        <w:rPr>
          <w:bdr w:val="none" w:sz="0" w:space="0" w:color="auto" w:frame="1"/>
        </w:rPr>
        <w:t xml:space="preserve"> led to a significant increase in oil and gas wells being out of compliance with the requirement that their wells be covered by financial security for their plugging and restoration obligations. These include, but are not limited to, financial institutions being less willing to provide traditional financial security instruments to most oil and gas operators in the </w:t>
      </w:r>
      <w:r>
        <w:rPr>
          <w:bdr w:val="none" w:sz="0" w:space="0" w:color="auto" w:frame="1"/>
        </w:rPr>
        <w:t>s</w:t>
      </w:r>
      <w:r w:rsidRPr="00C27C4D">
        <w:rPr>
          <w:bdr w:val="none" w:sz="0" w:space="0" w:color="auto" w:frame="1"/>
        </w:rPr>
        <w:t>tate at a price that is affordable (many operators report for instance being unable to obtain financial security in the private market without paying 100</w:t>
      </w:r>
      <w:r>
        <w:rPr>
          <w:bdr w:val="none" w:sz="0" w:space="0" w:color="auto" w:frame="1"/>
        </w:rPr>
        <w:t xml:space="preserve"> percent</w:t>
      </w:r>
      <w:r w:rsidRPr="00C27C4D">
        <w:rPr>
          <w:bdr w:val="none" w:sz="0" w:space="0" w:color="auto" w:frame="1"/>
        </w:rPr>
        <w:t xml:space="preserve"> of the financial security amount plus collateral); a majority of operators choosing to utilize the now defunct LORA program for financial security; and greater consistency by the </w:t>
      </w:r>
      <w:r>
        <w:rPr>
          <w:bdr w:val="none" w:sz="0" w:space="0" w:color="auto" w:frame="1"/>
        </w:rPr>
        <w:t>d</w:t>
      </w:r>
      <w:r w:rsidRPr="00C27C4D">
        <w:rPr>
          <w:bdr w:val="none" w:sz="0" w:space="0" w:color="auto" w:frame="1"/>
        </w:rPr>
        <w:t>epartment in enforcing the regulatory requirement that certain inactive wells have financial security.</w:t>
      </w:r>
    </w:p>
    <w:p w14:paraId="092DDE59" w14:textId="77777777" w:rsidR="00FC5566" w:rsidRDefault="00FC5566" w:rsidP="00FC5566">
      <w:pPr>
        <w:pStyle w:val="A0"/>
      </w:pPr>
      <w:r w:rsidRPr="00C27C4D">
        <w:rPr>
          <w:bdr w:val="none" w:sz="0" w:space="0" w:color="auto" w:frame="1"/>
        </w:rPr>
        <w:t xml:space="preserve">Simultaneously, there has been an increase in orphaned well declarations across the </w:t>
      </w:r>
      <w:r>
        <w:rPr>
          <w:bdr w:val="none" w:sz="0" w:space="0" w:color="auto" w:frame="1"/>
        </w:rPr>
        <w:t>s</w:t>
      </w:r>
      <w:r w:rsidRPr="00C27C4D">
        <w:rPr>
          <w:bdr w:val="none" w:sz="0" w:space="0" w:color="auto" w:frame="1"/>
        </w:rPr>
        <w:t xml:space="preserve">tate. The vast majority of which are orphaned without having financial security. The current number of orphaned oil and gas wells is approximately 6,400, which is the largest number of orphaned wells ever in Louisiana’s history. The </w:t>
      </w:r>
      <w:r>
        <w:rPr>
          <w:bdr w:val="none" w:sz="0" w:space="0" w:color="auto" w:frame="1"/>
        </w:rPr>
        <w:t>d</w:t>
      </w:r>
      <w:r w:rsidRPr="00C27C4D">
        <w:rPr>
          <w:bdr w:val="none" w:sz="0" w:space="0" w:color="auto" w:frame="1"/>
        </w:rPr>
        <w:t xml:space="preserve">epartment is further aware of several non-compliant operators with significant numbers of wells that may become orphaned in the near future. Because of the increasing threat to the environment of unsecured oil and gas wells, many of which may become orphaned in the near future, there is a need to immediately provide by rule a financial security option in-lieu of traditional financial security methods. </w:t>
      </w:r>
      <w:r>
        <w:t xml:space="preserve">This Emergency Rule shall become effective on July 21, 2026 and shall remain in effect for a period of 180 days unless renewed or rescinded. </w:t>
      </w:r>
    </w:p>
    <w:p w14:paraId="3FB7B5E1" w14:textId="77777777" w:rsidR="00FC5566" w:rsidRDefault="00FC5566" w:rsidP="00FC5566">
      <w:pPr>
        <w:pStyle w:val="A0"/>
        <w:rPr>
          <w:bdr w:val="none" w:sz="0" w:space="0" w:color="auto" w:frame="1"/>
        </w:rPr>
      </w:pPr>
      <w:r w:rsidRPr="00C27C4D">
        <w:rPr>
          <w:bdr w:val="none" w:sz="0" w:space="0" w:color="auto" w:frame="1"/>
        </w:rPr>
        <w:t xml:space="preserve">The </w:t>
      </w:r>
      <w:r>
        <w:rPr>
          <w:bdr w:val="none" w:sz="0" w:space="0" w:color="auto" w:frame="1"/>
        </w:rPr>
        <w:t>d</w:t>
      </w:r>
      <w:r w:rsidRPr="00C27C4D">
        <w:rPr>
          <w:bdr w:val="none" w:sz="0" w:space="0" w:color="auto" w:frame="1"/>
        </w:rPr>
        <w:t xml:space="preserve">epartment plans to begin non-emergency rulemaking to adopt rule amendments consistent with the Emergency Rule as soon as possible in accordance with the Administrative Procedures Act. A Notice of Intent for this rule will be published in an upcoming volume of the </w:t>
      </w:r>
      <w:r w:rsidRPr="00A40300">
        <w:rPr>
          <w:i/>
          <w:iCs/>
          <w:bdr w:val="none" w:sz="0" w:space="0" w:color="auto" w:frame="1"/>
        </w:rPr>
        <w:t>Louisiana Register</w:t>
      </w:r>
      <w:r w:rsidRPr="00C27C4D">
        <w:rPr>
          <w:bdr w:val="none" w:sz="0" w:space="0" w:color="auto" w:frame="1"/>
        </w:rPr>
        <w:t xml:space="preserve">. </w:t>
      </w:r>
    </w:p>
    <w:p w14:paraId="05C93F66" w14:textId="77777777" w:rsidR="00FC5566" w:rsidRPr="00C27C4D" w:rsidRDefault="00FC5566" w:rsidP="00FC5566">
      <w:pPr>
        <w:pStyle w:val="RegCodeTitle"/>
        <w:rPr>
          <w:bdr w:val="none" w:sz="0" w:space="0" w:color="auto" w:frame="1"/>
        </w:rPr>
      </w:pPr>
      <w:r>
        <w:rPr>
          <w:bdr w:val="none" w:sz="0" w:space="0" w:color="auto" w:frame="1"/>
        </w:rPr>
        <w:lastRenderedPageBreak/>
        <w:t>Public Comments</w:t>
      </w:r>
    </w:p>
    <w:p w14:paraId="1491EA8C" w14:textId="77777777" w:rsidR="00FC5566" w:rsidRDefault="00FC5566" w:rsidP="00FC5566">
      <w:pPr>
        <w:pStyle w:val="A0"/>
        <w:rPr>
          <w:bdr w:val="none" w:sz="0" w:space="0" w:color="auto" w:frame="1"/>
        </w:rPr>
      </w:pPr>
      <w:r w:rsidRPr="00C27C4D">
        <w:rPr>
          <w:bdr w:val="none" w:sz="0" w:space="0" w:color="auto" w:frame="1"/>
        </w:rPr>
        <w:t>Inquiries regarding this Emergency Rule shall be mailed to Blake Canfield, Executive Counsel, Louisiana Department of Conservation and Energy, at 617 North Third Street, 12th Floor, Baton Rouge, Louisiana 70802 or by e-mail at blake.canfield@la.gov.</w:t>
      </w:r>
    </w:p>
    <w:p w14:paraId="3CDFC311" w14:textId="77777777" w:rsidR="00FC5566" w:rsidRPr="00C27C4D" w:rsidRDefault="00FC5566" w:rsidP="00FC5566">
      <w:pPr>
        <w:pStyle w:val="RegCodeTitle"/>
      </w:pPr>
      <w:r w:rsidRPr="00C27C4D">
        <w:t>Title 43</w:t>
      </w:r>
    </w:p>
    <w:p w14:paraId="6F4B4494" w14:textId="77777777" w:rsidR="00FC5566" w:rsidRPr="00C27C4D" w:rsidRDefault="00FC5566" w:rsidP="00FC5566">
      <w:pPr>
        <w:pStyle w:val="RegCodeTitle"/>
      </w:pPr>
      <w:r w:rsidRPr="00C27C4D">
        <w:t>NATURAL RESOURCES</w:t>
      </w:r>
    </w:p>
    <w:p w14:paraId="3592E710" w14:textId="77777777" w:rsidR="00FC5566" w:rsidRPr="00C27C4D" w:rsidRDefault="00FC5566" w:rsidP="00FC5566">
      <w:pPr>
        <w:pStyle w:val="RegCodePart"/>
      </w:pPr>
      <w:r w:rsidRPr="00C27C4D">
        <w:t>Part XIX.</w:t>
      </w:r>
      <w:r>
        <w:t xml:space="preserve">  </w:t>
      </w:r>
      <w:r w:rsidRPr="00C27C4D">
        <w:t>Office of Permitting and Compliance</w:t>
      </w:r>
      <w:r>
        <w:t>—</w:t>
      </w:r>
      <w:r w:rsidRPr="00C27C4D">
        <w:t>General Operations</w:t>
      </w:r>
    </w:p>
    <w:p w14:paraId="5FB7300B" w14:textId="77777777" w:rsidR="00FC5566" w:rsidRPr="00C27C4D" w:rsidRDefault="00FC5566" w:rsidP="00FC5566">
      <w:pPr>
        <w:pStyle w:val="RegCodePart"/>
      </w:pPr>
      <w:r w:rsidRPr="00C27C4D">
        <w:t>Subpart 1.</w:t>
      </w:r>
      <w:r>
        <w:t xml:space="preserve">  </w:t>
      </w:r>
      <w:r w:rsidRPr="00C27C4D">
        <w:t>Statewide Order No. 29-B</w:t>
      </w:r>
    </w:p>
    <w:p w14:paraId="11BB1108" w14:textId="77777777" w:rsidR="00FC5566" w:rsidRDefault="00FC5566" w:rsidP="00FC5566">
      <w:pPr>
        <w:pStyle w:val="Chapter"/>
      </w:pPr>
      <w:r w:rsidRPr="00C27C4D">
        <w:t>Chapter 1.</w:t>
      </w:r>
      <w:r>
        <w:tab/>
      </w:r>
      <w:r w:rsidRPr="00C27C4D">
        <w:t>General Provisions</w:t>
      </w:r>
    </w:p>
    <w:p w14:paraId="50891D1F" w14:textId="77777777" w:rsidR="00FC5566" w:rsidRDefault="00FC5566" w:rsidP="00FC5566">
      <w:pPr>
        <w:pStyle w:val="Section"/>
      </w:pPr>
      <w:r w:rsidRPr="00C27C4D">
        <w:t>§101.</w:t>
      </w:r>
      <w:r>
        <w:tab/>
      </w:r>
      <w:r w:rsidRPr="00C27C4D">
        <w:t>Definitions</w:t>
      </w:r>
    </w:p>
    <w:p w14:paraId="372F1776" w14:textId="77777777" w:rsidR="00FC5566" w:rsidRDefault="00FC5566" w:rsidP="00FC5566">
      <w:pPr>
        <w:pStyle w:val="A0"/>
      </w:pPr>
      <w:r w:rsidRPr="00C27C4D">
        <w:t>A.</w:t>
      </w:r>
      <w:r>
        <w:tab/>
      </w:r>
      <w:r w:rsidRPr="00C27C4D">
        <w:t>Unless the context otherwise requires, the words defined in this Section shall have the following meanings when found in this order.</w:t>
      </w:r>
    </w:p>
    <w:p w14:paraId="24A3E49B" w14:textId="77777777" w:rsidR="00FC5566" w:rsidRDefault="00FC5566" w:rsidP="00FC5566">
      <w:pPr>
        <w:pStyle w:val="Text"/>
        <w:jc w:val="center"/>
      </w:pPr>
      <w:r w:rsidRPr="00C27C4D">
        <w:t>*</w:t>
      </w:r>
      <w:r>
        <w:t xml:space="preserve"> </w:t>
      </w:r>
      <w:r w:rsidRPr="00C27C4D">
        <w:t>*</w:t>
      </w:r>
      <w:r>
        <w:t xml:space="preserve"> </w:t>
      </w:r>
      <w:r w:rsidRPr="00C27C4D">
        <w:t>*</w:t>
      </w:r>
    </w:p>
    <w:p w14:paraId="3E85E6E0" w14:textId="77777777" w:rsidR="00FC5566" w:rsidRDefault="00FC5566" w:rsidP="00FC5566">
      <w:pPr>
        <w:pStyle w:val="1"/>
      </w:pPr>
      <w:r w:rsidRPr="00C27C4D">
        <w:rPr>
          <w:i/>
        </w:rPr>
        <w:t>Commissioner</w:t>
      </w:r>
      <w:r>
        <w:t>—</w:t>
      </w:r>
      <w:r w:rsidRPr="00C27C4D">
        <w:t xml:space="preserve">the </w:t>
      </w:r>
      <w:r>
        <w:t>s</w:t>
      </w:r>
      <w:r w:rsidRPr="00C27C4D">
        <w:t xml:space="preserve">ecretary of the </w:t>
      </w:r>
      <w:r>
        <w:t>d</w:t>
      </w:r>
      <w:r w:rsidRPr="00C27C4D">
        <w:t>epartment.</w:t>
      </w:r>
    </w:p>
    <w:p w14:paraId="31F6EDAD" w14:textId="77777777" w:rsidR="00FC5566" w:rsidRDefault="00FC5566" w:rsidP="00FC5566">
      <w:pPr>
        <w:pStyle w:val="1"/>
      </w:pPr>
      <w:r w:rsidRPr="00C27C4D">
        <w:rPr>
          <w:i/>
        </w:rPr>
        <w:t>Department</w:t>
      </w:r>
      <w:r>
        <w:t>—</w:t>
      </w:r>
      <w:r w:rsidRPr="00C27C4D">
        <w:t>the Department of Conservation and Energy.</w:t>
      </w:r>
    </w:p>
    <w:p w14:paraId="6908D891" w14:textId="77777777" w:rsidR="00FC5566" w:rsidRDefault="00FC5566" w:rsidP="00FC5566">
      <w:pPr>
        <w:pStyle w:val="Text"/>
        <w:jc w:val="center"/>
      </w:pPr>
      <w:r w:rsidRPr="00C27C4D">
        <w:t>*</w:t>
      </w:r>
      <w:r>
        <w:t xml:space="preserve"> </w:t>
      </w:r>
      <w:r w:rsidRPr="00C27C4D">
        <w:t>*</w:t>
      </w:r>
      <w:r>
        <w:t xml:space="preserve"> </w:t>
      </w:r>
      <w:r w:rsidRPr="00C27C4D">
        <w:t>*</w:t>
      </w:r>
    </w:p>
    <w:p w14:paraId="136920E6" w14:textId="77777777" w:rsidR="00FC5566" w:rsidRDefault="00FC5566" w:rsidP="00FC5566">
      <w:pPr>
        <w:pStyle w:val="1"/>
        <w:rPr>
          <w:bdr w:val="none" w:sz="0" w:space="0" w:color="auto" w:frame="1"/>
        </w:rPr>
      </w:pPr>
      <w:r w:rsidRPr="00C27C4D">
        <w:rPr>
          <w:i/>
          <w:iCs/>
          <w:bdr w:val="none" w:sz="0" w:space="0" w:color="auto" w:frame="1"/>
        </w:rPr>
        <w:t>Regulated Financial Institution</w:t>
      </w:r>
      <w:r w:rsidRPr="00C27C4D">
        <w:rPr>
          <w:bdr w:val="none" w:sz="0" w:space="0" w:color="auto" w:frame="1"/>
        </w:rPr>
        <w:t>—are state or national banks organized under the provisions of Chapter 3 of Title 6 of the Louisiana Revised Statutes and the National Banking Act (12 U.S.C. 1, et seq.); federal credit unions organized under the Federal Credit Union Act (12 U.S.C. 1751, et seq.); reinsurance companies recognized by the U.S. Department of Treasury as admitted reinsurers; or surety companies or insurers listed on the U.S. Department of Treasury’s list of approved sureties.</w:t>
      </w:r>
    </w:p>
    <w:p w14:paraId="431FD273" w14:textId="77777777" w:rsidR="00FC5566" w:rsidRDefault="00FC5566" w:rsidP="00FC5566">
      <w:pPr>
        <w:pStyle w:val="Text"/>
        <w:jc w:val="center"/>
      </w:pPr>
      <w:r w:rsidRPr="00C27C4D">
        <w:t>*</w:t>
      </w:r>
      <w:r>
        <w:t xml:space="preserve"> </w:t>
      </w:r>
      <w:r w:rsidRPr="00C27C4D">
        <w:t>*</w:t>
      </w:r>
      <w:r>
        <w:t xml:space="preserve"> </w:t>
      </w:r>
      <w:r w:rsidRPr="00C27C4D">
        <w:t>*</w:t>
      </w:r>
    </w:p>
    <w:p w14:paraId="36D956C7" w14:textId="77777777" w:rsidR="00FC5566" w:rsidRPr="00C27C4D" w:rsidRDefault="00FC5566" w:rsidP="00FC5566">
      <w:pPr>
        <w:pStyle w:val="AuthorityNote"/>
      </w:pPr>
      <w:r w:rsidRPr="00C27C4D">
        <w:t>AUTHORITY NOTE:</w:t>
      </w:r>
      <w:r w:rsidRPr="00C27C4D">
        <w:tab/>
        <w:t>Promulgated in accordance with R.S. 30:4 et seq., R.S. 36:353 and 356.1</w:t>
      </w:r>
    </w:p>
    <w:p w14:paraId="4AE2D155" w14:textId="77777777" w:rsidR="00FC5566" w:rsidRDefault="00FC5566" w:rsidP="00FC5566">
      <w:pPr>
        <w:pStyle w:val="HistoricalNote"/>
      </w:pPr>
      <w:r w:rsidRPr="00C27C4D">
        <w:t>HISTORICAL NOTE:</w:t>
      </w:r>
      <w:r w:rsidRPr="00C27C4D">
        <w:tab/>
        <w:t>Adopted by the Department of Conservation (August 1943), amended by the Department of Natural Resources, Office of Conservation, LR 951 (May 2015)</w:t>
      </w:r>
      <w:r>
        <w:t>, LR 52:</w:t>
      </w:r>
    </w:p>
    <w:p w14:paraId="7A8576D4" w14:textId="77777777" w:rsidR="00FC5566" w:rsidRDefault="00FC5566" w:rsidP="00FC5566">
      <w:pPr>
        <w:pStyle w:val="Section"/>
      </w:pPr>
      <w:r w:rsidRPr="00C27C4D">
        <w:t>§104.</w:t>
      </w:r>
      <w:r>
        <w:tab/>
      </w:r>
      <w:r w:rsidRPr="00C27C4D">
        <w:t>Financial Security</w:t>
      </w:r>
    </w:p>
    <w:p w14:paraId="6D2C91C2" w14:textId="77777777" w:rsidR="00FC5566" w:rsidRDefault="00FC5566" w:rsidP="00FC5566">
      <w:pPr>
        <w:pStyle w:val="A0"/>
        <w:tabs>
          <w:tab w:val="clear" w:pos="907"/>
          <w:tab w:val="left" w:pos="990"/>
        </w:tabs>
      </w:pPr>
      <w:r w:rsidRPr="009F6E20">
        <w:t>A. - A.3.</w:t>
      </w:r>
      <w:r w:rsidRPr="009F6E20">
        <w:tab/>
        <w:t>...</w:t>
      </w:r>
    </w:p>
    <w:p w14:paraId="61E0AB4C" w14:textId="77777777" w:rsidR="00FC5566" w:rsidRPr="00C27C4D" w:rsidRDefault="00FC5566" w:rsidP="00FC5566">
      <w:pPr>
        <w:pStyle w:val="A0"/>
      </w:pPr>
      <w:r w:rsidRPr="00C27C4D">
        <w:t>B.</w:t>
      </w:r>
      <w:r>
        <w:tab/>
      </w:r>
      <w:r w:rsidRPr="00C27C4D">
        <w:t>Compliance with this financial security requirement shall be provided by any of the following or a combination thereof:</w:t>
      </w:r>
    </w:p>
    <w:p w14:paraId="03186B23" w14:textId="77777777" w:rsidR="00FC5566" w:rsidRPr="00C27C4D" w:rsidRDefault="00FC5566" w:rsidP="00FC5566">
      <w:pPr>
        <w:pStyle w:val="1"/>
      </w:pPr>
      <w:r w:rsidRPr="00C27C4D">
        <w:rPr>
          <w:bdr w:val="none" w:sz="0" w:space="0" w:color="auto" w:frame="1"/>
        </w:rPr>
        <w:t>1.</w:t>
      </w:r>
      <w:r>
        <w:rPr>
          <w:bdr w:val="none" w:sz="0" w:space="0" w:color="auto" w:frame="1"/>
        </w:rPr>
        <w:tab/>
      </w:r>
      <w:r w:rsidRPr="00C27C4D">
        <w:rPr>
          <w:bdr w:val="none" w:sz="0" w:space="0" w:color="auto" w:frame="1"/>
        </w:rPr>
        <w:t>certificate of deposit issued in sole favor of the</w:t>
      </w:r>
      <w:r>
        <w:rPr>
          <w:bdr w:val="none" w:sz="0" w:space="0" w:color="auto" w:frame="1"/>
        </w:rPr>
        <w:t xml:space="preserve"> </w:t>
      </w:r>
      <w:r w:rsidRPr="00C27C4D">
        <w:rPr>
          <w:bdr w:val="none" w:sz="0" w:space="0" w:color="auto" w:frame="1"/>
        </w:rPr>
        <w:t>Department of Conservation and Energy</w:t>
      </w:r>
      <w:r>
        <w:rPr>
          <w:bdr w:val="none" w:sz="0" w:space="0" w:color="auto" w:frame="1"/>
        </w:rPr>
        <w:t xml:space="preserve"> </w:t>
      </w:r>
      <w:r w:rsidRPr="00C27C4D">
        <w:rPr>
          <w:bdr w:val="none" w:sz="0" w:space="0" w:color="auto" w:frame="1"/>
        </w:rPr>
        <w:t xml:space="preserve">in a form prescribed by the </w:t>
      </w:r>
      <w:r>
        <w:rPr>
          <w:bdr w:val="none" w:sz="0" w:space="0" w:color="auto" w:frame="1"/>
        </w:rPr>
        <w:t>d</w:t>
      </w:r>
      <w:r w:rsidRPr="00C27C4D">
        <w:rPr>
          <w:bdr w:val="none" w:sz="0" w:space="0" w:color="auto" w:frame="1"/>
        </w:rPr>
        <w:t>epartment</w:t>
      </w:r>
      <w:r>
        <w:rPr>
          <w:bdr w:val="none" w:sz="0" w:space="0" w:color="auto" w:frame="1"/>
        </w:rPr>
        <w:t xml:space="preserve"> </w:t>
      </w:r>
      <w:r w:rsidRPr="00C27C4D">
        <w:rPr>
          <w:bdr w:val="none" w:sz="0" w:space="0" w:color="auto" w:frame="1"/>
        </w:rPr>
        <w:t>from a</w:t>
      </w:r>
      <w:r>
        <w:rPr>
          <w:bdr w:val="none" w:sz="0" w:space="0" w:color="auto" w:frame="1"/>
        </w:rPr>
        <w:t xml:space="preserve"> </w:t>
      </w:r>
      <w:r w:rsidRPr="00C27C4D">
        <w:rPr>
          <w:bdr w:val="none" w:sz="0" w:space="0" w:color="auto" w:frame="1"/>
        </w:rPr>
        <w:t xml:space="preserve">regulated financial institution acceptable to the </w:t>
      </w:r>
      <w:r>
        <w:rPr>
          <w:bdr w:val="none" w:sz="0" w:space="0" w:color="auto" w:frame="1"/>
        </w:rPr>
        <w:t>d</w:t>
      </w:r>
      <w:r w:rsidRPr="00C27C4D">
        <w:rPr>
          <w:bdr w:val="none" w:sz="0" w:space="0" w:color="auto" w:frame="1"/>
        </w:rPr>
        <w:t>epartment. A certificate of deposit may not be withdrawn, canceled, rolled over or amended in any manner without the approval of the</w:t>
      </w:r>
      <w:r>
        <w:rPr>
          <w:bdr w:val="none" w:sz="0" w:space="0" w:color="auto" w:frame="1"/>
        </w:rPr>
        <w:t xml:space="preserve"> d</w:t>
      </w:r>
      <w:r w:rsidRPr="00C27C4D">
        <w:rPr>
          <w:bdr w:val="none" w:sz="0" w:space="0" w:color="auto" w:frame="1"/>
        </w:rPr>
        <w:t>epartment; or</w:t>
      </w:r>
    </w:p>
    <w:p w14:paraId="5AD2E01A" w14:textId="77777777" w:rsidR="00FC5566" w:rsidRPr="00C27C4D" w:rsidRDefault="00FC5566" w:rsidP="00FC5566">
      <w:pPr>
        <w:pStyle w:val="1"/>
      </w:pPr>
      <w:r w:rsidRPr="00C27C4D">
        <w:t>2.</w:t>
      </w:r>
      <w:r>
        <w:tab/>
      </w:r>
      <w:r w:rsidRPr="00C27C4D">
        <w:t>a performance bond in sole favor of the</w:t>
      </w:r>
      <w:r>
        <w:t xml:space="preserve"> </w:t>
      </w:r>
      <w:r w:rsidRPr="00C27C4D">
        <w:t>Department of Conservation and Energy</w:t>
      </w:r>
      <w:r>
        <w:t xml:space="preserve"> </w:t>
      </w:r>
      <w:r w:rsidRPr="00C27C4D">
        <w:t>in a form prescribed by the Department issued by</w:t>
      </w:r>
      <w:r>
        <w:t xml:space="preserve"> </w:t>
      </w:r>
      <w:r w:rsidRPr="00C27C4D">
        <w:t xml:space="preserve">a </w:t>
      </w:r>
      <w:r>
        <w:t>r</w:t>
      </w:r>
      <w:r w:rsidRPr="00C27C4D">
        <w:t xml:space="preserve">egulated </w:t>
      </w:r>
      <w:r>
        <w:t>f</w:t>
      </w:r>
      <w:r w:rsidRPr="00C27C4D">
        <w:t xml:space="preserve">inancial </w:t>
      </w:r>
      <w:r>
        <w:t>i</w:t>
      </w:r>
      <w:r w:rsidRPr="00C27C4D">
        <w:t>nstitution authorized to do business in the state of Louisiana; or</w:t>
      </w:r>
    </w:p>
    <w:p w14:paraId="66EC1CBD" w14:textId="77777777" w:rsidR="00FC5566" w:rsidRPr="00C27C4D" w:rsidRDefault="00FC5566" w:rsidP="00FC5566">
      <w:pPr>
        <w:pStyle w:val="1"/>
      </w:pPr>
      <w:r w:rsidRPr="00C27C4D">
        <w:t>3.</w:t>
      </w:r>
      <w:r>
        <w:tab/>
      </w:r>
      <w:r w:rsidRPr="00C27C4D">
        <w:t>letter of credit in sole favor of the</w:t>
      </w:r>
      <w:r>
        <w:t xml:space="preserve"> D</w:t>
      </w:r>
      <w:r w:rsidRPr="00C27C4D">
        <w:t>epartment of Conservation and Energy in a form prescribed by the</w:t>
      </w:r>
      <w:r>
        <w:t xml:space="preserve"> d</w:t>
      </w:r>
      <w:r w:rsidRPr="00C27C4D">
        <w:t>epartment issued by</w:t>
      </w:r>
      <w:r>
        <w:t xml:space="preserve"> </w:t>
      </w:r>
      <w:r w:rsidRPr="00C27C4D">
        <w:t xml:space="preserve">a </w:t>
      </w:r>
      <w:r w:rsidRPr="008D676E">
        <w:t>regulated financial institution</w:t>
      </w:r>
      <w:r>
        <w:t xml:space="preserve"> </w:t>
      </w:r>
      <w:r w:rsidRPr="00C27C4D">
        <w:t xml:space="preserve">acceptable to the commissioner; or </w:t>
      </w:r>
    </w:p>
    <w:p w14:paraId="0B176098" w14:textId="77777777" w:rsidR="00FC5566" w:rsidRPr="00C27C4D" w:rsidRDefault="00FC5566" w:rsidP="00FC5566">
      <w:pPr>
        <w:pStyle w:val="1"/>
      </w:pPr>
      <w:r w:rsidRPr="00C27C4D">
        <w:t>4.</w:t>
      </w:r>
      <w:r>
        <w:tab/>
      </w:r>
      <w:r w:rsidRPr="00C27C4D">
        <w:t>a site specific trust account in accordance with R.S. 30:88</w:t>
      </w:r>
      <w:r>
        <w:t xml:space="preserve"> </w:t>
      </w:r>
      <w:r w:rsidRPr="00C27C4D">
        <w:t>or 88.1</w:t>
      </w:r>
      <w:r w:rsidRPr="00C27C4D">
        <w:rPr>
          <w:bdr w:val="none" w:sz="0" w:space="0" w:color="auto" w:frame="1"/>
        </w:rPr>
        <w:t>.;</w:t>
      </w:r>
      <w:r>
        <w:rPr>
          <w:bdr w:val="none" w:sz="0" w:space="0" w:color="auto" w:frame="1"/>
        </w:rPr>
        <w:t xml:space="preserve"> </w:t>
      </w:r>
      <w:r w:rsidRPr="00C27C4D">
        <w:rPr>
          <w:bdr w:val="none" w:sz="0" w:space="0" w:color="auto" w:frame="1"/>
        </w:rPr>
        <w:t>or</w:t>
      </w:r>
    </w:p>
    <w:p w14:paraId="1AE16A35" w14:textId="77777777" w:rsidR="00FC5566" w:rsidRDefault="00FC5566" w:rsidP="00FC5566">
      <w:pPr>
        <w:pStyle w:val="1"/>
        <w:rPr>
          <w:bdr w:val="none" w:sz="0" w:space="0" w:color="auto" w:frame="1"/>
        </w:rPr>
      </w:pPr>
      <w:r w:rsidRPr="00C27C4D">
        <w:rPr>
          <w:bdr w:val="none" w:sz="0" w:space="0" w:color="auto" w:frame="1"/>
        </w:rPr>
        <w:t>5.</w:t>
      </w:r>
      <w:r>
        <w:rPr>
          <w:bdr w:val="none" w:sz="0" w:space="0" w:color="auto" w:frame="1"/>
        </w:rPr>
        <w:tab/>
      </w:r>
      <w:r w:rsidRPr="00C27C4D">
        <w:rPr>
          <w:bdr w:val="none" w:sz="0" w:space="0" w:color="auto" w:frame="1"/>
        </w:rPr>
        <w:t xml:space="preserve">a written certification issued by the Louisiana Natural Resources Trust Authority confirming that the operator has satisfied the financial security requirements established by the Natural Resource Trust Authority pursuant to R.S. 36:356.1 and other applicable laws. </w:t>
      </w:r>
    </w:p>
    <w:p w14:paraId="54B43591" w14:textId="77777777" w:rsidR="00FC5566" w:rsidRDefault="00FC5566" w:rsidP="00FC5566">
      <w:pPr>
        <w:pStyle w:val="A0"/>
      </w:pPr>
      <w:r w:rsidRPr="009F6E20">
        <w:t>C. - J.6.</w:t>
      </w:r>
      <w:r w:rsidRPr="009F6E20">
        <w:tab/>
        <w:t>...</w:t>
      </w:r>
    </w:p>
    <w:p w14:paraId="2077CC00" w14:textId="77777777" w:rsidR="00FC5566" w:rsidRPr="00C27C4D" w:rsidRDefault="00FC5566" w:rsidP="00FC5566">
      <w:pPr>
        <w:pStyle w:val="AuthorityNote"/>
      </w:pPr>
      <w:r w:rsidRPr="00C27C4D">
        <w:t>AUTHORITY NOTE:</w:t>
      </w:r>
      <w:r w:rsidRPr="00C27C4D">
        <w:tab/>
        <w:t>Promulgated in accordance with R.S. 30:4 et seq.</w:t>
      </w:r>
    </w:p>
    <w:p w14:paraId="2ED9EB0D" w14:textId="77777777" w:rsidR="00FC5566" w:rsidRDefault="00FC5566" w:rsidP="00FC5566">
      <w:pPr>
        <w:pStyle w:val="HistoricalNote"/>
      </w:pPr>
      <w:r w:rsidRPr="00C27C4D">
        <w:t>HISTORICAL NOTE:</w:t>
      </w:r>
      <w:r w:rsidRPr="00C27C4D">
        <w:tab/>
        <w:t>Promulgated by the Department of Natural Resources, Office of Conservation, LR 26:1306 (June 2000), amended LR 27:1917 (November 2001), LR 41:952 (May 2015), LR 43:535 (March 2017), LR 45:579 (April 2019)</w:t>
      </w:r>
      <w:r>
        <w:t>, LR 52:</w:t>
      </w:r>
    </w:p>
    <w:p w14:paraId="791B1D66" w14:textId="77777777" w:rsidR="00FC5566" w:rsidRDefault="00FC5566" w:rsidP="00FC5566">
      <w:pPr>
        <w:pStyle w:val="HistoricalNote"/>
      </w:pPr>
    </w:p>
    <w:p w14:paraId="2043BD6E" w14:textId="77777777" w:rsidR="00FC5566" w:rsidRPr="00C27C4D" w:rsidRDefault="00FC5566" w:rsidP="00FC5566">
      <w:pPr>
        <w:pStyle w:val="RegSignature"/>
      </w:pPr>
      <w:r w:rsidRPr="00C27C4D">
        <w:t>Dustin H. Davidson</w:t>
      </w:r>
    </w:p>
    <w:p w14:paraId="61C6E3AD" w14:textId="77777777" w:rsidR="00FC5566" w:rsidRDefault="00FC5566" w:rsidP="00FC5566">
      <w:pPr>
        <w:pStyle w:val="RegSignature"/>
      </w:pPr>
      <w:r w:rsidRPr="00C27C4D">
        <w:t>Secretary</w:t>
      </w:r>
    </w:p>
    <w:p w14:paraId="26193EF6" w14:textId="77777777" w:rsidR="00FC5566" w:rsidRPr="00C27C4D" w:rsidRDefault="00FC5566" w:rsidP="00FC5566">
      <w:pPr>
        <w:pStyle w:val="RegLogNumber"/>
      </w:pPr>
      <w:r>
        <w:t>2608#011</w:t>
      </w:r>
    </w:p>
    <w:p w14:paraId="31913869" w14:textId="77777777" w:rsidR="00FC5566" w:rsidRPr="000C6F51" w:rsidRDefault="00FC5566" w:rsidP="00FC5566"/>
    <w:p w14:paraId="2B2DF434" w14:textId="77777777" w:rsidR="00FC5566" w:rsidRDefault="00FC5566" w:rsidP="00FC5566">
      <w:pPr>
        <w:pStyle w:val="RegItemFirstLine"/>
      </w:pPr>
      <w:r>
        <w:t>DECLARATION OF EMERGENCY</w:t>
      </w:r>
    </w:p>
    <w:p w14:paraId="1CFE437D" w14:textId="77777777" w:rsidR="00FC5566" w:rsidRDefault="00FC5566" w:rsidP="00FC5566">
      <w:pPr>
        <w:pStyle w:val="RegDepartment"/>
      </w:pPr>
      <w:r>
        <w:t>Department of Insurance</w:t>
      </w:r>
    </w:p>
    <w:p w14:paraId="616FC8A8" w14:textId="77777777" w:rsidR="00FC5566" w:rsidRPr="002B0D8F" w:rsidRDefault="00FC5566" w:rsidP="00FC5566">
      <w:pPr>
        <w:pStyle w:val="RegDepartment"/>
      </w:pPr>
      <w:r>
        <w:t>Office of the Commissioner</w:t>
      </w:r>
    </w:p>
    <w:p w14:paraId="1871C25B" w14:textId="77777777" w:rsidR="00FC5566" w:rsidRDefault="00FC5566" w:rsidP="00FC5566">
      <w:pPr>
        <w:pStyle w:val="RegItemTitle"/>
        <w:spacing w:before="240"/>
      </w:pPr>
      <w:r w:rsidRPr="00D80C77">
        <w:t>Emergency Rule 51</w:t>
      </w:r>
      <w:r>
        <w:t>—</w:t>
      </w:r>
      <w:r w:rsidRPr="00D80C77">
        <w:t xml:space="preserve">Correction of Annual Health Insurance Portability and Accountability </w:t>
      </w:r>
      <w:r>
        <w:br/>
      </w:r>
      <w:r w:rsidRPr="00D80C77">
        <w:t xml:space="preserve">ACT Assessment Rate </w:t>
      </w:r>
    </w:p>
    <w:p w14:paraId="5F39D10F" w14:textId="77777777" w:rsidR="00FC5566" w:rsidRDefault="00FC5566" w:rsidP="00FC5566">
      <w:pPr>
        <w:pStyle w:val="A0"/>
      </w:pPr>
      <w:r w:rsidRPr="00D80C77">
        <w:t>The Department of Insurance hereby exercises the emergency provisions of the Administrative Procedure Act, R.S. 49:962, and pursuant to the authority granted by R.S. 22:2., and R.S. 22:1071, adopts</w:t>
      </w:r>
      <w:r w:rsidRPr="00D80C77">
        <w:rPr>
          <w:color w:val="FF0000"/>
        </w:rPr>
        <w:t xml:space="preserve"> </w:t>
      </w:r>
      <w:r w:rsidRPr="00D80C77">
        <w:t>Emergency Rule 51 effective August 3, 2026. Emergency Rule 51 will remain in effect until August 31, 2026, unless terminated earlier by the commissioner of insurance (“commissioner”). The commissioner finds that imminent peril to the public health, safety, and welfare exists absent immediate measures to ensure timely and accurate reassessment of the Health Insurance Portability and Accountability Act (“HIPAA”) assessment.</w:t>
      </w:r>
      <w:r>
        <w:t xml:space="preserve"> </w:t>
      </w:r>
      <w:r w:rsidRPr="00D80C77">
        <w:t xml:space="preserve">Emergency Rule 51 is issued to correct the annual assessment rate amount published in the Louisiana State Register as a Potpourri in the June 20, 2026, edition. The fee required by R.S. 22:1071 is for the administration and for the enforcement of the HIPAA assessment. The shortfall in the HIPAA annual fee assessment rate impairs the Louisiana Department of Insurance's Office of Health, Life, and Annuity's ability to effectively administer and enforce the state's HIPAA requirements. Without sufficient funding, this office will be forced to discontinue its administration and enforcement of these state law provisions, which are necessary to maintain compliance with federal law. The shutdown of the Office of Health, Life, and Annuity will prevent the administration and enforcement of R.S. 22:1071. This action is necessary because allowing these services to lapse would create an imminent peril to the public health, safety, and welfare under R.S. 49:962(A)(1)(a), as these services would no longer be available to the citizens of this state. Additionally, the shortage of the annual assessment rate will cause a shortage in the state’s general fund as these monies are deposited into the Louisiana State Treasury. Furthermore, this shortage will impact the Medical Assistance Program administered by the Louisiana Department of Health as these monies are provided to them to administer this program and create an imminent peril to the public health, safety, or welfare pursuant to R.S. 49:962(A)(1)(a) and (c). Finally, </w:t>
      </w:r>
      <w:bookmarkStart w:id="24" w:name="_Hlk176874432"/>
      <w:r w:rsidRPr="00D80C77">
        <w:t>Emergency Rule 51 is issued pursuant to</w:t>
      </w:r>
      <w:bookmarkEnd w:id="24"/>
      <w:r w:rsidRPr="00D80C77">
        <w:t xml:space="preserve"> R.S. 49:962(A)(1)(a) and (c). This action is being taken due to an </w:t>
      </w:r>
      <w:r>
        <w:br w:type="page"/>
      </w:r>
      <w:r w:rsidRPr="00D80C77">
        <w:lastRenderedPageBreak/>
        <w:t>urgent need to protect the health, safety, and welfare of the public and shall be effective upon signature. Under the authority of R.S. 22:2, and R.S. 22:1071, and in accordance with the emergency-rulemaking provisions of the Administrative Procedure Act, R.S. 49:962, the commissioner of insurance hereby adopts the following Emergency Rule.</w:t>
      </w:r>
    </w:p>
    <w:p w14:paraId="48160889" w14:textId="77777777" w:rsidR="00FC5566" w:rsidRPr="00D80C77" w:rsidRDefault="00FC5566" w:rsidP="00FC5566">
      <w:pPr>
        <w:pStyle w:val="RegCodeTitle"/>
      </w:pPr>
      <w:r w:rsidRPr="00D80C77">
        <w:t>Title 37</w:t>
      </w:r>
    </w:p>
    <w:p w14:paraId="105252AE" w14:textId="77777777" w:rsidR="00FC5566" w:rsidRPr="00D80C77" w:rsidRDefault="00FC5566" w:rsidP="00FC5566">
      <w:pPr>
        <w:pStyle w:val="RegCodeTitle"/>
      </w:pPr>
      <w:r w:rsidRPr="00D80C77">
        <w:t>INSURANCE</w:t>
      </w:r>
    </w:p>
    <w:p w14:paraId="413A87B2" w14:textId="77777777" w:rsidR="00FC5566" w:rsidRPr="00D80C77" w:rsidRDefault="00FC5566" w:rsidP="00FC5566">
      <w:pPr>
        <w:pStyle w:val="RegCodePart"/>
      </w:pPr>
      <w:r w:rsidRPr="00D80C77">
        <w:t>Part XI.</w:t>
      </w:r>
      <w:r>
        <w:t xml:space="preserve">  </w:t>
      </w:r>
      <w:r w:rsidRPr="00D80C77">
        <w:t>Rules</w:t>
      </w:r>
    </w:p>
    <w:p w14:paraId="7D749120" w14:textId="77777777" w:rsidR="00FC5566" w:rsidRPr="00D80C77" w:rsidRDefault="00FC5566" w:rsidP="00FC5566">
      <w:pPr>
        <w:pStyle w:val="Chapter"/>
      </w:pPr>
      <w:r w:rsidRPr="00D80C77">
        <w:t>Chapter 51.</w:t>
      </w:r>
      <w:r w:rsidRPr="00D80C77">
        <w:tab/>
        <w:t>Emergency Rule 51</w:t>
      </w:r>
      <w:r w:rsidRPr="00D80C77">
        <w:rPr>
          <w:bCs/>
        </w:rPr>
        <w:t>—</w:t>
      </w:r>
      <w:r w:rsidRPr="00D80C77">
        <w:t xml:space="preserve">Correction of Annual Health Insurance Portability and Accountability ACT Assessment Rate </w:t>
      </w:r>
    </w:p>
    <w:p w14:paraId="7BF0742E" w14:textId="77777777" w:rsidR="00FC5566" w:rsidRPr="00D80C77" w:rsidRDefault="00FC5566" w:rsidP="00FC5566">
      <w:pPr>
        <w:pStyle w:val="Section"/>
      </w:pPr>
      <w:r w:rsidRPr="00D80C77">
        <w:t>§5101.</w:t>
      </w:r>
      <w:r w:rsidRPr="00D80C77">
        <w:tab/>
        <w:t>Purpose and Emergency Findings</w:t>
      </w:r>
    </w:p>
    <w:p w14:paraId="52A5F6C8" w14:textId="77777777" w:rsidR="00FC5566" w:rsidRPr="00D80C77" w:rsidRDefault="00FC5566" w:rsidP="00FC5566">
      <w:pPr>
        <w:pStyle w:val="A0"/>
      </w:pPr>
      <w:r w:rsidRPr="00D80C77">
        <w:t>A.</w:t>
      </w:r>
      <w:r w:rsidRPr="00D80C77">
        <w:tab/>
      </w:r>
      <w:r w:rsidRPr="00D80C77">
        <w:rPr>
          <w:bCs/>
        </w:rPr>
        <w:t>Purpose.</w:t>
      </w:r>
      <w:r w:rsidRPr="00D80C77">
        <w:t xml:space="preserve"> This Emergency Rule 51 is to correct the annual assessment percentage amount imposed under R.S. 22:1071(D)(2) upon insurers for the cost of administering and enforcing that Subpart of R.S. 22:1061 et seq. found in Louisiana Revised Statute in Title 22. Prior Department guidance issued via a Potpourri published in the state register as a Potpourri in June 20, 2026, incorrectly established a .0000197 assessment rate. The correct assessment rate to be established by Emergency Rule 51 is a .000197 assessment amount edition. </w:t>
      </w:r>
    </w:p>
    <w:p w14:paraId="43F92A0D" w14:textId="77777777" w:rsidR="00FC5566" w:rsidRPr="00D80C77" w:rsidRDefault="00FC5566" w:rsidP="00FC5566">
      <w:pPr>
        <w:pStyle w:val="A0"/>
      </w:pPr>
      <w:r w:rsidRPr="00D80C77">
        <w:t>B.</w:t>
      </w:r>
      <w:r w:rsidRPr="00D80C77">
        <w:tab/>
        <w:t>Each insurer subject to R.S. 22:1071 shall be assessed, and shall pay to the commissioner, the amount computed by applying the corrected percentage in Subsection A to the premiums reported on the form filed under R.S. 22:1071(D)(2)(b) no later than August 7, 2026.</w:t>
      </w:r>
    </w:p>
    <w:p w14:paraId="48CF14EE" w14:textId="77777777" w:rsidR="00FC5566" w:rsidRPr="00D80C77" w:rsidRDefault="00FC5566" w:rsidP="00FC5566">
      <w:pPr>
        <w:pStyle w:val="AuthorityNote"/>
      </w:pPr>
      <w:r w:rsidRPr="00D80C77">
        <w:t>AUTHORITY NOTE:</w:t>
      </w:r>
      <w:r w:rsidRPr="00D80C77">
        <w:tab/>
        <w:t>Promulgated in accordance with R.S. 22:2 and R.S. 49:962, to implement and enforce the provisions of R.S. 22:1071 of Part III, Chapter 4, Subpart C. of Title 22 of the Louisiana Revised Statutes of 1950, as amended.</w:t>
      </w:r>
    </w:p>
    <w:p w14:paraId="4B62D0FE" w14:textId="77777777" w:rsidR="00FC5566" w:rsidRPr="00D80C77" w:rsidRDefault="00FC5566" w:rsidP="00FC5566">
      <w:pPr>
        <w:pStyle w:val="HistoricalNote"/>
      </w:pPr>
      <w:r w:rsidRPr="00D80C77">
        <w:t>HISTORICAL NOTE:</w:t>
      </w:r>
      <w:r w:rsidRPr="00D80C77">
        <w:tab/>
        <w:t>Promulgated by the Department of Insurance, Office of the Commissioner, LR 52:</w:t>
      </w:r>
    </w:p>
    <w:p w14:paraId="28F874A5" w14:textId="77777777" w:rsidR="00FC5566" w:rsidRPr="00D80C77" w:rsidRDefault="00FC5566" w:rsidP="00FC5566">
      <w:pPr>
        <w:pStyle w:val="Section"/>
      </w:pPr>
      <w:r w:rsidRPr="00D80C77">
        <w:t>§5103.</w:t>
      </w:r>
      <w:r w:rsidRPr="00D80C77">
        <w:tab/>
        <w:t>Applicability</w:t>
      </w:r>
    </w:p>
    <w:p w14:paraId="5E9FA5A5" w14:textId="77777777" w:rsidR="00FC5566" w:rsidRPr="00D80C77" w:rsidRDefault="00FC5566" w:rsidP="00FC5566">
      <w:pPr>
        <w:pStyle w:val="A0"/>
      </w:pPr>
      <w:r w:rsidRPr="00D80C77">
        <w:t>A.</w:t>
      </w:r>
      <w:r w:rsidRPr="00D80C77">
        <w:tab/>
        <w:t>This Emergency Rule applies to each insurer that issues, sells, renews, or offers health insurance coverage subject to and that is assessed under R.S. 22:1071(D)(2).</w:t>
      </w:r>
    </w:p>
    <w:p w14:paraId="2DA2A4A0" w14:textId="77777777" w:rsidR="00FC5566" w:rsidRPr="00D80C77" w:rsidRDefault="00FC5566" w:rsidP="00FC5566">
      <w:pPr>
        <w:pStyle w:val="AuthorityNote"/>
      </w:pPr>
      <w:r w:rsidRPr="00D80C77">
        <w:t>AUTHORITY NOTE:</w:t>
      </w:r>
      <w:r w:rsidRPr="00D80C77">
        <w:tab/>
        <w:t>Promulgated in accordance with R.S. 22:2 and R.S. 49:962, to implement and enforce the provisions of R.S. 22:1071 of Part III, Chapter 4, Subpart C. of Title 22 of the Louisiana Revised Statutes of 1950, as amended.</w:t>
      </w:r>
    </w:p>
    <w:p w14:paraId="5392675D" w14:textId="77777777" w:rsidR="00FC5566" w:rsidRPr="00D80C77" w:rsidRDefault="00FC5566" w:rsidP="00FC5566">
      <w:pPr>
        <w:pStyle w:val="HistoricalNote"/>
      </w:pPr>
      <w:r w:rsidRPr="00D80C77">
        <w:t>HISTORICAL NOTE:</w:t>
      </w:r>
      <w:r w:rsidRPr="00D80C77">
        <w:tab/>
        <w:t>Promulgated by the Department of Insurance, Office of the Commissioner, LR 52:</w:t>
      </w:r>
    </w:p>
    <w:p w14:paraId="32944170" w14:textId="77777777" w:rsidR="00FC5566" w:rsidRPr="00D80C77" w:rsidRDefault="00FC5566" w:rsidP="00FC5566">
      <w:pPr>
        <w:pStyle w:val="Section"/>
      </w:pPr>
      <w:r w:rsidRPr="00D80C77">
        <w:t>§5105.</w:t>
      </w:r>
      <w:r w:rsidRPr="00D80C77">
        <w:tab/>
        <w:t>Reservation of Authority</w:t>
      </w:r>
    </w:p>
    <w:p w14:paraId="7C9F39AE" w14:textId="77777777" w:rsidR="00FC5566" w:rsidRPr="00D80C77" w:rsidRDefault="00FC5566" w:rsidP="00FC5566">
      <w:pPr>
        <w:pStyle w:val="A0"/>
      </w:pPr>
      <w:r w:rsidRPr="00D80C77">
        <w:t>A.</w:t>
      </w:r>
      <w:r w:rsidRPr="00D80C77">
        <w:tab/>
        <w:t>The commissioner reserves the right to amend, modify, alter, extend, or terminate all or any portion of this Emergency Rule, consistent with R.S. 49:962.</w:t>
      </w:r>
    </w:p>
    <w:p w14:paraId="0374B9CE" w14:textId="77777777" w:rsidR="00FC5566" w:rsidRPr="00D80C77" w:rsidRDefault="00FC5566" w:rsidP="00FC5566">
      <w:pPr>
        <w:pStyle w:val="AuthorityNote"/>
      </w:pPr>
      <w:r w:rsidRPr="00D80C77">
        <w:t>AUTHORITY NOTE:</w:t>
      </w:r>
      <w:r w:rsidRPr="00D80C77">
        <w:tab/>
        <w:t>Promulgated in accordance with R.S. 22:2 and R.S. 49:962, to implement and enforce the provisions of R.S. 22:1071 of Part III, Chapter 4, Subpart C. of Title 22 of the Louisiana Revised Statutes of 1950, as amended.</w:t>
      </w:r>
    </w:p>
    <w:p w14:paraId="3008D566" w14:textId="77777777" w:rsidR="00FC5566" w:rsidRPr="00D80C77" w:rsidRDefault="00FC5566" w:rsidP="00FC5566">
      <w:pPr>
        <w:pStyle w:val="HistoricalNote"/>
      </w:pPr>
      <w:r w:rsidRPr="00D80C77">
        <w:t>HISTORICAL NOTE:</w:t>
      </w:r>
      <w:r w:rsidRPr="00D80C77">
        <w:tab/>
        <w:t>Promulgated by the Department of Insurance, Office of the Commissioner, LR 52:</w:t>
      </w:r>
    </w:p>
    <w:p w14:paraId="5DEF816B" w14:textId="77777777" w:rsidR="00FC5566" w:rsidRPr="00D80C77" w:rsidRDefault="00FC5566" w:rsidP="00FC5566">
      <w:pPr>
        <w:pStyle w:val="Section"/>
      </w:pPr>
      <w:r w:rsidRPr="00D80C77">
        <w:t>§5107.</w:t>
      </w:r>
      <w:r w:rsidRPr="00D80C77">
        <w:tab/>
        <w:t>Severability Clause</w:t>
      </w:r>
    </w:p>
    <w:p w14:paraId="4844DE21" w14:textId="77777777" w:rsidR="00FC5566" w:rsidRPr="00D80C77" w:rsidRDefault="00FC5566" w:rsidP="00FC5566">
      <w:pPr>
        <w:pStyle w:val="A0"/>
      </w:pPr>
      <w:r w:rsidRPr="00D80C77">
        <w:t>A.</w:t>
      </w:r>
      <w:r w:rsidRPr="00D80C77">
        <w:tab/>
        <w:t xml:space="preserve">If any section or provision of Emergency Rule 51 or its application to any person or circumstance is held invalid, such invalidity or determination shall not affect other section or provision or the application of Emergency Rule 51 to any person or circumstance that can be given effect without the invalid section or provision or application, and for these purposes the sections and provisions of Emergency Rule 51 and the application to any persons or circumstances are severable. </w:t>
      </w:r>
    </w:p>
    <w:p w14:paraId="150A8649" w14:textId="77777777" w:rsidR="00FC5566" w:rsidRPr="00D80C77" w:rsidRDefault="00FC5566" w:rsidP="00FC5566">
      <w:pPr>
        <w:pStyle w:val="AuthorityNote"/>
      </w:pPr>
      <w:r w:rsidRPr="00D80C77">
        <w:t>AUTHORITY NOTE:</w:t>
      </w:r>
      <w:r w:rsidRPr="00D80C77">
        <w:tab/>
        <w:t>Promulgated in accordance with R.S. 22:2 and R.S. 49:962, to implement and enforce the provisions of R.S. 22:1071 of Part III, Chapter 4, Subpart C. of Title 22 of the Louisiana Revised Statutes of 1950, as amended.</w:t>
      </w:r>
    </w:p>
    <w:p w14:paraId="4FCE6062" w14:textId="77777777" w:rsidR="00FC5566" w:rsidRPr="00D80C77" w:rsidRDefault="00FC5566" w:rsidP="00FC5566">
      <w:pPr>
        <w:pStyle w:val="HistoricalNote"/>
      </w:pPr>
      <w:r w:rsidRPr="00D80C77">
        <w:t>HISTORICAL NOTE:</w:t>
      </w:r>
      <w:r w:rsidRPr="00D80C77">
        <w:tab/>
        <w:t>Promulgated by the Department of Insurance, Office of the Commissioner, LR 52:</w:t>
      </w:r>
    </w:p>
    <w:p w14:paraId="3B545C7B" w14:textId="77777777" w:rsidR="00FC5566" w:rsidRPr="00D80C77" w:rsidRDefault="00FC5566" w:rsidP="00FC5566">
      <w:pPr>
        <w:pStyle w:val="Section"/>
      </w:pPr>
      <w:r w:rsidRPr="00D80C77">
        <w:t>§5109.</w:t>
      </w:r>
      <w:r w:rsidRPr="00D80C77">
        <w:tab/>
        <w:t xml:space="preserve">Effective Date and Duration </w:t>
      </w:r>
    </w:p>
    <w:p w14:paraId="2E6C9C19" w14:textId="77777777" w:rsidR="00FC5566" w:rsidRPr="00D80C77" w:rsidRDefault="00FC5566" w:rsidP="00FC5566">
      <w:pPr>
        <w:pStyle w:val="A0"/>
      </w:pPr>
      <w:r w:rsidRPr="00D80C77">
        <w:t>A.</w:t>
      </w:r>
      <w:r w:rsidRPr="00D80C77">
        <w:tab/>
        <w:t>This Emergency Rule shall become effective at 12:01 a.m. on August 3, 2026, and shall continue in full force and effect until 11:59 p.m. on August 31, 2026 unless earlier amended, terminated, or nullified as provided by law.</w:t>
      </w:r>
    </w:p>
    <w:p w14:paraId="17AD3484" w14:textId="77777777" w:rsidR="00FC5566" w:rsidRPr="00D80C77" w:rsidRDefault="00FC5566" w:rsidP="00FC5566">
      <w:pPr>
        <w:pStyle w:val="AuthorityNote"/>
      </w:pPr>
      <w:r w:rsidRPr="00D80C77">
        <w:t>AUTHORITY NOTE:</w:t>
      </w:r>
      <w:r w:rsidRPr="00D80C77">
        <w:tab/>
        <w:t>Promulgated in accordance with R.S. 22:2 and R.S. 49:962, to implement and enforce the provisions of R.S. 22:1071 of Part III, Chapter 4, Subpart C. of Title 22 of the Louisiana Revised Statutes of 1950, as amended.</w:t>
      </w:r>
    </w:p>
    <w:p w14:paraId="6AC45FBA" w14:textId="77777777" w:rsidR="00FC5566" w:rsidRDefault="00FC5566" w:rsidP="00FC5566">
      <w:pPr>
        <w:pStyle w:val="HistoricalNote"/>
      </w:pPr>
      <w:r w:rsidRPr="00D80C77">
        <w:t>HISTORICAL NOTE:</w:t>
      </w:r>
      <w:r w:rsidRPr="00D80C77">
        <w:tab/>
        <w:t>Promulgated by the Department of Insurance, Office of the Commissioner, LR 52:</w:t>
      </w:r>
    </w:p>
    <w:p w14:paraId="0A99501E" w14:textId="77777777" w:rsidR="00FC5566" w:rsidRDefault="00FC5566" w:rsidP="00FC5566">
      <w:pPr>
        <w:pStyle w:val="HistoricalNote"/>
      </w:pPr>
    </w:p>
    <w:p w14:paraId="36A357CE" w14:textId="77777777" w:rsidR="00FC5566" w:rsidRPr="00D80C77" w:rsidRDefault="00FC5566" w:rsidP="00FC5566">
      <w:pPr>
        <w:pStyle w:val="RegSignature"/>
      </w:pPr>
      <w:r w:rsidRPr="00D80C77">
        <w:t>Timothy J. Temple</w:t>
      </w:r>
    </w:p>
    <w:p w14:paraId="336C4990" w14:textId="77777777" w:rsidR="00FC5566" w:rsidRDefault="00FC5566" w:rsidP="00FC5566">
      <w:pPr>
        <w:pStyle w:val="RegSignature"/>
      </w:pPr>
      <w:r w:rsidRPr="00D80C77">
        <w:t xml:space="preserve">Commissioner </w:t>
      </w:r>
    </w:p>
    <w:p w14:paraId="5C4ED6FA" w14:textId="77777777" w:rsidR="00FC5566" w:rsidRPr="00D80C77" w:rsidRDefault="00FC5566" w:rsidP="00FC5566">
      <w:pPr>
        <w:pStyle w:val="RegLogNumber"/>
      </w:pPr>
      <w:r>
        <w:t>2608#019</w:t>
      </w:r>
    </w:p>
    <w:p w14:paraId="579A2177" w14:textId="77777777" w:rsidR="00FC5566" w:rsidRPr="000C6F51" w:rsidRDefault="00FC5566" w:rsidP="00FC5566"/>
    <w:p w14:paraId="4F02BA9B" w14:textId="77777777" w:rsidR="00FC5566" w:rsidRDefault="00FC5566" w:rsidP="00FC5566">
      <w:pPr>
        <w:pStyle w:val="RegItemFirstLine"/>
      </w:pPr>
      <w:r>
        <w:t>DECLARATION OF EMERGENCY</w:t>
      </w:r>
    </w:p>
    <w:p w14:paraId="36BDA71F" w14:textId="77777777" w:rsidR="00FC5566" w:rsidRDefault="00FC5566" w:rsidP="00FC5566">
      <w:pPr>
        <w:pStyle w:val="RegDepartment"/>
      </w:pPr>
      <w:r>
        <w:t>Department of Wildlife and Fisheries</w:t>
      </w:r>
    </w:p>
    <w:p w14:paraId="24C12FCC" w14:textId="77777777" w:rsidR="00FC5566" w:rsidRPr="00554876" w:rsidRDefault="00FC5566" w:rsidP="00FC5566">
      <w:pPr>
        <w:pStyle w:val="RegDepartment"/>
      </w:pPr>
      <w:r>
        <w:t>Wildlife and Fisheries Commission</w:t>
      </w:r>
    </w:p>
    <w:p w14:paraId="22536F4A" w14:textId="77777777" w:rsidR="00FC5566" w:rsidRPr="00554876" w:rsidRDefault="00FC5566" w:rsidP="00FC5566">
      <w:pPr>
        <w:pStyle w:val="RegItemTitle"/>
        <w:spacing w:before="240"/>
      </w:pPr>
      <w:r w:rsidRPr="00B563E0">
        <w:t>2026 Commercial Greater Amberjack Season Modification</w:t>
      </w:r>
    </w:p>
    <w:p w14:paraId="75E13CFA" w14:textId="77777777" w:rsidR="00FC5566" w:rsidRPr="00B563E0" w:rsidRDefault="00FC5566" w:rsidP="00FC5566">
      <w:pPr>
        <w:pStyle w:val="A0"/>
      </w:pPr>
      <w:r w:rsidRPr="00B563E0">
        <w:t>Louisiana’s commercial greater amberjack season was previously scheduled to remain open through the remainder of 2026.</w:t>
      </w:r>
      <w:r>
        <w:t xml:space="preserve"> </w:t>
      </w:r>
      <w:r w:rsidRPr="00B563E0">
        <w:t>The regional administrator of NOAA Fisheries has informed the secretary that the 2026 commercial annual catch target has been met.</w:t>
      </w:r>
      <w:r>
        <w:t xml:space="preserve"> </w:t>
      </w:r>
      <w:r w:rsidRPr="00B563E0">
        <w:t>The season for the commercial harvest of greater amberjack in the federal waters of the Gulf of America will be closed on August 8, 2026 by NOAA Fisheries.</w:t>
      </w:r>
      <w:r>
        <w:t xml:space="preserve"> </w:t>
      </w:r>
      <w:r w:rsidRPr="00B563E0">
        <w:t xml:space="preserve">Compatible season regulations in state waters are preferable to provide effective rules and efficient enforcement for the fishery, and to prevent overfishing of the species in the long term. </w:t>
      </w:r>
    </w:p>
    <w:p w14:paraId="5CED2D84" w14:textId="77777777" w:rsidR="00FC5566" w:rsidRPr="00B563E0" w:rsidRDefault="00FC5566" w:rsidP="00FC5566">
      <w:pPr>
        <w:pStyle w:val="A0"/>
        <w:rPr>
          <w:color w:val="000000"/>
        </w:rPr>
      </w:pPr>
      <w:r w:rsidRPr="00B563E0">
        <w:t>In accordance with the emergency provisions of R.S. 49:962, which allows the Department of Wildlife and Fisheries and the Wildlife and Fisheries Commission to use emergency rules to set finfish seasons, R.S. 56:326.3 which provides that the Wildlife and Fisheries Commission may set seasons for saltwater finfish, and the authority given to the secretary by the commission in LAC 76:VII.335.G.5 to modify opening and closing dates of any commercial or recreational reef fish seasons in Louisiana state waters as deemed necessary in order to maintain consistency with modifications in adjacent federal waters, the secretary hereby declares:</w:t>
      </w:r>
    </w:p>
    <w:p w14:paraId="11F813F9" w14:textId="77777777" w:rsidR="00FC5566" w:rsidRDefault="00FC5566" w:rsidP="00FC5566">
      <w:pPr>
        <w:pStyle w:val="A0"/>
      </w:pPr>
      <w:r w:rsidRPr="00B563E0">
        <w:t>The season for the commercial harvest of greater amberjack in Louisiana state waters shall close at 12:01 a.m. on August 8, 2026 and remain closed until the start of the 2027 commercial season, currently scheduled to open on January 1, 2027.</w:t>
      </w:r>
      <w:r>
        <w:t xml:space="preserve"> </w:t>
      </w:r>
      <w:r w:rsidRPr="00B563E0">
        <w:t>Effective with this closure, no person shall commercially harvest, possess, purchase, barter, trade, sell or attempt to purchase, barter, trade, or sell greater amberjack whether within or without Louisiana waters.</w:t>
      </w:r>
      <w:r>
        <w:t xml:space="preserve"> </w:t>
      </w:r>
      <w:r w:rsidRPr="00B563E0">
        <w:t xml:space="preserve">Nothing shall prohibit the possession or sale of fish legally taken prior to </w:t>
      </w:r>
      <w:r>
        <w:br w:type="page"/>
      </w:r>
      <w:r w:rsidRPr="00B563E0">
        <w:lastRenderedPageBreak/>
        <w:t>the closure providing that all commercial dealers possessing greater amberjack taken legally prior to the closure shall maintain appropriate records in accordance with R.S. 56:306.5 and R.S. 56:306.6.</w:t>
      </w:r>
    </w:p>
    <w:p w14:paraId="7522E3F6" w14:textId="77777777" w:rsidR="00FC5566" w:rsidRPr="00B563E0" w:rsidRDefault="00FC5566" w:rsidP="00FC5566">
      <w:pPr>
        <w:pStyle w:val="A0"/>
      </w:pPr>
    </w:p>
    <w:p w14:paraId="56905086" w14:textId="77777777" w:rsidR="00FC5566" w:rsidRPr="00B563E0" w:rsidRDefault="00FC5566" w:rsidP="00FC5566">
      <w:pPr>
        <w:pStyle w:val="RegSignature"/>
      </w:pPr>
      <w:r w:rsidRPr="00B563E0">
        <w:t>Tyler M. Bosworth</w:t>
      </w:r>
    </w:p>
    <w:p w14:paraId="796DFDC4" w14:textId="77777777" w:rsidR="00FC5566" w:rsidRDefault="00FC5566" w:rsidP="00FC5566">
      <w:pPr>
        <w:pStyle w:val="RegSignature"/>
      </w:pPr>
      <w:r w:rsidRPr="00B563E0">
        <w:t>Secretary</w:t>
      </w:r>
    </w:p>
    <w:p w14:paraId="0BAD4749" w14:textId="77777777" w:rsidR="00FC5566" w:rsidRPr="00B563E0" w:rsidRDefault="00FC5566" w:rsidP="00FC5566">
      <w:pPr>
        <w:pStyle w:val="RegLogNumber"/>
      </w:pPr>
      <w:r>
        <w:t>2608#022</w:t>
      </w:r>
    </w:p>
    <w:p w14:paraId="11947165" w14:textId="77777777" w:rsidR="00FC5566" w:rsidRPr="000C6F51" w:rsidRDefault="00FC5566" w:rsidP="00FC5566"/>
    <w:p w14:paraId="06CEFA2D" w14:textId="77777777" w:rsidR="00FC5566" w:rsidRDefault="00FC5566" w:rsidP="00FC5566">
      <w:pPr>
        <w:pStyle w:val="RegItemFirstLine"/>
      </w:pPr>
      <w:r>
        <w:t>DECLARATION OF EMERGENCY</w:t>
      </w:r>
    </w:p>
    <w:p w14:paraId="4D603297" w14:textId="77777777" w:rsidR="00FC5566" w:rsidRDefault="00FC5566" w:rsidP="00FC5566">
      <w:pPr>
        <w:pStyle w:val="RegDepartment"/>
      </w:pPr>
      <w:r>
        <w:t>Department of Wildlife and Fisheries</w:t>
      </w:r>
    </w:p>
    <w:p w14:paraId="7E81A511" w14:textId="77777777" w:rsidR="00FC5566" w:rsidRPr="00CA5ACC" w:rsidRDefault="00FC5566" w:rsidP="00FC5566">
      <w:pPr>
        <w:pStyle w:val="RegDepartment"/>
      </w:pPr>
      <w:r>
        <w:t>Wildlife and Fisheries Commission</w:t>
      </w:r>
    </w:p>
    <w:p w14:paraId="4EA671B0" w14:textId="77777777" w:rsidR="00FC5566" w:rsidRPr="00C25341" w:rsidRDefault="00FC5566" w:rsidP="00FC5566">
      <w:pPr>
        <w:pStyle w:val="RegItemTitle"/>
        <w:spacing w:before="240"/>
      </w:pPr>
      <w:r w:rsidRPr="00C25341">
        <w:t>2026 Recreational Red Snapper Season</w:t>
      </w:r>
      <w:r>
        <w:br/>
      </w:r>
      <w:r w:rsidRPr="00C25341">
        <w:t>Modification and Closure</w:t>
      </w:r>
    </w:p>
    <w:p w14:paraId="62645828" w14:textId="77777777" w:rsidR="00FC5566" w:rsidRPr="00C25341" w:rsidRDefault="00FC5566" w:rsidP="00FC5566">
      <w:pPr>
        <w:pStyle w:val="A0"/>
      </w:pPr>
      <w:r w:rsidRPr="00C25341">
        <w:t>Louisiana’s recreational red snapper season was previously set by the Wildlife and Fisheries Commission at its regular March 2026 meeting to be open daily, beginning on May 1, 2026, until further notice while maintaining enough quota to have a season available during Labor Day weekend.</w:t>
      </w:r>
      <w:r>
        <w:t xml:space="preserve"> </w:t>
      </w:r>
      <w:r w:rsidRPr="00C25341">
        <w:t>Under the provisions of state management, the National Oceanic and Atmospheric Administration (NOAA) Fisheries has delegated season and bag limit authority and an allocated quota to the Department of Wildlife and Fisheries for the management of private recreational and state charter harvest of red snapper.</w:t>
      </w:r>
      <w:r>
        <w:t xml:space="preserve"> </w:t>
      </w:r>
      <w:r w:rsidRPr="00C25341">
        <w:t>Landings estimates generated from the LA Creel program indicate that the annual private recreational and state charter red snapper allocation for Louisiana has been projected to be met prior to Labor Day weekend without a closure. In order to avoid exceeding the established allocation prior to Labor Day weekend, the season must be modified.</w:t>
      </w:r>
    </w:p>
    <w:p w14:paraId="3E96F3F6" w14:textId="77777777" w:rsidR="00FC5566" w:rsidRPr="00C25341" w:rsidRDefault="00FC5566" w:rsidP="00FC5566">
      <w:pPr>
        <w:pStyle w:val="A0"/>
        <w:rPr>
          <w:color w:val="000000"/>
        </w:rPr>
      </w:pPr>
      <w:r w:rsidRPr="00C25341">
        <w:t>In accordance with the emergency provisions of R.S. 49:962, which allows the Department of Wildlife and Fisheries and the Wildlife and Fisheries Commission to use emergency rules to set finfish seasons, R.S. 56:326.3 which provides that the Wildlife and Fisheries Commission may set seasons for saltwater finfish, and the authority given to the secretary by the commission at its regular March 2026 meeting and in LAC 76:VII.335.G.5 to modify the recreational red snapper season, size, and bag limits as deemed necessary, the secretary hereby declares:</w:t>
      </w:r>
    </w:p>
    <w:p w14:paraId="401A00C1" w14:textId="77777777" w:rsidR="00FC5566" w:rsidRPr="00C25341" w:rsidRDefault="00FC5566" w:rsidP="00FC5566">
      <w:pPr>
        <w:pStyle w:val="A0"/>
      </w:pPr>
      <w:r w:rsidRPr="00C25341">
        <w:t>The season for the private recreational and state charter harvest of red snapper in Louisiana state waters and federal waters off Louisiana shall close at 11:59 p.m. on August 9, 2026 and shall remain closed until further notice.</w:t>
      </w:r>
      <w:r>
        <w:t xml:space="preserve"> </w:t>
      </w:r>
      <w:r w:rsidRPr="00C25341">
        <w:t>Effective with this closure, no person shall recreationally harvest or possess red snapper whether within or without Louisiana waters.</w:t>
      </w:r>
      <w:r>
        <w:t xml:space="preserve"> </w:t>
      </w:r>
    </w:p>
    <w:p w14:paraId="409BC487" w14:textId="77777777" w:rsidR="00FC5566" w:rsidRDefault="00FC5566" w:rsidP="00FC5566">
      <w:pPr>
        <w:pStyle w:val="A0"/>
      </w:pPr>
      <w:r w:rsidRPr="00C25341">
        <w:t>This modification does not apply to federally permitted charter boats operating under federal law during federally established seasons and under federally established rules for those vessels.</w:t>
      </w:r>
    </w:p>
    <w:p w14:paraId="32CF55C5" w14:textId="77777777" w:rsidR="00FC5566" w:rsidRPr="00C25341" w:rsidRDefault="00FC5566" w:rsidP="00FC5566">
      <w:pPr>
        <w:pStyle w:val="A0"/>
      </w:pPr>
    </w:p>
    <w:p w14:paraId="571A4187" w14:textId="77777777" w:rsidR="00FC5566" w:rsidRPr="00C25341" w:rsidRDefault="00FC5566" w:rsidP="00FC5566">
      <w:pPr>
        <w:pStyle w:val="RegSignature"/>
      </w:pPr>
      <w:r w:rsidRPr="00C25341">
        <w:t>Tyler M. Bosworth</w:t>
      </w:r>
    </w:p>
    <w:p w14:paraId="2550C584" w14:textId="77777777" w:rsidR="00FC5566" w:rsidRDefault="00FC5566" w:rsidP="00FC5566">
      <w:pPr>
        <w:pStyle w:val="RegSignature"/>
      </w:pPr>
      <w:r w:rsidRPr="00C25341">
        <w:t>Secretary</w:t>
      </w:r>
    </w:p>
    <w:p w14:paraId="26B61AE4" w14:textId="77777777" w:rsidR="00FC5566" w:rsidRPr="00C25341" w:rsidRDefault="00FC5566" w:rsidP="00FC5566">
      <w:pPr>
        <w:pStyle w:val="RegLogNumber"/>
      </w:pPr>
      <w:r>
        <w:t>2608#045</w:t>
      </w:r>
    </w:p>
    <w:p w14:paraId="333270AD" w14:textId="77777777" w:rsidR="00FC5566" w:rsidRPr="000C6F51" w:rsidRDefault="00FC5566" w:rsidP="00FC5566"/>
    <w:p w14:paraId="31195A24" w14:textId="77777777" w:rsidR="00FC5566" w:rsidRPr="000C6F51" w:rsidRDefault="00FC5566" w:rsidP="00FC5566"/>
    <w:p w14:paraId="34A3E0E2" w14:textId="77777777" w:rsidR="00FC5566" w:rsidRDefault="00FC5566" w:rsidP="00FC5566">
      <w:pPr>
        <w:pStyle w:val="RegItemFirstLine"/>
      </w:pPr>
      <w:r>
        <w:t>DECLARATION OF EMERGENCY</w:t>
      </w:r>
    </w:p>
    <w:p w14:paraId="0DF714B9" w14:textId="77777777" w:rsidR="00FC5566" w:rsidRDefault="00FC5566" w:rsidP="00FC5566">
      <w:pPr>
        <w:pStyle w:val="RegDepartment"/>
      </w:pPr>
      <w:r>
        <w:t>Department of Wildlife and Fisheries</w:t>
      </w:r>
    </w:p>
    <w:p w14:paraId="5AE2AFC8" w14:textId="77777777" w:rsidR="00FC5566" w:rsidRPr="001240BD" w:rsidRDefault="00FC5566" w:rsidP="00FC5566">
      <w:pPr>
        <w:pStyle w:val="RegDepartment"/>
      </w:pPr>
      <w:r>
        <w:t>Wildlife and Fisheries Commission</w:t>
      </w:r>
    </w:p>
    <w:p w14:paraId="457E7CCC" w14:textId="77777777" w:rsidR="00FC5566" w:rsidRPr="008F63C8" w:rsidRDefault="00FC5566" w:rsidP="00FC5566">
      <w:pPr>
        <w:pStyle w:val="RegItemTitle"/>
        <w:spacing w:before="240"/>
      </w:pPr>
      <w:r w:rsidRPr="008F63C8">
        <w:t xml:space="preserve">Opening of 2026 Fall Inshore Shrimp Season </w:t>
      </w:r>
    </w:p>
    <w:p w14:paraId="20868297" w14:textId="77777777" w:rsidR="00FC5566" w:rsidRPr="008F63C8" w:rsidRDefault="00FC5566" w:rsidP="00FC5566">
      <w:pPr>
        <w:pStyle w:val="A0"/>
      </w:pPr>
      <w:r w:rsidRPr="008F63C8">
        <w:t>The Wildlife and Fisheries Commission received information regarding biological sampling for white shrimp in state inshore waters.</w:t>
      </w:r>
      <w:r>
        <w:t xml:space="preserve"> </w:t>
      </w:r>
      <w:r w:rsidRPr="008F63C8">
        <w:t>The Department of Wildlife and Fisheries provided the commission with data that projected the date when white shrimp will reach marketable size.</w:t>
      </w:r>
      <w:r>
        <w:t xml:space="preserve"> </w:t>
      </w:r>
      <w:r w:rsidRPr="008F63C8">
        <w:t>After considering biological information and public input, the commission took action to set the fall shrimp season within state inshore waters. Notice of any opening, delaying or closing of a season by the Wildlife and Fisheries Commission will be made by public notice at least 72 hours prior to such action.</w:t>
      </w:r>
    </w:p>
    <w:p w14:paraId="634CA495" w14:textId="77777777" w:rsidR="00FC5566" w:rsidRPr="008F63C8" w:rsidRDefault="00FC5566" w:rsidP="00FC5566">
      <w:pPr>
        <w:pStyle w:val="A0"/>
      </w:pPr>
      <w:r w:rsidRPr="008F63C8">
        <w:t>In accordance with the emergency provisions of R.S. 49:962, the Administrative Procedure Act which allows the Wildlife and Fisheries Commission to use emergency procedures to set shrimp seasons, and R.S. 56:497 which provides that the Wildlife and Fisheries Commission shall fix no less than two open seasons each year for all or part of inside waters and shall have the authority to open or close outside waters and to increase the minimum mesh size provided in R.S. 56:499 for any trawl, skimmer net, or butterfly net for the duration of any special shrimp season or regular shrimp season extension, the Wildlife and Fisheries Commission does hereby set the 2026 Fall Inshore Shrimp Season in Louisiana state waters to open as follows:</w:t>
      </w:r>
    </w:p>
    <w:p w14:paraId="0E52DE25" w14:textId="77777777" w:rsidR="00FC5566" w:rsidRPr="008F63C8" w:rsidRDefault="00FC5566" w:rsidP="00FC5566">
      <w:pPr>
        <w:pStyle w:val="A0"/>
      </w:pPr>
      <w:r w:rsidRPr="008F63C8">
        <w:t>That portion of state inside waters from the Mississippi/Louisiana state line westward to the eastern shore of South Pass of the Mississippi River to open at 6 a.m., August 17, 2026;</w:t>
      </w:r>
    </w:p>
    <w:p w14:paraId="1C20E824" w14:textId="77777777" w:rsidR="00FC5566" w:rsidRPr="008F63C8" w:rsidRDefault="00FC5566" w:rsidP="00FC5566">
      <w:pPr>
        <w:pStyle w:val="A0"/>
      </w:pPr>
      <w:r w:rsidRPr="008F63C8">
        <w:t>That portion of state inside waters from the eastern shore of South Pass of the Mississippi River westward to the Atchafalaya River Ship Channel at Eugene Island as delineated by the red Channel Buoy Line to open at 6 p.m., August 17, 2026; and</w:t>
      </w:r>
    </w:p>
    <w:p w14:paraId="3576777C" w14:textId="77777777" w:rsidR="00FC5566" w:rsidRPr="008F63C8" w:rsidRDefault="00FC5566" w:rsidP="00FC5566">
      <w:pPr>
        <w:pStyle w:val="A0"/>
      </w:pPr>
      <w:r w:rsidRPr="008F63C8">
        <w:t>That portion of state inside waters from the Atchafalaya River Ship Channel at Eugene Island as delineated by the red Channel Buoy Line westward to the Louisiana/Texas state line to open at 6 a.m., August 17, 2026.</w:t>
      </w:r>
    </w:p>
    <w:p w14:paraId="1CD291B0" w14:textId="77777777" w:rsidR="00FC5566" w:rsidRPr="008F63C8" w:rsidRDefault="00FC5566" w:rsidP="00FC5566">
      <w:pPr>
        <w:pStyle w:val="A0"/>
      </w:pPr>
      <w:r w:rsidRPr="008F63C8">
        <w:t>The commission also hereby grants authority to the secretary of the Department of Wildlife and Fisheries to delay or advance these opening dates if biological and/or technical data indicate the need to do so, and, to close any portion of Louisiana's inside or outside waters to protect small juvenile white shrimp if biological and technical data indicate the need to do so, or enforcement problems develop.</w:t>
      </w:r>
      <w:r>
        <w:t xml:space="preserve"> </w:t>
      </w:r>
    </w:p>
    <w:p w14:paraId="552BC4E8" w14:textId="77777777" w:rsidR="00FC5566" w:rsidRPr="008F63C8" w:rsidRDefault="00FC5566" w:rsidP="00FC5566">
      <w:pPr>
        <w:pStyle w:val="A0"/>
      </w:pPr>
      <w:r w:rsidRPr="008F63C8">
        <w:t>The secretary is further granted the authority to open any area, or re-open any previously closed area, and to open and close special shrimp seasons in any portion of state waters.</w:t>
      </w:r>
      <w:r>
        <w:t xml:space="preserve"> </w:t>
      </w:r>
    </w:p>
    <w:p w14:paraId="0B2DEC6C" w14:textId="77777777" w:rsidR="00FC5566" w:rsidRDefault="00FC5566" w:rsidP="00FC5566">
      <w:pPr>
        <w:pStyle w:val="A0"/>
      </w:pPr>
      <w:r w:rsidRPr="008F63C8">
        <w:t>Notice of any opening, delaying or closing of a season by the secretary will be made by public notice at least 72 hours prior to such action.</w:t>
      </w:r>
    </w:p>
    <w:p w14:paraId="7BD3B389" w14:textId="77777777" w:rsidR="00FC5566" w:rsidRPr="008F63C8" w:rsidRDefault="00FC5566" w:rsidP="00FC5566">
      <w:pPr>
        <w:pStyle w:val="A0"/>
      </w:pPr>
    </w:p>
    <w:p w14:paraId="039B99D7" w14:textId="77777777" w:rsidR="00FC5566" w:rsidRPr="008F63C8" w:rsidRDefault="00FC5566" w:rsidP="00FC5566">
      <w:pPr>
        <w:pStyle w:val="RegSignature"/>
      </w:pPr>
      <w:r w:rsidRPr="008F63C8">
        <w:t>Kenneth A. “Andy” Brister</w:t>
      </w:r>
    </w:p>
    <w:p w14:paraId="03698561" w14:textId="77777777" w:rsidR="00FC5566" w:rsidRDefault="00FC5566" w:rsidP="00FC5566">
      <w:pPr>
        <w:pStyle w:val="RegSignature"/>
      </w:pPr>
      <w:r w:rsidRPr="008F63C8">
        <w:t>Chairman</w:t>
      </w:r>
    </w:p>
    <w:p w14:paraId="022E9D87" w14:textId="77777777" w:rsidR="00FC5566" w:rsidRPr="008F63C8" w:rsidRDefault="00FC5566" w:rsidP="00FC5566">
      <w:pPr>
        <w:pStyle w:val="RegLogNumber"/>
      </w:pPr>
      <w:r>
        <w:t>2608#024</w:t>
      </w:r>
    </w:p>
    <w:p w14:paraId="515DFBDD" w14:textId="77777777" w:rsidR="00FC5566" w:rsidRPr="000C6F51" w:rsidRDefault="00FC5566" w:rsidP="00FC5566"/>
    <w:p w14:paraId="1D94337E" w14:textId="77777777" w:rsidR="00FC5566" w:rsidRDefault="00FC5566" w:rsidP="00FC5566">
      <w:pPr>
        <w:sectPr w:rsidR="00FC5566" w:rsidSect="00FC5566">
          <w:type w:val="continuous"/>
          <w:pgSz w:w="12240" w:h="15840" w:code="1"/>
          <w:pgMar w:top="720" w:right="864" w:bottom="317" w:left="864" w:header="576" w:footer="432" w:gutter="0"/>
          <w:cols w:num="2" w:space="720"/>
        </w:sectPr>
      </w:pPr>
    </w:p>
    <w:p w14:paraId="598829F6" w14:textId="77777777" w:rsidR="00FC5566" w:rsidRDefault="00FC5566" w:rsidP="00FC5566"/>
    <w:p w14:paraId="3B06DB96" w14:textId="77777777" w:rsidR="00FC5566" w:rsidRDefault="00FC5566">
      <w:pPr>
        <w:sectPr w:rsidR="00FC5566" w:rsidSect="00FC5566">
          <w:type w:val="continuous"/>
          <w:pgSz w:w="12240" w:h="15840" w:code="1"/>
          <w:pgMar w:top="720" w:right="864" w:bottom="317" w:left="864" w:header="576" w:footer="432" w:gutter="0"/>
          <w:cols w:num="2" w:space="720"/>
        </w:sectPr>
      </w:pPr>
    </w:p>
    <w:p w14:paraId="4C7C536E" w14:textId="77777777" w:rsidR="00FC5566" w:rsidRPr="00FC5566" w:rsidRDefault="00FC5566" w:rsidP="00FC5566">
      <w:pPr>
        <w:jc w:val="center"/>
        <w:rPr>
          <w:rFonts w:ascii="Arial" w:hAnsi="Arial"/>
          <w:b/>
          <w:noProof/>
          <w:sz w:val="48"/>
        </w:rPr>
      </w:pPr>
      <w:r w:rsidRPr="00FC5566">
        <w:rPr>
          <w:rFonts w:ascii="Arial" w:hAnsi="Arial"/>
          <w:b/>
          <w:noProof/>
          <w:sz w:val="48"/>
        </w:rPr>
        <w:lastRenderedPageBreak/>
        <w:t>Rules</w:t>
      </w:r>
    </w:p>
    <w:p w14:paraId="58998CFC" w14:textId="77777777" w:rsidR="00FC5566" w:rsidRPr="00FC5566" w:rsidRDefault="00FC5566" w:rsidP="00FC5566"/>
    <w:p w14:paraId="15C29137" w14:textId="77777777" w:rsidR="00FC5566" w:rsidRPr="00FC5566" w:rsidRDefault="00FC5566" w:rsidP="00FC5566"/>
    <w:p w14:paraId="6449B382" w14:textId="77777777" w:rsidR="00FC5566" w:rsidRPr="00FC5566" w:rsidRDefault="00FC5566" w:rsidP="00FC5566">
      <w:pPr>
        <w:sectPr w:rsidR="00FC5566" w:rsidRPr="00FC5566" w:rsidSect="00FC5566">
          <w:footerReference w:type="even" r:id="rId13"/>
          <w:footerReference w:type="default" r:id="rId14"/>
          <w:pgSz w:w="12240" w:h="15840"/>
          <w:pgMar w:top="720" w:right="864" w:bottom="864" w:left="864" w:header="576" w:footer="432" w:gutter="0"/>
          <w:pgNumType w:start="1325"/>
          <w:cols w:space="720"/>
          <w:docGrid w:linePitch="272"/>
        </w:sectPr>
      </w:pPr>
    </w:p>
    <w:p w14:paraId="7A787BD5" w14:textId="77777777" w:rsidR="00FC5566" w:rsidRPr="00FC5566" w:rsidRDefault="00FC5566" w:rsidP="00FC5566">
      <w:pPr>
        <w:keepNext/>
        <w:tabs>
          <w:tab w:val="left" w:pos="-1440"/>
        </w:tabs>
        <w:spacing w:after="120"/>
        <w:jc w:val="center"/>
        <w:rPr>
          <w:b/>
          <w:noProof/>
        </w:rPr>
      </w:pPr>
      <w:r w:rsidRPr="00FC5566">
        <w:rPr>
          <w:b/>
          <w:noProof/>
        </w:rPr>
        <w:t>RULE</w:t>
      </w:r>
    </w:p>
    <w:p w14:paraId="7B339303" w14:textId="77777777" w:rsidR="00FC5566" w:rsidRPr="00FC5566" w:rsidRDefault="00FC5566" w:rsidP="00FC5566">
      <w:pPr>
        <w:keepNext/>
        <w:jc w:val="center"/>
        <w:rPr>
          <w:b/>
          <w:noProof/>
        </w:rPr>
      </w:pPr>
      <w:r w:rsidRPr="00FC5566">
        <w:rPr>
          <w:b/>
          <w:noProof/>
        </w:rPr>
        <w:t>Department of Agriculture and Forestry</w:t>
      </w:r>
    </w:p>
    <w:p w14:paraId="049BC504" w14:textId="77777777" w:rsidR="00FC5566" w:rsidRPr="00FC5566" w:rsidRDefault="00FC5566" w:rsidP="00FC5566">
      <w:pPr>
        <w:keepNext/>
        <w:jc w:val="center"/>
        <w:rPr>
          <w:b/>
          <w:noProof/>
        </w:rPr>
      </w:pPr>
      <w:r w:rsidRPr="00FC5566">
        <w:rPr>
          <w:b/>
          <w:noProof/>
        </w:rPr>
        <w:t>Board of Veterinary Medicine</w:t>
      </w:r>
    </w:p>
    <w:p w14:paraId="66E1E5B8" w14:textId="77777777" w:rsidR="00FC5566" w:rsidRPr="00FC5566" w:rsidRDefault="00FC5566" w:rsidP="00FC5566">
      <w:pPr>
        <w:keepNext/>
        <w:spacing w:before="240" w:after="240"/>
        <w:jc w:val="center"/>
        <w:rPr>
          <w:noProof/>
        </w:rPr>
      </w:pPr>
      <w:r w:rsidRPr="00FC5566">
        <w:rPr>
          <w:noProof/>
        </w:rPr>
        <w:t>Fees (LAC 46:LXXXV.Chapter 5)</w:t>
      </w:r>
    </w:p>
    <w:p w14:paraId="0336B7B0"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 xml:space="preserve">In accordance with the Administrative Procedure Act (R.S. 49:950 et seq.), the 2022 </w:t>
      </w:r>
      <w:r w:rsidRPr="00FC5566">
        <w:rPr>
          <w:i/>
          <w:iCs/>
          <w:kern w:val="2"/>
        </w:rPr>
        <w:t>Louisiana Administrative Code Review</w:t>
      </w:r>
      <w:r w:rsidRPr="00FC5566">
        <w:rPr>
          <w:kern w:val="2"/>
        </w:rPr>
        <w:t>, and the JML Executive Order No. 25-038, the Board (“board”) of Veterinary Medicine has amended LAC 46:LXXXV.500, 501, 503, and 505. There are no changes to the fees associated with the application for, or annual renewal of, licenses for veterinarians, but rather the amendments make the rule language clearer and more uniform and consistent. The amendments to §503 related to the fee exemptions for active military personnel and dependents and the fee reductions for inactive disabled or retired veterinarians provide more concise language and do not change the intent of the exempt or reduced fee qualifications. The historical notes shall be updated to reflect the review of these rules. This Rule is hereby adopted on the day of promulgation.</w:t>
      </w:r>
    </w:p>
    <w:p w14:paraId="6531875E" w14:textId="77777777" w:rsidR="00FC5566" w:rsidRPr="00FC5566" w:rsidRDefault="00FC5566" w:rsidP="00FC5566">
      <w:pPr>
        <w:keepNext/>
        <w:jc w:val="center"/>
        <w:rPr>
          <w:b/>
          <w:kern w:val="28"/>
        </w:rPr>
      </w:pPr>
      <w:r w:rsidRPr="00FC5566">
        <w:rPr>
          <w:b/>
          <w:kern w:val="28"/>
        </w:rPr>
        <w:t>Title 46</w:t>
      </w:r>
    </w:p>
    <w:p w14:paraId="38231657" w14:textId="77777777" w:rsidR="00FC5566" w:rsidRPr="00FC5566" w:rsidRDefault="00FC5566" w:rsidP="00FC5566">
      <w:pPr>
        <w:keepNext/>
        <w:jc w:val="center"/>
        <w:rPr>
          <w:b/>
          <w:kern w:val="28"/>
        </w:rPr>
      </w:pPr>
      <w:r w:rsidRPr="00FC5566">
        <w:rPr>
          <w:b/>
          <w:kern w:val="28"/>
        </w:rPr>
        <w:t>PROFESSIONAL AND OCCUPATIONAL STANDARDS</w:t>
      </w:r>
    </w:p>
    <w:p w14:paraId="351CD562" w14:textId="77777777" w:rsidR="00FC5566" w:rsidRPr="00FC5566" w:rsidRDefault="00FC5566" w:rsidP="00FC5566">
      <w:pPr>
        <w:keepNext/>
        <w:jc w:val="center"/>
        <w:rPr>
          <w:b/>
          <w:noProof/>
        </w:rPr>
      </w:pPr>
      <w:r w:rsidRPr="00FC5566">
        <w:rPr>
          <w:b/>
          <w:noProof/>
        </w:rPr>
        <w:t>Part LXXXV.  Veterinarians</w:t>
      </w:r>
    </w:p>
    <w:p w14:paraId="2E32D8E9"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25" w:name="TOC_Chap9"/>
      <w:bookmarkStart w:id="26" w:name="_Toc182996755"/>
      <w:bookmarkStart w:id="27" w:name="_Toc191549558"/>
      <w:r w:rsidRPr="00FC5566">
        <w:rPr>
          <w:b/>
          <w:kern w:val="2"/>
        </w:rPr>
        <w:t>Chapter 5.</w:t>
      </w:r>
      <w:bookmarkStart w:id="28" w:name="TOCT_Chap8"/>
      <w:bookmarkStart w:id="29" w:name="TOCT_Chap9"/>
      <w:bookmarkEnd w:id="25"/>
      <w:r w:rsidRPr="00FC5566">
        <w:rPr>
          <w:b/>
          <w:kern w:val="2"/>
        </w:rPr>
        <w:tab/>
        <w:t>Fees</w:t>
      </w:r>
      <w:bookmarkEnd w:id="26"/>
      <w:bookmarkEnd w:id="27"/>
      <w:bookmarkEnd w:id="28"/>
      <w:bookmarkEnd w:id="29"/>
      <w:r w:rsidRPr="00FC5566">
        <w:rPr>
          <w:b/>
          <w:kern w:val="2"/>
        </w:rPr>
        <w:t xml:space="preserve"> for Veterinarians</w:t>
      </w:r>
    </w:p>
    <w:p w14:paraId="6FB820FB"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30" w:name="_Toc182996756"/>
      <w:bookmarkStart w:id="31" w:name="_Toc191549559"/>
      <w:r w:rsidRPr="00FC5566">
        <w:rPr>
          <w:b/>
          <w:kern w:val="2"/>
        </w:rPr>
        <w:t>§500.</w:t>
      </w:r>
      <w:r w:rsidRPr="00FC5566">
        <w:rPr>
          <w:b/>
          <w:kern w:val="2"/>
        </w:rPr>
        <w:tab/>
        <w:t>Definitions</w:t>
      </w:r>
      <w:bookmarkEnd w:id="30"/>
      <w:bookmarkEnd w:id="31"/>
    </w:p>
    <w:p w14:paraId="05D6422F"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i/>
          <w:kern w:val="2"/>
        </w:rPr>
        <w:t>Active Status Fee</w:t>
      </w:r>
      <w:r w:rsidRPr="00FC5566">
        <w:rPr>
          <w:kern w:val="2"/>
        </w:rPr>
        <w:t>—the fee charged to a veterinarian who has met all of the requirements for annual licensure and is entitled to practice veterinary medicine in the state of Louisiana.</w:t>
      </w:r>
    </w:p>
    <w:p w14:paraId="07B5C870"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i/>
          <w:kern w:val="2"/>
        </w:rPr>
        <w:t>Duplicate License Charge</w:t>
      </w:r>
      <w:r w:rsidRPr="00FC5566">
        <w:rPr>
          <w:kern w:val="2"/>
        </w:rPr>
        <w:t>—a charge assessed for the replacement of a certificate.</w:t>
      </w:r>
    </w:p>
    <w:p w14:paraId="63D72F7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i/>
          <w:kern w:val="2"/>
        </w:rPr>
        <w:t>Inactive Disabled Status</w:t>
      </w:r>
      <w:r w:rsidRPr="00FC5566">
        <w:rPr>
          <w:kern w:val="2"/>
        </w:rPr>
        <w:t>—a veterinarian qualifies for Inactive Disabled status if he is totally disabled to practice veterinary medicine without probability of return to practice for the annual renewal period at issue as certified by a physician’s statement. A veterinarian with an Inactive Disabled status is not entitled to practice veterinary medicine in the state of Louisiana.</w:t>
      </w:r>
    </w:p>
    <w:p w14:paraId="51453D67"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i/>
          <w:kern w:val="2"/>
        </w:rPr>
        <w:t>Inactive Retired Status</w:t>
      </w:r>
      <w:r w:rsidRPr="00FC5566">
        <w:rPr>
          <w:kern w:val="2"/>
        </w:rPr>
        <w:t>—a veterinarian qualifies for Inactive Retired status if he is retired and has reached the age of 65 years. A veterinarian with an Inactive Retired status is not entitled to practice veterinary medicine in the state of Louisiana.</w:t>
      </w:r>
    </w:p>
    <w:p w14:paraId="68516957"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i/>
          <w:kern w:val="2"/>
        </w:rPr>
        <w:t>Inactive Status Fee</w:t>
      </w:r>
      <w:r w:rsidRPr="00FC5566">
        <w:rPr>
          <w:kern w:val="2"/>
        </w:rPr>
        <w:t>—the fee charged to a veterinarian who wishes to retain a Louisiana license in an inactive disabled or inactive retired status as defined above for no more than a five-year period. Inactive status licenses may be restored to active status by written request and payment of the differences between the Inactive Status Fee and the Active Status Fee for each year in which held the inactive status was held in accordance with §503.D.</w:t>
      </w:r>
    </w:p>
    <w:p w14:paraId="16430F0B"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i/>
          <w:kern w:val="2"/>
        </w:rPr>
        <w:t>Original License Fee</w:t>
      </w:r>
      <w:r w:rsidRPr="00FC5566">
        <w:rPr>
          <w:kern w:val="2"/>
        </w:rPr>
        <w:t xml:space="preserve">—the fee charged for the initial issuance of a Louisiana license which includes the cost of preparation of the licensee's wall certificate. The original </w:t>
      </w:r>
      <w:r w:rsidRPr="00FC5566">
        <w:rPr>
          <w:kern w:val="2"/>
        </w:rPr>
        <w:t>license may be issued in any month but shall expire on the next renewal date as specified in R.S. 37:1524 except where the license is issued in May or June. Licenses issued in these months will be valid for the next immediate fiscal year.</w:t>
      </w:r>
    </w:p>
    <w:p w14:paraId="25A4C3B5"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FC5566">
        <w:rPr>
          <w:kern w:val="2"/>
        </w:rPr>
        <w:t>* * *</w:t>
      </w:r>
    </w:p>
    <w:p w14:paraId="3CF4BEC3"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37:1518.</w:t>
      </w:r>
    </w:p>
    <w:p w14:paraId="144707AC"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Health and Hospitals, Board of Veterinary Medicine, LR 19:1429 (November 1993), amended LR 38:1592 (July 2012), amended by the Department of Agriculture and Forestry, Board of Veterinary Medicine, LR 52:1325 (August 2026).</w:t>
      </w:r>
    </w:p>
    <w:p w14:paraId="03FE1A3E"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32" w:name="_Toc182996757"/>
      <w:bookmarkStart w:id="33" w:name="_Toc191549560"/>
      <w:r w:rsidRPr="00FC5566">
        <w:rPr>
          <w:b/>
          <w:kern w:val="2"/>
        </w:rPr>
        <w:t>§501.</w:t>
      </w:r>
      <w:r w:rsidRPr="00FC5566">
        <w:rPr>
          <w:b/>
          <w:kern w:val="2"/>
        </w:rPr>
        <w:tab/>
        <w:t>Fees</w:t>
      </w:r>
      <w:bookmarkEnd w:id="32"/>
      <w:bookmarkEnd w:id="33"/>
      <w:r w:rsidRPr="00FC5566">
        <w:rPr>
          <w:b/>
          <w:kern w:val="2"/>
        </w:rPr>
        <w:t xml:space="preserve"> for Veterinarians</w:t>
      </w:r>
    </w:p>
    <w:p w14:paraId="46417E4F"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The board hereby adopts and establishes the following fees for veterinarians.</w:t>
      </w:r>
    </w:p>
    <w:p w14:paraId="599788F8"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tbl>
      <w:tblPr>
        <w:tblW w:w="0" w:type="auto"/>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auto"/>
        </w:tblBorders>
        <w:tblLook w:val="0000" w:firstRow="0" w:lastRow="0" w:firstColumn="0" w:lastColumn="0" w:noHBand="0" w:noVBand="0"/>
      </w:tblPr>
      <w:tblGrid>
        <w:gridCol w:w="3576"/>
        <w:gridCol w:w="1009"/>
      </w:tblGrid>
      <w:tr w:rsidR="00FC5566" w:rsidRPr="00FC5566" w14:paraId="1AE44255" w14:textId="77777777" w:rsidTr="00B247D5">
        <w:trPr>
          <w:cantSplit/>
          <w:jc w:val="center"/>
        </w:trPr>
        <w:tc>
          <w:tcPr>
            <w:tcW w:w="4585" w:type="dxa"/>
            <w:gridSpan w:val="2"/>
            <w:tcBorders>
              <w:top w:val="double" w:sz="6" w:space="0" w:color="auto"/>
              <w:left w:val="double" w:sz="6" w:space="0" w:color="auto"/>
              <w:bottom w:val="single" w:sz="6" w:space="0" w:color="auto"/>
              <w:right w:val="double" w:sz="6" w:space="0" w:color="auto"/>
            </w:tcBorders>
            <w:shd w:val="clear" w:color="auto" w:fill="BFBFBF"/>
            <w:vAlign w:val="center"/>
          </w:tcPr>
          <w:p w14:paraId="256E7DFE" w14:textId="77777777" w:rsidR="00FC5566" w:rsidRPr="00FC5566" w:rsidRDefault="00FC5566" w:rsidP="00FC5566">
            <w:pPr>
              <w:keepNext/>
              <w:jc w:val="center"/>
              <w:rPr>
                <w:b/>
                <w:kern w:val="2"/>
                <w:sz w:val="16"/>
              </w:rPr>
            </w:pPr>
            <w:r w:rsidRPr="00FC5566">
              <w:rPr>
                <w:b/>
                <w:kern w:val="2"/>
                <w:sz w:val="16"/>
              </w:rPr>
              <w:t>Licenses</w:t>
            </w:r>
          </w:p>
        </w:tc>
      </w:tr>
      <w:tr w:rsidR="00FC5566" w:rsidRPr="00FC5566" w14:paraId="37B255BF" w14:textId="77777777" w:rsidTr="00B247D5">
        <w:trPr>
          <w:cantSplit/>
          <w:jc w:val="center"/>
        </w:trPr>
        <w:tc>
          <w:tcPr>
            <w:tcW w:w="3576" w:type="dxa"/>
            <w:tcBorders>
              <w:top w:val="single" w:sz="6" w:space="0" w:color="auto"/>
              <w:left w:val="double" w:sz="6" w:space="0" w:color="auto"/>
              <w:bottom w:val="single" w:sz="6" w:space="0" w:color="auto"/>
              <w:right w:val="single" w:sz="6" w:space="0" w:color="auto"/>
            </w:tcBorders>
            <w:vAlign w:val="center"/>
          </w:tcPr>
          <w:p w14:paraId="41D16E2D" w14:textId="77777777" w:rsidR="00FC5566" w:rsidRPr="00FC5566" w:rsidRDefault="00FC5566" w:rsidP="00FC5566">
            <w:pPr>
              <w:keepNext/>
              <w:rPr>
                <w:kern w:val="2"/>
                <w:sz w:val="16"/>
              </w:rPr>
            </w:pPr>
            <w:r w:rsidRPr="00FC5566">
              <w:rPr>
                <w:kern w:val="2"/>
                <w:sz w:val="16"/>
              </w:rPr>
              <w:t>Annual renewal-active license</w:t>
            </w:r>
          </w:p>
        </w:tc>
        <w:tc>
          <w:tcPr>
            <w:tcW w:w="1009" w:type="dxa"/>
            <w:tcBorders>
              <w:top w:val="single" w:sz="6" w:space="0" w:color="auto"/>
              <w:left w:val="single" w:sz="6" w:space="0" w:color="auto"/>
              <w:bottom w:val="single" w:sz="6" w:space="0" w:color="auto"/>
              <w:right w:val="double" w:sz="6" w:space="0" w:color="auto"/>
            </w:tcBorders>
            <w:vAlign w:val="center"/>
          </w:tcPr>
          <w:p w14:paraId="1A7C9023" w14:textId="77777777" w:rsidR="00FC5566" w:rsidRPr="00FC5566" w:rsidRDefault="00FC5566" w:rsidP="00FC5566">
            <w:pPr>
              <w:keepNext/>
              <w:jc w:val="center"/>
              <w:rPr>
                <w:kern w:val="2"/>
                <w:sz w:val="16"/>
              </w:rPr>
            </w:pPr>
            <w:r w:rsidRPr="00FC5566">
              <w:rPr>
                <w:kern w:val="2"/>
                <w:sz w:val="16"/>
              </w:rPr>
              <w:t>$250</w:t>
            </w:r>
          </w:p>
        </w:tc>
      </w:tr>
      <w:tr w:rsidR="00FC5566" w:rsidRPr="00FC5566" w14:paraId="678F937A" w14:textId="77777777" w:rsidTr="00B247D5">
        <w:trPr>
          <w:cantSplit/>
          <w:jc w:val="center"/>
        </w:trPr>
        <w:tc>
          <w:tcPr>
            <w:tcW w:w="3576" w:type="dxa"/>
            <w:tcBorders>
              <w:top w:val="single" w:sz="6" w:space="0" w:color="auto"/>
              <w:left w:val="double" w:sz="6" w:space="0" w:color="auto"/>
              <w:bottom w:val="single" w:sz="6" w:space="0" w:color="auto"/>
              <w:right w:val="single" w:sz="6" w:space="0" w:color="auto"/>
            </w:tcBorders>
            <w:vAlign w:val="center"/>
          </w:tcPr>
          <w:p w14:paraId="4F9061B8" w14:textId="77777777" w:rsidR="00FC5566" w:rsidRPr="00FC5566" w:rsidRDefault="00FC5566" w:rsidP="00FC5566">
            <w:pPr>
              <w:keepNext/>
              <w:rPr>
                <w:kern w:val="2"/>
                <w:sz w:val="16"/>
              </w:rPr>
            </w:pPr>
            <w:r w:rsidRPr="00FC5566">
              <w:rPr>
                <w:kern w:val="2"/>
                <w:sz w:val="16"/>
              </w:rPr>
              <w:t>Annual renewal-inactive license</w:t>
            </w:r>
          </w:p>
        </w:tc>
        <w:tc>
          <w:tcPr>
            <w:tcW w:w="1009" w:type="dxa"/>
            <w:tcBorders>
              <w:top w:val="single" w:sz="6" w:space="0" w:color="auto"/>
              <w:left w:val="single" w:sz="6" w:space="0" w:color="auto"/>
              <w:bottom w:val="single" w:sz="6" w:space="0" w:color="auto"/>
              <w:right w:val="double" w:sz="6" w:space="0" w:color="auto"/>
            </w:tcBorders>
            <w:vAlign w:val="center"/>
          </w:tcPr>
          <w:p w14:paraId="7101A7CF" w14:textId="77777777" w:rsidR="00FC5566" w:rsidRPr="00FC5566" w:rsidRDefault="00FC5566" w:rsidP="00FC5566">
            <w:pPr>
              <w:keepNext/>
              <w:jc w:val="center"/>
              <w:rPr>
                <w:kern w:val="2"/>
                <w:sz w:val="16"/>
              </w:rPr>
            </w:pPr>
            <w:r w:rsidRPr="00FC5566">
              <w:rPr>
                <w:kern w:val="2"/>
                <w:sz w:val="16"/>
              </w:rPr>
              <w:t>$125</w:t>
            </w:r>
          </w:p>
        </w:tc>
      </w:tr>
      <w:tr w:rsidR="00FC5566" w:rsidRPr="00FC5566" w14:paraId="4BE6A13C" w14:textId="77777777" w:rsidTr="00B247D5">
        <w:trPr>
          <w:cantSplit/>
          <w:jc w:val="center"/>
        </w:trPr>
        <w:tc>
          <w:tcPr>
            <w:tcW w:w="3576" w:type="dxa"/>
            <w:tcBorders>
              <w:top w:val="single" w:sz="6" w:space="0" w:color="auto"/>
              <w:left w:val="double" w:sz="6" w:space="0" w:color="auto"/>
              <w:bottom w:val="single" w:sz="6" w:space="0" w:color="auto"/>
              <w:right w:val="single" w:sz="6" w:space="0" w:color="auto"/>
            </w:tcBorders>
            <w:vAlign w:val="center"/>
          </w:tcPr>
          <w:p w14:paraId="0A19A317" w14:textId="77777777" w:rsidR="00FC5566" w:rsidRPr="00FC5566" w:rsidRDefault="00FC5566" w:rsidP="00FC5566">
            <w:pPr>
              <w:keepNext/>
              <w:rPr>
                <w:kern w:val="2"/>
                <w:sz w:val="16"/>
              </w:rPr>
            </w:pPr>
            <w:r w:rsidRPr="00FC5566">
              <w:rPr>
                <w:kern w:val="2"/>
                <w:sz w:val="16"/>
              </w:rPr>
              <w:t>Annual renewal-faculty license</w:t>
            </w:r>
          </w:p>
        </w:tc>
        <w:tc>
          <w:tcPr>
            <w:tcW w:w="1009" w:type="dxa"/>
            <w:tcBorders>
              <w:top w:val="single" w:sz="6" w:space="0" w:color="auto"/>
              <w:left w:val="single" w:sz="6" w:space="0" w:color="auto"/>
              <w:bottom w:val="single" w:sz="6" w:space="0" w:color="auto"/>
              <w:right w:val="double" w:sz="6" w:space="0" w:color="auto"/>
            </w:tcBorders>
            <w:vAlign w:val="center"/>
          </w:tcPr>
          <w:p w14:paraId="14924ED3" w14:textId="77777777" w:rsidR="00FC5566" w:rsidRPr="00FC5566" w:rsidRDefault="00FC5566" w:rsidP="00FC5566">
            <w:pPr>
              <w:keepNext/>
              <w:jc w:val="center"/>
              <w:rPr>
                <w:kern w:val="2"/>
                <w:sz w:val="16"/>
              </w:rPr>
            </w:pPr>
            <w:r w:rsidRPr="00FC5566">
              <w:rPr>
                <w:kern w:val="2"/>
                <w:sz w:val="16"/>
              </w:rPr>
              <w:t>$100</w:t>
            </w:r>
          </w:p>
        </w:tc>
      </w:tr>
      <w:tr w:rsidR="00FC5566" w:rsidRPr="00FC5566" w14:paraId="74CE7996" w14:textId="77777777" w:rsidTr="00B247D5">
        <w:trPr>
          <w:cantSplit/>
          <w:jc w:val="center"/>
        </w:trPr>
        <w:tc>
          <w:tcPr>
            <w:tcW w:w="3576" w:type="dxa"/>
            <w:tcBorders>
              <w:top w:val="single" w:sz="6" w:space="0" w:color="auto"/>
              <w:left w:val="double" w:sz="6" w:space="0" w:color="auto"/>
              <w:bottom w:val="single" w:sz="6" w:space="0" w:color="auto"/>
              <w:right w:val="single" w:sz="6" w:space="0" w:color="auto"/>
            </w:tcBorders>
            <w:vAlign w:val="center"/>
          </w:tcPr>
          <w:p w14:paraId="69C4578E" w14:textId="77777777" w:rsidR="00FC5566" w:rsidRPr="00FC5566" w:rsidRDefault="00FC5566" w:rsidP="00FC5566">
            <w:pPr>
              <w:keepNext/>
              <w:rPr>
                <w:kern w:val="2"/>
                <w:sz w:val="16"/>
              </w:rPr>
            </w:pPr>
            <w:r w:rsidRPr="00FC5566">
              <w:rPr>
                <w:kern w:val="2"/>
                <w:sz w:val="16"/>
              </w:rPr>
              <w:t>Duplicate license</w:t>
            </w:r>
          </w:p>
        </w:tc>
        <w:tc>
          <w:tcPr>
            <w:tcW w:w="1009" w:type="dxa"/>
            <w:tcBorders>
              <w:top w:val="single" w:sz="6" w:space="0" w:color="auto"/>
              <w:left w:val="single" w:sz="6" w:space="0" w:color="auto"/>
              <w:bottom w:val="single" w:sz="6" w:space="0" w:color="auto"/>
              <w:right w:val="double" w:sz="6" w:space="0" w:color="auto"/>
            </w:tcBorders>
            <w:vAlign w:val="center"/>
          </w:tcPr>
          <w:p w14:paraId="2C5FDDD8" w14:textId="77777777" w:rsidR="00FC5566" w:rsidRPr="00FC5566" w:rsidRDefault="00FC5566" w:rsidP="00FC5566">
            <w:pPr>
              <w:keepNext/>
              <w:jc w:val="center"/>
              <w:rPr>
                <w:kern w:val="2"/>
                <w:sz w:val="16"/>
              </w:rPr>
            </w:pPr>
            <w:r w:rsidRPr="00FC5566">
              <w:rPr>
                <w:kern w:val="2"/>
                <w:sz w:val="16"/>
              </w:rPr>
              <w:t>$25</w:t>
            </w:r>
          </w:p>
        </w:tc>
      </w:tr>
      <w:tr w:rsidR="00FC5566" w:rsidRPr="00FC5566" w14:paraId="67A71520" w14:textId="77777777" w:rsidTr="00B247D5">
        <w:trPr>
          <w:cantSplit/>
          <w:jc w:val="center"/>
        </w:trPr>
        <w:tc>
          <w:tcPr>
            <w:tcW w:w="3576" w:type="dxa"/>
            <w:tcBorders>
              <w:top w:val="single" w:sz="6" w:space="0" w:color="auto"/>
              <w:left w:val="double" w:sz="6" w:space="0" w:color="auto"/>
              <w:bottom w:val="single" w:sz="6" w:space="0" w:color="auto"/>
              <w:right w:val="single" w:sz="6" w:space="0" w:color="auto"/>
            </w:tcBorders>
            <w:vAlign w:val="center"/>
          </w:tcPr>
          <w:p w14:paraId="301B72B1" w14:textId="77777777" w:rsidR="00FC5566" w:rsidRPr="00FC5566" w:rsidRDefault="00FC5566" w:rsidP="00FC5566">
            <w:pPr>
              <w:keepNext/>
              <w:rPr>
                <w:kern w:val="2"/>
                <w:sz w:val="16"/>
              </w:rPr>
            </w:pPr>
            <w:r w:rsidRPr="00FC5566">
              <w:rPr>
                <w:kern w:val="2"/>
                <w:sz w:val="16"/>
              </w:rPr>
              <w:t>Original license fee</w:t>
            </w:r>
          </w:p>
        </w:tc>
        <w:tc>
          <w:tcPr>
            <w:tcW w:w="1009" w:type="dxa"/>
            <w:tcBorders>
              <w:top w:val="single" w:sz="6" w:space="0" w:color="auto"/>
              <w:left w:val="single" w:sz="6" w:space="0" w:color="auto"/>
              <w:bottom w:val="single" w:sz="6" w:space="0" w:color="auto"/>
              <w:right w:val="double" w:sz="6" w:space="0" w:color="auto"/>
            </w:tcBorders>
            <w:vAlign w:val="center"/>
          </w:tcPr>
          <w:p w14:paraId="280BCC3D" w14:textId="77777777" w:rsidR="00FC5566" w:rsidRPr="00FC5566" w:rsidRDefault="00FC5566" w:rsidP="00FC5566">
            <w:pPr>
              <w:keepNext/>
              <w:jc w:val="center"/>
              <w:rPr>
                <w:kern w:val="2"/>
                <w:sz w:val="16"/>
              </w:rPr>
            </w:pPr>
            <w:r w:rsidRPr="00FC5566">
              <w:rPr>
                <w:kern w:val="2"/>
                <w:sz w:val="16"/>
              </w:rPr>
              <w:t>$250</w:t>
            </w:r>
          </w:p>
        </w:tc>
      </w:tr>
      <w:tr w:rsidR="00FC5566" w:rsidRPr="00FC5566" w14:paraId="0060606D" w14:textId="77777777" w:rsidTr="00B247D5">
        <w:trPr>
          <w:cantSplit/>
          <w:jc w:val="center"/>
        </w:trPr>
        <w:tc>
          <w:tcPr>
            <w:tcW w:w="3576" w:type="dxa"/>
            <w:tcBorders>
              <w:top w:val="single" w:sz="6" w:space="0" w:color="auto"/>
              <w:left w:val="double" w:sz="6" w:space="0" w:color="auto"/>
              <w:bottom w:val="single" w:sz="6" w:space="0" w:color="auto"/>
              <w:right w:val="single" w:sz="6" w:space="0" w:color="auto"/>
            </w:tcBorders>
            <w:vAlign w:val="center"/>
          </w:tcPr>
          <w:p w14:paraId="0FE26C15" w14:textId="77777777" w:rsidR="00FC5566" w:rsidRPr="00FC5566" w:rsidRDefault="00FC5566" w:rsidP="00FC5566">
            <w:pPr>
              <w:keepNext/>
              <w:rPr>
                <w:kern w:val="2"/>
                <w:sz w:val="16"/>
              </w:rPr>
            </w:pPr>
            <w:r w:rsidRPr="00FC5566">
              <w:rPr>
                <w:kern w:val="2"/>
                <w:sz w:val="16"/>
              </w:rPr>
              <w:t>Temporary license</w:t>
            </w:r>
          </w:p>
        </w:tc>
        <w:tc>
          <w:tcPr>
            <w:tcW w:w="1009" w:type="dxa"/>
            <w:tcBorders>
              <w:top w:val="single" w:sz="6" w:space="0" w:color="auto"/>
              <w:left w:val="single" w:sz="6" w:space="0" w:color="auto"/>
              <w:bottom w:val="single" w:sz="6" w:space="0" w:color="auto"/>
              <w:right w:val="double" w:sz="6" w:space="0" w:color="auto"/>
            </w:tcBorders>
            <w:vAlign w:val="center"/>
          </w:tcPr>
          <w:p w14:paraId="7C5913FA" w14:textId="77777777" w:rsidR="00FC5566" w:rsidRPr="00FC5566" w:rsidRDefault="00FC5566" w:rsidP="00FC5566">
            <w:pPr>
              <w:keepNext/>
              <w:jc w:val="center"/>
              <w:rPr>
                <w:kern w:val="2"/>
                <w:sz w:val="16"/>
              </w:rPr>
            </w:pPr>
            <w:r w:rsidRPr="00FC5566">
              <w:rPr>
                <w:kern w:val="2"/>
                <w:sz w:val="16"/>
              </w:rPr>
              <w:t>$100</w:t>
            </w:r>
          </w:p>
        </w:tc>
      </w:tr>
      <w:tr w:rsidR="00FC5566" w:rsidRPr="00FC5566" w14:paraId="5432E9F5" w14:textId="77777777" w:rsidTr="00B247D5">
        <w:trPr>
          <w:cantSplit/>
          <w:jc w:val="center"/>
        </w:trPr>
        <w:tc>
          <w:tcPr>
            <w:tcW w:w="4585" w:type="dxa"/>
            <w:gridSpan w:val="2"/>
            <w:tcBorders>
              <w:top w:val="single" w:sz="6" w:space="0" w:color="auto"/>
              <w:left w:val="double" w:sz="6" w:space="0" w:color="auto"/>
              <w:bottom w:val="single" w:sz="6" w:space="0" w:color="auto"/>
              <w:right w:val="double" w:sz="6" w:space="0" w:color="auto"/>
            </w:tcBorders>
            <w:shd w:val="clear" w:color="auto" w:fill="BFBFBF"/>
            <w:vAlign w:val="center"/>
          </w:tcPr>
          <w:p w14:paraId="0C5FD9CB" w14:textId="77777777" w:rsidR="00FC5566" w:rsidRPr="00FC5566" w:rsidRDefault="00FC5566" w:rsidP="00FC5566">
            <w:pPr>
              <w:keepNext/>
              <w:jc w:val="center"/>
              <w:rPr>
                <w:b/>
                <w:kern w:val="2"/>
                <w:sz w:val="16"/>
              </w:rPr>
            </w:pPr>
            <w:r w:rsidRPr="00FC5566">
              <w:rPr>
                <w:b/>
                <w:kern w:val="2"/>
                <w:sz w:val="16"/>
              </w:rPr>
              <w:t>Exams</w:t>
            </w:r>
          </w:p>
        </w:tc>
      </w:tr>
      <w:tr w:rsidR="00FC5566" w:rsidRPr="00FC5566" w14:paraId="242226C2" w14:textId="77777777" w:rsidTr="00B247D5">
        <w:trPr>
          <w:cantSplit/>
          <w:jc w:val="center"/>
        </w:trPr>
        <w:tc>
          <w:tcPr>
            <w:tcW w:w="3576" w:type="dxa"/>
            <w:tcBorders>
              <w:top w:val="single" w:sz="6" w:space="0" w:color="auto"/>
              <w:left w:val="double" w:sz="6" w:space="0" w:color="auto"/>
              <w:bottom w:val="single" w:sz="6" w:space="0" w:color="auto"/>
              <w:right w:val="single" w:sz="6" w:space="0" w:color="auto"/>
            </w:tcBorders>
            <w:vAlign w:val="center"/>
          </w:tcPr>
          <w:p w14:paraId="40464079" w14:textId="77777777" w:rsidR="00FC5566" w:rsidRPr="00FC5566" w:rsidRDefault="00FC5566" w:rsidP="00FC5566">
            <w:pPr>
              <w:keepNext/>
              <w:rPr>
                <w:kern w:val="2"/>
                <w:sz w:val="16"/>
              </w:rPr>
            </w:pPr>
            <w:r w:rsidRPr="00FC5566">
              <w:rPr>
                <w:kern w:val="2"/>
                <w:sz w:val="16"/>
              </w:rPr>
              <w:t>State board exam</w:t>
            </w:r>
          </w:p>
        </w:tc>
        <w:tc>
          <w:tcPr>
            <w:tcW w:w="1009" w:type="dxa"/>
            <w:tcBorders>
              <w:top w:val="single" w:sz="6" w:space="0" w:color="auto"/>
              <w:left w:val="single" w:sz="6" w:space="0" w:color="auto"/>
              <w:bottom w:val="single" w:sz="6" w:space="0" w:color="auto"/>
              <w:right w:val="double" w:sz="6" w:space="0" w:color="auto"/>
            </w:tcBorders>
            <w:vAlign w:val="center"/>
          </w:tcPr>
          <w:p w14:paraId="622442C3" w14:textId="77777777" w:rsidR="00FC5566" w:rsidRPr="00FC5566" w:rsidRDefault="00FC5566" w:rsidP="00FC5566">
            <w:pPr>
              <w:keepNext/>
              <w:jc w:val="center"/>
              <w:rPr>
                <w:kern w:val="2"/>
                <w:sz w:val="16"/>
              </w:rPr>
            </w:pPr>
            <w:r w:rsidRPr="00FC5566">
              <w:rPr>
                <w:kern w:val="2"/>
                <w:sz w:val="16"/>
              </w:rPr>
              <w:t>$200</w:t>
            </w:r>
          </w:p>
        </w:tc>
      </w:tr>
      <w:tr w:rsidR="00FC5566" w:rsidRPr="00FC5566" w14:paraId="1B76E972" w14:textId="77777777" w:rsidTr="00B247D5">
        <w:trPr>
          <w:cantSplit/>
          <w:jc w:val="center"/>
        </w:trPr>
        <w:tc>
          <w:tcPr>
            <w:tcW w:w="4585" w:type="dxa"/>
            <w:gridSpan w:val="2"/>
            <w:tcBorders>
              <w:top w:val="single" w:sz="6" w:space="0" w:color="auto"/>
              <w:left w:val="double" w:sz="6" w:space="0" w:color="auto"/>
              <w:bottom w:val="single" w:sz="6" w:space="0" w:color="auto"/>
              <w:right w:val="double" w:sz="6" w:space="0" w:color="auto"/>
            </w:tcBorders>
            <w:shd w:val="clear" w:color="auto" w:fill="BFBFBF"/>
            <w:vAlign w:val="center"/>
          </w:tcPr>
          <w:p w14:paraId="4D3593E0" w14:textId="77777777" w:rsidR="00FC5566" w:rsidRPr="00FC5566" w:rsidRDefault="00FC5566" w:rsidP="00FC5566">
            <w:pPr>
              <w:keepNext/>
              <w:jc w:val="center"/>
              <w:rPr>
                <w:b/>
                <w:kern w:val="2"/>
                <w:sz w:val="16"/>
              </w:rPr>
            </w:pPr>
            <w:bookmarkStart w:id="34" w:name="Place"/>
            <w:r w:rsidRPr="00FC5566">
              <w:rPr>
                <w:b/>
                <w:kern w:val="2"/>
                <w:sz w:val="16"/>
              </w:rPr>
              <w:t>Exam and/or License Application</w:t>
            </w:r>
          </w:p>
        </w:tc>
      </w:tr>
      <w:bookmarkEnd w:id="34"/>
      <w:tr w:rsidR="00FC5566" w:rsidRPr="00FC5566" w14:paraId="09786D89" w14:textId="77777777" w:rsidTr="00B247D5">
        <w:trPr>
          <w:cantSplit/>
          <w:jc w:val="center"/>
        </w:trPr>
        <w:tc>
          <w:tcPr>
            <w:tcW w:w="3576" w:type="dxa"/>
            <w:tcBorders>
              <w:top w:val="single" w:sz="6" w:space="0" w:color="auto"/>
              <w:left w:val="double" w:sz="6" w:space="0" w:color="auto"/>
              <w:bottom w:val="double" w:sz="6" w:space="0" w:color="auto"/>
              <w:right w:val="single" w:sz="6" w:space="0" w:color="auto"/>
            </w:tcBorders>
            <w:vAlign w:val="center"/>
          </w:tcPr>
          <w:p w14:paraId="3BE67190" w14:textId="77777777" w:rsidR="00FC5566" w:rsidRPr="00FC5566" w:rsidRDefault="00FC5566" w:rsidP="00FC5566">
            <w:pPr>
              <w:rPr>
                <w:kern w:val="2"/>
                <w:sz w:val="16"/>
              </w:rPr>
            </w:pPr>
            <w:r w:rsidRPr="00FC5566">
              <w:rPr>
                <w:kern w:val="2"/>
                <w:sz w:val="16"/>
              </w:rPr>
              <w:t>Non-refundable application fee</w:t>
            </w:r>
          </w:p>
        </w:tc>
        <w:tc>
          <w:tcPr>
            <w:tcW w:w="1009" w:type="dxa"/>
            <w:tcBorders>
              <w:top w:val="single" w:sz="6" w:space="0" w:color="auto"/>
              <w:left w:val="single" w:sz="6" w:space="0" w:color="auto"/>
              <w:bottom w:val="double" w:sz="6" w:space="0" w:color="auto"/>
              <w:right w:val="double" w:sz="6" w:space="0" w:color="auto"/>
            </w:tcBorders>
            <w:vAlign w:val="center"/>
          </w:tcPr>
          <w:p w14:paraId="129F6F2B" w14:textId="77777777" w:rsidR="00FC5566" w:rsidRPr="00FC5566" w:rsidRDefault="00FC5566" w:rsidP="00FC5566">
            <w:pPr>
              <w:jc w:val="center"/>
              <w:rPr>
                <w:kern w:val="2"/>
                <w:sz w:val="16"/>
              </w:rPr>
            </w:pPr>
            <w:bookmarkStart w:id="35" w:name="End"/>
            <w:r w:rsidRPr="00FC5566">
              <w:rPr>
                <w:kern w:val="2"/>
                <w:sz w:val="16"/>
              </w:rPr>
              <w:t>$100</w:t>
            </w:r>
            <w:bookmarkEnd w:id="35"/>
          </w:p>
        </w:tc>
      </w:tr>
    </w:tbl>
    <w:p w14:paraId="6C0EDAF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p w14:paraId="10F3FAEC"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37:1518 et seq.</w:t>
      </w:r>
    </w:p>
    <w:p w14:paraId="7AEDEF7F"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Health and Human Resources, Board of Veterinary Medicine, LR 8:65 (February 1982), amended by Department of Health and Hospitals, Board of Veterinary Medicine, LR 18:380 (April 1992), LR 19:1326 (October 1993), LR 23:963 (August 1997), LR 25:2408 (December 1999), LR 30:796 (April 2004), LR 40:2258 (November 2014), amended by the Department of Agriculture and Forestry, Board of Veterinary Medicine, LR 52:1325 (August 2026).</w:t>
      </w:r>
    </w:p>
    <w:p w14:paraId="1509CB15"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36" w:name="_Toc182996758"/>
      <w:bookmarkStart w:id="37" w:name="_Toc191549561"/>
      <w:r w:rsidRPr="00FC5566">
        <w:rPr>
          <w:b/>
          <w:kern w:val="2"/>
        </w:rPr>
        <w:t>§503.</w:t>
      </w:r>
      <w:r w:rsidRPr="00FC5566">
        <w:rPr>
          <w:b/>
          <w:kern w:val="2"/>
        </w:rPr>
        <w:tab/>
        <w:t>Exemption of Fee for Active Military Duty/Reduction of Fee for Qualified Retirement/Disability</w:t>
      </w:r>
      <w:bookmarkEnd w:id="36"/>
      <w:bookmarkEnd w:id="37"/>
      <w:r w:rsidRPr="00FC5566">
        <w:rPr>
          <w:b/>
          <w:kern w:val="2"/>
        </w:rPr>
        <w:t xml:space="preserve"> </w:t>
      </w:r>
    </w:p>
    <w:p w14:paraId="33C0A67E"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 xml:space="preserve">The board shall exempt a veterinarian licensed in the state of Louisiana from the annual license renewal fee for active status if he is a member of the armed forces and is on active duty. In accordance with R.S. 37:1525, this exemption shall not exceed three years or the duration of a national emergency, whichever is longer. </w:t>
      </w:r>
    </w:p>
    <w:p w14:paraId="00BFFCA7"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The board shall apply the reduced annual renewal fee for inactive status if the veterinarian is totally disabled to practice veterinary medicine without probability of return to practice for the annual renewal period at issue as certified by a physician’s statement, or if he is retired and has reached the age of 65 years.</w:t>
      </w:r>
    </w:p>
    <w:p w14:paraId="604C541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In each of the above cases, the veterinarian who requests fee exemption for active military status or fee reduction for inactive status must renew with the board annually and provide proof of his eligibility for fee exemption or reduction in affidavit form approved by the board. The documentation must be submitted annually with the application for renewal.</w:t>
      </w:r>
    </w:p>
    <w:p w14:paraId="6B42730F"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lastRenderedPageBreak/>
        <w:t>D.</w:t>
      </w:r>
      <w:r w:rsidRPr="00FC5566">
        <w:rPr>
          <w:kern w:val="2"/>
        </w:rPr>
        <w:tab/>
        <w:t>Reinstatement from Inactive Status to Active Status</w:t>
      </w:r>
    </w:p>
    <w:p w14:paraId="6F44EC0D"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A licensee in inactive status must submit a written request for reinstatement to active status within five years of the initial date of inactive status being granted, provided the licensee submits with his written request the payment of all back active annual renewal fees, as well as current active annual renewal fees. The request for reinstatement may be subject to certain conditions being met as set by the board, including but not limited to the fulfillment of all continuing education requirements pursuant to §405.B of this Section, prior to such reinstatement. A request for reinstatement must be considered by the full board.</w:t>
      </w:r>
    </w:p>
    <w:p w14:paraId="42209440"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If a license is not brought back to active status within five years of the initial date of inactive status being granted, then the license shall be cancelled. At such time, an entirely new application for license must be submitted to the board, including the payment of all applicable fees and satisfactorily passing all state and national examinations.</w:t>
      </w:r>
    </w:p>
    <w:p w14:paraId="76E439E2"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37:1518 and 1520.A.</w:t>
      </w:r>
    </w:p>
    <w:p w14:paraId="2C8D7CC1"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Health and Human Resources, Board of Veterinary Medicine, LR 10:208 (March 1984), amended by the Department of Health and Hospitals, Board of Veterinary Medicine, LR 23:963 (August 1997), LR 29:1478 (August 2003), LR 38:1592 (July 2012), amended by the Department of Agriculture and Forestry, Board of Veterinary Medicine, LR 52:1325 (August 2026).</w:t>
      </w:r>
    </w:p>
    <w:p w14:paraId="4AF7B016"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38" w:name="_Toc182996759"/>
      <w:bookmarkStart w:id="39" w:name="_Toc191549562"/>
      <w:r w:rsidRPr="00FC5566">
        <w:rPr>
          <w:b/>
          <w:kern w:val="2"/>
        </w:rPr>
        <w:t>§505.</w:t>
      </w:r>
      <w:r w:rsidRPr="00FC5566">
        <w:rPr>
          <w:b/>
          <w:kern w:val="2"/>
        </w:rPr>
        <w:tab/>
        <w:t>License Renewal Late Fee</w:t>
      </w:r>
      <w:bookmarkEnd w:id="38"/>
      <w:bookmarkEnd w:id="39"/>
    </w:p>
    <w:p w14:paraId="1B2B09C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 xml:space="preserve">Any license renewed after the published expiration date stated in R.S. 37:1424 shall be subject to an additional late renewal fee of $150 for each applicable expired year. </w:t>
      </w:r>
    </w:p>
    <w:p w14:paraId="5D2292DF"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 xml:space="preserve">Disciplinary action may be taken and additional fines levied by the board against any person who willfully or by neglect fails to renew a license by the renewal deadline, including submission of all satisfactory documentation of continuing education compliance, and practices veterinary medicine after the expiration of his license. </w:t>
      </w:r>
    </w:p>
    <w:p w14:paraId="126959B8"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Any late fees and/or fines assessed by the board shall be paid before the renewal is issued.</w:t>
      </w:r>
    </w:p>
    <w:p w14:paraId="6EA3A01D"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37:1518 et seq.</w:t>
      </w:r>
    </w:p>
    <w:p w14:paraId="16426230"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spacing w:val="-2"/>
          <w:kern w:val="2"/>
          <w:sz w:val="18"/>
        </w:rPr>
      </w:pPr>
      <w:r w:rsidRPr="00FC5566">
        <w:rPr>
          <w:kern w:val="2"/>
          <w:sz w:val="18"/>
        </w:rPr>
        <w:t>HISTORICAL NOTE:</w:t>
      </w:r>
      <w:r w:rsidRPr="00FC5566">
        <w:rPr>
          <w:kern w:val="2"/>
          <w:sz w:val="18"/>
        </w:rPr>
        <w:tab/>
        <w:t>Promulgated by the Department of Health and Human Resources, Board of Veterinary Medicine, LR 10:208 (March 1984), amended by the Department of Health and Hospitals, Board of Veterinary Medicine, LR 19:1429 (November 1993), LR 20:1114 (October 1994), LR 25:2408 (December 1999), LR 40:2258 (November 2014), amended by the Department of Agriculture and Forestry, Board of Veterinary Medicine, LR 52:1326 (August 2026).</w:t>
      </w:r>
    </w:p>
    <w:p w14:paraId="0BBD836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bookmarkStart w:id="40" w:name="_Hlk96585891"/>
    </w:p>
    <w:bookmarkEnd w:id="40"/>
    <w:p w14:paraId="006720ED" w14:textId="77777777" w:rsidR="00FC5566" w:rsidRPr="00FC5566" w:rsidRDefault="00FC5566" w:rsidP="00FC5566">
      <w:pPr>
        <w:keepNext/>
        <w:ind w:left="2160"/>
        <w:jc w:val="both"/>
      </w:pPr>
      <w:r w:rsidRPr="00FC5566">
        <w:t>Jared B. Granier</w:t>
      </w:r>
    </w:p>
    <w:p w14:paraId="0F66C60B" w14:textId="77777777" w:rsidR="00FC5566" w:rsidRPr="00FC5566" w:rsidRDefault="00FC5566" w:rsidP="00FC5566">
      <w:pPr>
        <w:keepNext/>
        <w:ind w:left="2160"/>
        <w:jc w:val="both"/>
      </w:pPr>
      <w:r w:rsidRPr="00FC5566">
        <w:t>Executive Director</w:t>
      </w:r>
    </w:p>
    <w:p w14:paraId="74C85256" w14:textId="77777777" w:rsidR="00FC5566" w:rsidRPr="00FC5566" w:rsidRDefault="00FC5566" w:rsidP="00FC5566">
      <w:pPr>
        <w:rPr>
          <w:noProof/>
          <w:sz w:val="16"/>
        </w:rPr>
      </w:pPr>
      <w:r w:rsidRPr="00FC5566">
        <w:rPr>
          <w:noProof/>
          <w:sz w:val="16"/>
        </w:rPr>
        <w:t>2608#003</w:t>
      </w:r>
    </w:p>
    <w:p w14:paraId="440B9A3F" w14:textId="77777777" w:rsidR="00FC5566" w:rsidRPr="00FC5566" w:rsidRDefault="00FC5566" w:rsidP="00FC5566"/>
    <w:p w14:paraId="0C29293F" w14:textId="77777777" w:rsidR="00FC5566" w:rsidRPr="00FC5566" w:rsidRDefault="00FC5566" w:rsidP="00FC5566">
      <w:pPr>
        <w:keepNext/>
        <w:tabs>
          <w:tab w:val="left" w:pos="-1440"/>
        </w:tabs>
        <w:spacing w:after="120"/>
        <w:jc w:val="center"/>
        <w:rPr>
          <w:b/>
          <w:noProof/>
        </w:rPr>
      </w:pPr>
      <w:r w:rsidRPr="00FC5566">
        <w:rPr>
          <w:b/>
          <w:noProof/>
        </w:rPr>
        <w:br w:type="column"/>
      </w:r>
      <w:r w:rsidRPr="00FC5566">
        <w:rPr>
          <w:b/>
          <w:noProof/>
        </w:rPr>
        <w:t>RULE</w:t>
      </w:r>
    </w:p>
    <w:p w14:paraId="22201EDE" w14:textId="77777777" w:rsidR="00FC5566" w:rsidRPr="00FC5566" w:rsidRDefault="00FC5566" w:rsidP="00FC5566">
      <w:pPr>
        <w:keepNext/>
        <w:jc w:val="center"/>
        <w:rPr>
          <w:b/>
          <w:noProof/>
        </w:rPr>
      </w:pPr>
      <w:r w:rsidRPr="00FC5566">
        <w:rPr>
          <w:b/>
          <w:noProof/>
        </w:rPr>
        <w:t>Department of Agriculture and Forestry</w:t>
      </w:r>
    </w:p>
    <w:p w14:paraId="454D0157" w14:textId="77777777" w:rsidR="00FC5566" w:rsidRPr="00FC5566" w:rsidRDefault="00FC5566" w:rsidP="00FC5566">
      <w:pPr>
        <w:keepNext/>
        <w:jc w:val="center"/>
        <w:rPr>
          <w:b/>
          <w:noProof/>
        </w:rPr>
      </w:pPr>
      <w:r w:rsidRPr="00FC5566">
        <w:rPr>
          <w:b/>
          <w:noProof/>
        </w:rPr>
        <w:t>Board of Veterinary Medicine</w:t>
      </w:r>
    </w:p>
    <w:p w14:paraId="36394684" w14:textId="77777777" w:rsidR="00FC5566" w:rsidRPr="00FC5566" w:rsidRDefault="00FC5566" w:rsidP="00FC5566">
      <w:pPr>
        <w:keepNext/>
        <w:spacing w:before="240" w:after="240"/>
        <w:jc w:val="center"/>
        <w:rPr>
          <w:noProof/>
        </w:rPr>
      </w:pPr>
      <w:r w:rsidRPr="00FC5566">
        <w:rPr>
          <w:noProof/>
        </w:rPr>
        <w:t>Fees for Certified Animal Euthanasia Technicians</w:t>
      </w:r>
      <w:r w:rsidRPr="00FC5566">
        <w:rPr>
          <w:noProof/>
        </w:rPr>
        <w:br/>
        <w:t>(LAC 46:LXXXV.1211)</w:t>
      </w:r>
    </w:p>
    <w:p w14:paraId="4E52FC9C"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 xml:space="preserve">In accordance with the Administrative Procedure Act (R.S. 49:950 et seq.), the 2022 </w:t>
      </w:r>
      <w:r w:rsidRPr="00FC5566">
        <w:rPr>
          <w:i/>
          <w:iCs/>
          <w:kern w:val="2"/>
        </w:rPr>
        <w:t>Louisiana Administrative Code</w:t>
      </w:r>
      <w:r w:rsidRPr="00FC5566">
        <w:rPr>
          <w:kern w:val="2"/>
        </w:rPr>
        <w:t xml:space="preserve"> Review, and the JML Executive Order No. 25-038, the Board (“board”) of Veterinary Medicine has amended LAC 46:LXXXV.1211. There are no changes to the fees associated with the application for, or annual renewal of, certified animal euthanasia technicians. The amendment to this Rule makes it clear that it is a direct violation of Louisiana Veterinary Practice Act to perform any duties of a CAET with an expired certificate. The historical notes shall be updated to reflect the review of these rules. This Rule is hereby adopted on the day of promulgation.</w:t>
      </w:r>
    </w:p>
    <w:p w14:paraId="60B1D186" w14:textId="77777777" w:rsidR="00FC5566" w:rsidRPr="00FC5566" w:rsidRDefault="00FC5566" w:rsidP="00FC5566">
      <w:pPr>
        <w:keepNext/>
        <w:jc w:val="center"/>
        <w:rPr>
          <w:b/>
          <w:kern w:val="28"/>
        </w:rPr>
      </w:pPr>
      <w:r w:rsidRPr="00FC5566">
        <w:rPr>
          <w:b/>
          <w:kern w:val="28"/>
        </w:rPr>
        <w:t>Title 46</w:t>
      </w:r>
    </w:p>
    <w:p w14:paraId="20BFEE41" w14:textId="77777777" w:rsidR="00FC5566" w:rsidRPr="00FC5566" w:rsidRDefault="00FC5566" w:rsidP="00FC5566">
      <w:pPr>
        <w:keepNext/>
        <w:jc w:val="center"/>
        <w:rPr>
          <w:b/>
          <w:kern w:val="28"/>
        </w:rPr>
      </w:pPr>
      <w:r w:rsidRPr="00FC5566">
        <w:rPr>
          <w:b/>
          <w:kern w:val="28"/>
        </w:rPr>
        <w:t>PROFESSIONAL AND OCCUPATIONAL STANDARDS</w:t>
      </w:r>
    </w:p>
    <w:p w14:paraId="7E23EEA7" w14:textId="77777777" w:rsidR="00FC5566" w:rsidRPr="00FC5566" w:rsidRDefault="00FC5566" w:rsidP="00FC5566">
      <w:pPr>
        <w:keepNext/>
        <w:jc w:val="center"/>
        <w:rPr>
          <w:b/>
          <w:noProof/>
        </w:rPr>
      </w:pPr>
      <w:r w:rsidRPr="00FC5566">
        <w:rPr>
          <w:b/>
          <w:noProof/>
        </w:rPr>
        <w:t>Part LXXXV.  Veterinarians</w:t>
      </w:r>
    </w:p>
    <w:p w14:paraId="438781F7"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41" w:name="TOC_Chap3"/>
      <w:bookmarkStart w:id="42" w:name="_Toc222490981"/>
      <w:bookmarkStart w:id="43" w:name="_Toc223075648"/>
      <w:bookmarkStart w:id="44" w:name="_Toc222490986"/>
      <w:bookmarkStart w:id="45" w:name="_Toc223075653"/>
      <w:r w:rsidRPr="00FC5566">
        <w:rPr>
          <w:b/>
          <w:kern w:val="2"/>
        </w:rPr>
        <w:t xml:space="preserve">Chapter </w:t>
      </w:r>
      <w:bookmarkStart w:id="46" w:name="TOCT_Chap3"/>
      <w:bookmarkEnd w:id="41"/>
      <w:r w:rsidRPr="00FC5566">
        <w:rPr>
          <w:b/>
          <w:kern w:val="2"/>
        </w:rPr>
        <w:t>12.</w:t>
      </w:r>
      <w:r w:rsidRPr="00FC5566">
        <w:rPr>
          <w:b/>
          <w:kern w:val="2"/>
        </w:rPr>
        <w:tab/>
        <w:t>Certified Animal Euthanasia Technicians</w:t>
      </w:r>
      <w:bookmarkEnd w:id="42"/>
      <w:bookmarkEnd w:id="43"/>
      <w:bookmarkEnd w:id="46"/>
    </w:p>
    <w:bookmarkEnd w:id="44"/>
    <w:bookmarkEnd w:id="45"/>
    <w:p w14:paraId="4091BFF7"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§1211.</w:t>
      </w:r>
      <w:r w:rsidRPr="00FC5566">
        <w:rPr>
          <w:b/>
          <w:kern w:val="2"/>
        </w:rPr>
        <w:tab/>
        <w:t>Fees for Certified Animal Euthanasia Technicians</w:t>
      </w:r>
    </w:p>
    <w:p w14:paraId="327E3B67"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The board hereby adopts and establishes the following fees for the CAET program.</w:t>
      </w:r>
    </w:p>
    <w:p w14:paraId="2FB99BA3"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tbl>
      <w:tblPr>
        <w:tblW w:w="4083" w:type="dxa"/>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4A0" w:firstRow="1" w:lastRow="0" w:firstColumn="1" w:lastColumn="0" w:noHBand="0" w:noVBand="1"/>
      </w:tblPr>
      <w:tblGrid>
        <w:gridCol w:w="3104"/>
        <w:gridCol w:w="979"/>
      </w:tblGrid>
      <w:tr w:rsidR="00FC5566" w:rsidRPr="00FC5566" w14:paraId="6747B781" w14:textId="77777777" w:rsidTr="00B247D5">
        <w:trPr>
          <w:cantSplit/>
          <w:jc w:val="center"/>
        </w:trPr>
        <w:tc>
          <w:tcPr>
            <w:tcW w:w="3104" w:type="dxa"/>
          </w:tcPr>
          <w:p w14:paraId="7E947F0C" w14:textId="77777777" w:rsidR="00FC5566" w:rsidRPr="00FC5566" w:rsidRDefault="00FC5566" w:rsidP="00FC5566">
            <w:pPr>
              <w:keepNext/>
              <w:rPr>
                <w:sz w:val="16"/>
                <w:szCs w:val="16"/>
              </w:rPr>
            </w:pPr>
            <w:r w:rsidRPr="00FC5566">
              <w:rPr>
                <w:sz w:val="16"/>
                <w:szCs w:val="16"/>
              </w:rPr>
              <w:t>Application Fee</w:t>
            </w:r>
          </w:p>
        </w:tc>
        <w:tc>
          <w:tcPr>
            <w:tcW w:w="979" w:type="dxa"/>
          </w:tcPr>
          <w:p w14:paraId="21DAF077" w14:textId="77777777" w:rsidR="00FC5566" w:rsidRPr="00FC5566" w:rsidRDefault="00FC5566" w:rsidP="00FC5566">
            <w:pPr>
              <w:keepNext/>
              <w:rPr>
                <w:sz w:val="16"/>
                <w:szCs w:val="16"/>
              </w:rPr>
            </w:pPr>
            <w:r w:rsidRPr="00FC5566">
              <w:rPr>
                <w:sz w:val="16"/>
                <w:szCs w:val="16"/>
              </w:rPr>
              <w:t>$25</w:t>
            </w:r>
          </w:p>
        </w:tc>
      </w:tr>
      <w:tr w:rsidR="00FC5566" w:rsidRPr="00FC5566" w14:paraId="674B3BE4" w14:textId="77777777" w:rsidTr="00B247D5">
        <w:trPr>
          <w:cantSplit/>
          <w:jc w:val="center"/>
        </w:trPr>
        <w:tc>
          <w:tcPr>
            <w:tcW w:w="3104" w:type="dxa"/>
          </w:tcPr>
          <w:p w14:paraId="4557CB7F" w14:textId="77777777" w:rsidR="00FC5566" w:rsidRPr="00FC5566" w:rsidRDefault="00FC5566" w:rsidP="00FC5566">
            <w:pPr>
              <w:keepNext/>
              <w:rPr>
                <w:sz w:val="16"/>
                <w:szCs w:val="16"/>
              </w:rPr>
            </w:pPr>
            <w:r w:rsidRPr="00FC5566">
              <w:rPr>
                <w:sz w:val="16"/>
                <w:szCs w:val="16"/>
              </w:rPr>
              <w:t>Course Fee</w:t>
            </w:r>
          </w:p>
        </w:tc>
        <w:tc>
          <w:tcPr>
            <w:tcW w:w="979" w:type="dxa"/>
          </w:tcPr>
          <w:p w14:paraId="542695BC" w14:textId="77777777" w:rsidR="00FC5566" w:rsidRPr="00FC5566" w:rsidRDefault="00FC5566" w:rsidP="00FC5566">
            <w:pPr>
              <w:keepNext/>
              <w:rPr>
                <w:sz w:val="16"/>
                <w:szCs w:val="16"/>
              </w:rPr>
            </w:pPr>
            <w:r w:rsidRPr="00FC5566">
              <w:rPr>
                <w:sz w:val="16"/>
                <w:szCs w:val="16"/>
              </w:rPr>
              <w:t>$80</w:t>
            </w:r>
          </w:p>
        </w:tc>
      </w:tr>
      <w:tr w:rsidR="00FC5566" w:rsidRPr="00FC5566" w14:paraId="08A41F74" w14:textId="77777777" w:rsidTr="00B247D5">
        <w:trPr>
          <w:cantSplit/>
          <w:jc w:val="center"/>
        </w:trPr>
        <w:tc>
          <w:tcPr>
            <w:tcW w:w="3104" w:type="dxa"/>
          </w:tcPr>
          <w:p w14:paraId="4C457790" w14:textId="77777777" w:rsidR="00FC5566" w:rsidRPr="00FC5566" w:rsidRDefault="00FC5566" w:rsidP="00FC5566">
            <w:pPr>
              <w:keepNext/>
              <w:rPr>
                <w:sz w:val="16"/>
                <w:szCs w:val="16"/>
              </w:rPr>
            </w:pPr>
            <w:r w:rsidRPr="00FC5566">
              <w:rPr>
                <w:sz w:val="16"/>
                <w:szCs w:val="16"/>
              </w:rPr>
              <w:t>Annual Renewal of Certificate</w:t>
            </w:r>
          </w:p>
        </w:tc>
        <w:tc>
          <w:tcPr>
            <w:tcW w:w="979" w:type="dxa"/>
          </w:tcPr>
          <w:p w14:paraId="2008B212" w14:textId="77777777" w:rsidR="00FC5566" w:rsidRPr="00FC5566" w:rsidRDefault="00FC5566" w:rsidP="00FC5566">
            <w:pPr>
              <w:keepNext/>
              <w:rPr>
                <w:sz w:val="16"/>
                <w:szCs w:val="16"/>
              </w:rPr>
            </w:pPr>
            <w:r w:rsidRPr="00FC5566">
              <w:rPr>
                <w:sz w:val="16"/>
                <w:szCs w:val="16"/>
              </w:rPr>
              <w:t>$50</w:t>
            </w:r>
          </w:p>
        </w:tc>
      </w:tr>
      <w:tr w:rsidR="00FC5566" w:rsidRPr="00FC5566" w14:paraId="38993573" w14:textId="77777777" w:rsidTr="00B247D5">
        <w:trPr>
          <w:cantSplit/>
          <w:jc w:val="center"/>
        </w:trPr>
        <w:tc>
          <w:tcPr>
            <w:tcW w:w="3104" w:type="dxa"/>
          </w:tcPr>
          <w:p w14:paraId="1B57607D" w14:textId="77777777" w:rsidR="00FC5566" w:rsidRPr="00FC5566" w:rsidRDefault="00FC5566" w:rsidP="00FC5566">
            <w:pPr>
              <w:keepNext/>
              <w:rPr>
                <w:sz w:val="16"/>
                <w:szCs w:val="16"/>
              </w:rPr>
            </w:pPr>
            <w:r w:rsidRPr="00FC5566">
              <w:rPr>
                <w:sz w:val="16"/>
                <w:szCs w:val="16"/>
              </w:rPr>
              <w:t>Examination Fee</w:t>
            </w:r>
          </w:p>
        </w:tc>
        <w:tc>
          <w:tcPr>
            <w:tcW w:w="979" w:type="dxa"/>
          </w:tcPr>
          <w:p w14:paraId="021D497F" w14:textId="77777777" w:rsidR="00FC5566" w:rsidRPr="00FC5566" w:rsidRDefault="00FC5566" w:rsidP="00FC5566">
            <w:pPr>
              <w:keepNext/>
              <w:rPr>
                <w:sz w:val="16"/>
                <w:szCs w:val="16"/>
              </w:rPr>
            </w:pPr>
            <w:r w:rsidRPr="00FC5566">
              <w:rPr>
                <w:sz w:val="16"/>
                <w:szCs w:val="16"/>
              </w:rPr>
              <w:t>$50</w:t>
            </w:r>
          </w:p>
        </w:tc>
      </w:tr>
      <w:tr w:rsidR="00FC5566" w:rsidRPr="00FC5566" w14:paraId="6114F0C0" w14:textId="77777777" w:rsidTr="00B247D5">
        <w:trPr>
          <w:cantSplit/>
          <w:jc w:val="center"/>
        </w:trPr>
        <w:tc>
          <w:tcPr>
            <w:tcW w:w="3104" w:type="dxa"/>
          </w:tcPr>
          <w:p w14:paraId="68A44BFA" w14:textId="77777777" w:rsidR="00FC5566" w:rsidRPr="00FC5566" w:rsidRDefault="00FC5566" w:rsidP="00FC5566">
            <w:pPr>
              <w:keepNext/>
              <w:rPr>
                <w:sz w:val="16"/>
                <w:szCs w:val="16"/>
              </w:rPr>
            </w:pPr>
            <w:r w:rsidRPr="00FC5566">
              <w:rPr>
                <w:sz w:val="16"/>
                <w:szCs w:val="16"/>
              </w:rPr>
              <w:t>Late Renewal Fee</w:t>
            </w:r>
          </w:p>
        </w:tc>
        <w:tc>
          <w:tcPr>
            <w:tcW w:w="979" w:type="dxa"/>
          </w:tcPr>
          <w:p w14:paraId="0203A671" w14:textId="77777777" w:rsidR="00FC5566" w:rsidRPr="00FC5566" w:rsidRDefault="00FC5566" w:rsidP="00FC5566">
            <w:pPr>
              <w:keepNext/>
              <w:rPr>
                <w:sz w:val="16"/>
                <w:szCs w:val="16"/>
              </w:rPr>
            </w:pPr>
            <w:r w:rsidRPr="00FC5566">
              <w:rPr>
                <w:sz w:val="16"/>
                <w:szCs w:val="16"/>
              </w:rPr>
              <w:t>$25</w:t>
            </w:r>
          </w:p>
        </w:tc>
      </w:tr>
      <w:tr w:rsidR="00FC5566" w:rsidRPr="00FC5566" w14:paraId="381BCF38" w14:textId="77777777" w:rsidTr="00B247D5">
        <w:trPr>
          <w:cantSplit/>
          <w:jc w:val="center"/>
        </w:trPr>
        <w:tc>
          <w:tcPr>
            <w:tcW w:w="3104" w:type="dxa"/>
          </w:tcPr>
          <w:p w14:paraId="7B64DC53" w14:textId="77777777" w:rsidR="00FC5566" w:rsidRPr="00FC5566" w:rsidRDefault="00FC5566" w:rsidP="00FC5566">
            <w:pPr>
              <w:rPr>
                <w:sz w:val="16"/>
                <w:szCs w:val="16"/>
              </w:rPr>
            </w:pPr>
            <w:r w:rsidRPr="00FC5566">
              <w:rPr>
                <w:sz w:val="16"/>
                <w:szCs w:val="16"/>
              </w:rPr>
              <w:t>Original Fee - Full Certification</w:t>
            </w:r>
          </w:p>
        </w:tc>
        <w:tc>
          <w:tcPr>
            <w:tcW w:w="979" w:type="dxa"/>
          </w:tcPr>
          <w:p w14:paraId="6765668B" w14:textId="77777777" w:rsidR="00FC5566" w:rsidRPr="00FC5566" w:rsidRDefault="00FC5566" w:rsidP="00FC5566">
            <w:pPr>
              <w:rPr>
                <w:sz w:val="16"/>
                <w:szCs w:val="16"/>
              </w:rPr>
            </w:pPr>
            <w:r w:rsidRPr="00FC5566">
              <w:rPr>
                <w:sz w:val="16"/>
                <w:szCs w:val="16"/>
              </w:rPr>
              <w:t>$50</w:t>
            </w:r>
          </w:p>
        </w:tc>
      </w:tr>
    </w:tbl>
    <w:p w14:paraId="1DE9605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p w14:paraId="1D2126D9"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Any certificate renewed after the published expiration date stated in R.S. 37:1546 shall be subject to an additional late renewal fee of $25 for each applicable expired year.</w:t>
      </w:r>
    </w:p>
    <w:p w14:paraId="1BDC0C6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 xml:space="preserve">Disciplinary action may be taken and additional fines levied by the board against any person who willfully or by neglect fails to renew a certificate by the renewal deadline, including submission of all satisfactory documentation of continuing education compliance, and performs any duties of a CAET after the expiration of his certificate. </w:t>
      </w:r>
    </w:p>
    <w:p w14:paraId="63D3ABE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D.</w:t>
      </w:r>
      <w:r w:rsidRPr="00FC5566">
        <w:rPr>
          <w:kern w:val="2"/>
        </w:rPr>
        <w:tab/>
        <w:t>Any late fees and/or fines assessed by the board shall be paid before the renewal is approved.</w:t>
      </w:r>
    </w:p>
    <w:p w14:paraId="4A76550B"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E.</w:t>
      </w:r>
      <w:r w:rsidRPr="00FC5566">
        <w:rPr>
          <w:kern w:val="2"/>
        </w:rPr>
        <w:tab/>
        <w:t>The board may direct that examination fees be assigned or remitted directly to the agency selected to prepare, administer, and score the examination in animal euthanasia. Said agency may not assess fees in addition to those set by the board.</w:t>
      </w:r>
    </w:p>
    <w:p w14:paraId="38A97391"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37:1558.</w:t>
      </w:r>
    </w:p>
    <w:p w14:paraId="57C36315"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spacing w:val="-2"/>
          <w:kern w:val="2"/>
          <w:sz w:val="18"/>
        </w:rPr>
      </w:pPr>
      <w:r w:rsidRPr="00FC5566">
        <w:rPr>
          <w:kern w:val="2"/>
          <w:sz w:val="18"/>
        </w:rPr>
        <w:t>HISTORICAL NOTE:</w:t>
      </w:r>
      <w:r w:rsidRPr="00FC5566">
        <w:rPr>
          <w:kern w:val="2"/>
          <w:sz w:val="18"/>
        </w:rPr>
        <w:tab/>
        <w:t xml:space="preserve">Promulgated by the Department of Health and Hospitals, Board of Veterinary Medicine, LR 19:1425 (November 1993), amended LR 26:318 (February 2000), LR 38:358 (February 2012), amended by the Department of Agriculture and Forestry, Board of Veterinary Medicine, LR </w:t>
      </w:r>
      <w:r w:rsidRPr="00FC5566">
        <w:rPr>
          <w:spacing w:val="-2"/>
          <w:kern w:val="2"/>
          <w:sz w:val="18"/>
        </w:rPr>
        <w:t>52:1326 (August 2026).</w:t>
      </w:r>
    </w:p>
    <w:p w14:paraId="7DBCFB8F"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p w14:paraId="560BA278" w14:textId="77777777" w:rsidR="00FC5566" w:rsidRPr="00FC5566" w:rsidRDefault="00FC5566" w:rsidP="00FC5566">
      <w:pPr>
        <w:keepNext/>
        <w:ind w:left="2160"/>
        <w:jc w:val="both"/>
      </w:pPr>
      <w:r w:rsidRPr="00FC5566">
        <w:t>Jared B. Granier</w:t>
      </w:r>
    </w:p>
    <w:p w14:paraId="1764C9CF" w14:textId="77777777" w:rsidR="00FC5566" w:rsidRPr="00FC5566" w:rsidRDefault="00FC5566" w:rsidP="00FC5566">
      <w:pPr>
        <w:keepNext/>
        <w:ind w:left="2160"/>
        <w:jc w:val="both"/>
      </w:pPr>
      <w:r w:rsidRPr="00FC5566">
        <w:t>Executive Director</w:t>
      </w:r>
    </w:p>
    <w:p w14:paraId="109ED97A" w14:textId="77777777" w:rsidR="00FC5566" w:rsidRPr="00FC5566" w:rsidRDefault="00FC5566" w:rsidP="00FC5566">
      <w:pPr>
        <w:rPr>
          <w:noProof/>
          <w:sz w:val="16"/>
        </w:rPr>
      </w:pPr>
      <w:r w:rsidRPr="00FC5566">
        <w:rPr>
          <w:noProof/>
          <w:sz w:val="16"/>
        </w:rPr>
        <w:t>2608#004</w:t>
      </w:r>
    </w:p>
    <w:p w14:paraId="3909D78A" w14:textId="77777777" w:rsidR="00FC5566" w:rsidRPr="00FC5566" w:rsidRDefault="00FC5566" w:rsidP="00FC5566">
      <w:pPr>
        <w:keepNext/>
        <w:tabs>
          <w:tab w:val="left" w:pos="-1440"/>
        </w:tabs>
        <w:spacing w:after="120"/>
        <w:jc w:val="center"/>
        <w:rPr>
          <w:b/>
          <w:noProof/>
        </w:rPr>
      </w:pPr>
      <w:bookmarkStart w:id="47" w:name="TOC_Chap29"/>
      <w:bookmarkStart w:id="48" w:name="_Toc132630183"/>
      <w:bookmarkStart w:id="49" w:name="_Toc155690705"/>
      <w:r w:rsidRPr="00FC5566">
        <w:rPr>
          <w:b/>
          <w:noProof/>
        </w:rPr>
        <w:lastRenderedPageBreak/>
        <w:t>RULE</w:t>
      </w:r>
    </w:p>
    <w:p w14:paraId="499EA824" w14:textId="77777777" w:rsidR="00FC5566" w:rsidRPr="00FC5566" w:rsidRDefault="00FC5566" w:rsidP="00FC5566">
      <w:pPr>
        <w:keepNext/>
        <w:jc w:val="center"/>
        <w:rPr>
          <w:b/>
          <w:noProof/>
        </w:rPr>
      </w:pPr>
      <w:r w:rsidRPr="00FC5566">
        <w:rPr>
          <w:b/>
          <w:noProof/>
        </w:rPr>
        <w:t>Department of Agriculture and Forestry</w:t>
      </w:r>
    </w:p>
    <w:p w14:paraId="66A55334" w14:textId="77777777" w:rsidR="00FC5566" w:rsidRPr="00FC5566" w:rsidRDefault="00FC5566" w:rsidP="00FC5566">
      <w:pPr>
        <w:keepNext/>
        <w:jc w:val="center"/>
        <w:rPr>
          <w:b/>
          <w:noProof/>
        </w:rPr>
      </w:pPr>
      <w:r w:rsidRPr="00FC5566">
        <w:rPr>
          <w:b/>
          <w:noProof/>
        </w:rPr>
        <w:t>Board of Veterinary Medicine</w:t>
      </w:r>
    </w:p>
    <w:p w14:paraId="6F75E1D5" w14:textId="77777777" w:rsidR="00FC5566" w:rsidRPr="00FC5566" w:rsidRDefault="00FC5566" w:rsidP="00FC5566">
      <w:pPr>
        <w:keepNext/>
        <w:spacing w:before="240" w:after="240"/>
        <w:jc w:val="center"/>
        <w:rPr>
          <w:bCs/>
          <w:noProof/>
          <w:szCs w:val="24"/>
        </w:rPr>
      </w:pPr>
      <w:r w:rsidRPr="00FC5566">
        <w:rPr>
          <w:noProof/>
        </w:rPr>
        <w:t xml:space="preserve">Licensure Procedures </w:t>
      </w:r>
      <w:r w:rsidRPr="00FC5566">
        <w:rPr>
          <w:bCs/>
          <w:noProof/>
          <w:szCs w:val="24"/>
        </w:rPr>
        <w:t>(LAC 46:LXXXV.303)</w:t>
      </w:r>
    </w:p>
    <w:p w14:paraId="1865907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 xml:space="preserve">In accordance with the Administrative Procedure Act, R.S. 49:950 et seq., the Board (“board”) of Veterinary Medicine has amended LAC 46:LXXXV.303 concerning the maximum number of attempts a licensure candidate may take the NAVLE. This amendment would align the Rule with the recently revised policy of the test vendor, ICVA. The amended Rule would continue to limit candidates to no more than five attempts to take the NAVLE; however, any attempts made prior to December 1, 2025 would not be applied toward this five-attempt maximum. This Rule is hereby adopted on the day of promulgation. </w:t>
      </w:r>
    </w:p>
    <w:p w14:paraId="0B639786" w14:textId="77777777" w:rsidR="00FC5566" w:rsidRPr="00FC5566" w:rsidRDefault="00FC5566" w:rsidP="00FC5566">
      <w:pPr>
        <w:keepNext/>
        <w:jc w:val="center"/>
        <w:rPr>
          <w:b/>
          <w:kern w:val="28"/>
        </w:rPr>
      </w:pPr>
      <w:r w:rsidRPr="00FC5566">
        <w:rPr>
          <w:b/>
          <w:kern w:val="28"/>
        </w:rPr>
        <w:t>Title 46</w:t>
      </w:r>
    </w:p>
    <w:p w14:paraId="06B899F1" w14:textId="77777777" w:rsidR="00FC5566" w:rsidRPr="00FC5566" w:rsidRDefault="00FC5566" w:rsidP="00FC5566">
      <w:pPr>
        <w:keepNext/>
        <w:jc w:val="center"/>
        <w:rPr>
          <w:b/>
          <w:kern w:val="28"/>
        </w:rPr>
      </w:pPr>
      <w:r w:rsidRPr="00FC5566">
        <w:rPr>
          <w:b/>
          <w:kern w:val="28"/>
        </w:rPr>
        <w:t>PROFESSIONAL AND OCCUPATIONAL STANDARDS</w:t>
      </w:r>
    </w:p>
    <w:p w14:paraId="72F6771B" w14:textId="77777777" w:rsidR="00FC5566" w:rsidRPr="00FC5566" w:rsidRDefault="00FC5566" w:rsidP="00FC5566">
      <w:pPr>
        <w:keepNext/>
        <w:jc w:val="center"/>
        <w:rPr>
          <w:b/>
          <w:noProof/>
        </w:rPr>
      </w:pPr>
      <w:r w:rsidRPr="00FC5566">
        <w:rPr>
          <w:b/>
          <w:noProof/>
        </w:rPr>
        <w:t>Part LXXXV.  Veterinarians</w:t>
      </w:r>
    </w:p>
    <w:p w14:paraId="74444EBA"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50" w:name="_Toc182996840"/>
      <w:bookmarkStart w:id="51" w:name="_Toc210119579"/>
      <w:bookmarkEnd w:id="47"/>
      <w:bookmarkEnd w:id="48"/>
      <w:bookmarkEnd w:id="49"/>
      <w:r w:rsidRPr="00FC5566">
        <w:rPr>
          <w:b/>
          <w:kern w:val="2"/>
        </w:rPr>
        <w:t>Chapter 3.</w:t>
      </w:r>
      <w:bookmarkEnd w:id="50"/>
      <w:bookmarkEnd w:id="51"/>
      <w:r w:rsidRPr="00FC5566">
        <w:rPr>
          <w:b/>
          <w:kern w:val="2"/>
        </w:rPr>
        <w:tab/>
        <w:t>Licensure Procedures</w:t>
      </w:r>
    </w:p>
    <w:p w14:paraId="7B8D2296"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52" w:name="_Toc222490983"/>
      <w:bookmarkStart w:id="53" w:name="_Toc223075650"/>
      <w:r w:rsidRPr="00FC5566">
        <w:rPr>
          <w:b/>
          <w:kern w:val="2"/>
        </w:rPr>
        <w:t>§303.</w:t>
      </w:r>
      <w:r w:rsidRPr="00FC5566">
        <w:rPr>
          <w:b/>
          <w:kern w:val="2"/>
        </w:rPr>
        <w:tab/>
        <w:t>Examinations</w:t>
      </w:r>
      <w:bookmarkEnd w:id="52"/>
      <w:bookmarkEnd w:id="53"/>
    </w:p>
    <w:p w14:paraId="7074DFC8"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B.6.</w:t>
      </w:r>
      <w:r w:rsidRPr="00FC5566">
        <w:rPr>
          <w:kern w:val="2"/>
        </w:rPr>
        <w:tab/>
        <w:t>...</w:t>
      </w:r>
    </w:p>
    <w:p w14:paraId="4EB9EF45"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7.</w:t>
      </w:r>
      <w:r w:rsidRPr="00FC5566">
        <w:rPr>
          <w:kern w:val="2"/>
        </w:rPr>
        <w:tab/>
        <w:t>An applicant for licensure may only sit for the national examinations a maximum of five times. Any test attempts made before December 1, 2025, will not count toward this five-attempt limit. If an applicant does not successfully pass the national examination after five attempts, the applicant will no longer be eligible for licensure in Louisiana and any application submitted will be rejected.</w:t>
      </w:r>
    </w:p>
    <w:p w14:paraId="4E1D0E6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 - E.6.</w:t>
      </w:r>
      <w:r w:rsidRPr="00FC5566">
        <w:rPr>
          <w:kern w:val="2"/>
        </w:rPr>
        <w:tab/>
        <w:t>...</w:t>
      </w:r>
    </w:p>
    <w:p w14:paraId="4BBE1AD9"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37:1518 et seq.</w:t>
      </w:r>
    </w:p>
    <w:p w14:paraId="5718CEB9"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spacing w:val="-2"/>
          <w:kern w:val="2"/>
          <w:sz w:val="18"/>
        </w:rPr>
      </w:pPr>
      <w:r w:rsidRPr="00FC5566">
        <w:rPr>
          <w:kern w:val="2"/>
          <w:sz w:val="18"/>
        </w:rPr>
        <w:t>HISTORICAL NOTE:</w:t>
      </w:r>
      <w:r w:rsidRPr="00FC5566">
        <w:rPr>
          <w:kern w:val="2"/>
          <w:sz w:val="18"/>
        </w:rPr>
        <w:tab/>
        <w:t>Promulgated by the Department of Health and Human Resources, Board of Veterinary Medicine, LR 8:66 (February 1982), amended LR 8:144 (March 1982), amended by the Department of Health and Hospitals, Board of Veterinary Medicine, LR 19:343 (March 1993), LR 19:1327 (October 1993), LR 23:964 (August 1997), LR 25:2232 (November 1999), LR 28:1982 (September 2002), LR 38:1592 (July 2012), LR 40:308 (February 2014), LR 41:</w:t>
      </w:r>
      <w:r w:rsidRPr="00FC5566">
        <w:rPr>
          <w:spacing w:val="-2"/>
          <w:kern w:val="2"/>
          <w:sz w:val="18"/>
        </w:rPr>
        <w:t>2151 (October 2015), amended by the Department of Agriculture and Forestry, LR 48:2546 (October 2022), amended by the Department of Agriculture and Forestry, Board of Veterinary Medicine, LR 52:1327 (August 2026).</w:t>
      </w:r>
    </w:p>
    <w:p w14:paraId="6DBF6B8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p w14:paraId="638C9EC3" w14:textId="77777777" w:rsidR="00FC5566" w:rsidRPr="00FC5566" w:rsidRDefault="00FC5566" w:rsidP="00FC5566">
      <w:pPr>
        <w:keepNext/>
        <w:ind w:left="2160"/>
        <w:jc w:val="both"/>
      </w:pPr>
      <w:r w:rsidRPr="00FC5566">
        <w:t>Jared B. Granier</w:t>
      </w:r>
    </w:p>
    <w:p w14:paraId="24B389C4" w14:textId="77777777" w:rsidR="00FC5566" w:rsidRPr="00FC5566" w:rsidRDefault="00FC5566" w:rsidP="00FC5566">
      <w:pPr>
        <w:keepNext/>
        <w:ind w:left="2160"/>
        <w:jc w:val="both"/>
      </w:pPr>
      <w:r w:rsidRPr="00FC5566">
        <w:t>Executive Director</w:t>
      </w:r>
    </w:p>
    <w:p w14:paraId="16B8DF66" w14:textId="77777777" w:rsidR="00FC5566" w:rsidRPr="00FC5566" w:rsidRDefault="00FC5566" w:rsidP="00FC5566">
      <w:pPr>
        <w:rPr>
          <w:noProof/>
          <w:sz w:val="16"/>
        </w:rPr>
      </w:pPr>
      <w:r w:rsidRPr="00FC5566">
        <w:rPr>
          <w:noProof/>
          <w:sz w:val="16"/>
        </w:rPr>
        <w:t>2608#034</w:t>
      </w:r>
    </w:p>
    <w:p w14:paraId="4D5F1290" w14:textId="77777777" w:rsidR="00FC5566" w:rsidRPr="00FC5566" w:rsidRDefault="00FC5566" w:rsidP="00FC5566"/>
    <w:p w14:paraId="5357F53A" w14:textId="77777777" w:rsidR="00FC5566" w:rsidRPr="00FC5566" w:rsidRDefault="00FC5566" w:rsidP="00FC5566">
      <w:pPr>
        <w:keepNext/>
        <w:tabs>
          <w:tab w:val="left" w:pos="-1440"/>
        </w:tabs>
        <w:spacing w:after="120"/>
        <w:jc w:val="center"/>
        <w:rPr>
          <w:b/>
          <w:noProof/>
        </w:rPr>
      </w:pPr>
      <w:bookmarkStart w:id="54" w:name="TOC_Chap16"/>
      <w:bookmarkStart w:id="55" w:name="_Toc132630136"/>
      <w:bookmarkStart w:id="56" w:name="_Toc149214335"/>
      <w:bookmarkStart w:id="57" w:name="_Hlk155965849"/>
      <w:r w:rsidRPr="00FC5566">
        <w:rPr>
          <w:b/>
          <w:noProof/>
        </w:rPr>
        <w:t>RULE</w:t>
      </w:r>
    </w:p>
    <w:p w14:paraId="7067A6E2" w14:textId="77777777" w:rsidR="00FC5566" w:rsidRPr="00FC5566" w:rsidRDefault="00FC5566" w:rsidP="00FC5566">
      <w:pPr>
        <w:keepNext/>
        <w:jc w:val="center"/>
        <w:rPr>
          <w:b/>
          <w:noProof/>
        </w:rPr>
      </w:pPr>
      <w:r w:rsidRPr="00FC5566">
        <w:rPr>
          <w:b/>
          <w:noProof/>
        </w:rPr>
        <w:t>Department of Agriculture and Forestry</w:t>
      </w:r>
    </w:p>
    <w:p w14:paraId="537A0CC2" w14:textId="77777777" w:rsidR="00FC5566" w:rsidRPr="00FC5566" w:rsidRDefault="00FC5566" w:rsidP="00FC5566">
      <w:pPr>
        <w:keepNext/>
        <w:jc w:val="center"/>
        <w:rPr>
          <w:b/>
          <w:noProof/>
        </w:rPr>
      </w:pPr>
      <w:r w:rsidRPr="00FC5566">
        <w:rPr>
          <w:b/>
          <w:noProof/>
        </w:rPr>
        <w:t>Board of Veterinary Medicine</w:t>
      </w:r>
    </w:p>
    <w:p w14:paraId="0C48549B" w14:textId="77777777" w:rsidR="00FC5566" w:rsidRPr="00FC5566" w:rsidRDefault="00FC5566" w:rsidP="00FC5566">
      <w:pPr>
        <w:keepNext/>
        <w:spacing w:before="240" w:after="240"/>
        <w:jc w:val="center"/>
        <w:rPr>
          <w:bCs/>
          <w:noProof/>
        </w:rPr>
      </w:pPr>
      <w:r w:rsidRPr="00FC5566">
        <w:rPr>
          <w:noProof/>
        </w:rPr>
        <w:t>Pre-Euthanasia Restraint</w:t>
      </w:r>
      <w:r w:rsidRPr="00FC5566">
        <w:rPr>
          <w:noProof/>
        </w:rPr>
        <w:br/>
      </w:r>
      <w:r w:rsidRPr="00FC5566">
        <w:rPr>
          <w:bCs/>
          <w:noProof/>
        </w:rPr>
        <w:t>(LAC 46:LXXXV.1209)</w:t>
      </w:r>
    </w:p>
    <w:p w14:paraId="4DE287E3" w14:textId="77777777" w:rsidR="00FC5566" w:rsidRPr="00FC5566" w:rsidRDefault="00FC5566" w:rsidP="00FC5566">
      <w:pPr>
        <w:spacing w:after="120"/>
        <w:ind w:left="432" w:right="432"/>
        <w:jc w:val="both"/>
        <w:rPr>
          <w:noProof/>
          <w:sz w:val="16"/>
          <w:szCs w:val="16"/>
        </w:rPr>
      </w:pPr>
      <w:r w:rsidRPr="00FC5566">
        <w:rPr>
          <w:noProof/>
          <w:sz w:val="16"/>
          <w:szCs w:val="16"/>
        </w:rPr>
        <w:t xml:space="preserve">Editor’s Note: The following section is being repromulgated in order to notify the public of the review of LAC 46:LXXXV.1209 in accordance with 2022 </w:t>
      </w:r>
      <w:r w:rsidRPr="00FC5566">
        <w:rPr>
          <w:i/>
          <w:noProof/>
          <w:sz w:val="16"/>
          <w:szCs w:val="16"/>
        </w:rPr>
        <w:t>Louisiana Administrative Code</w:t>
      </w:r>
      <w:r w:rsidRPr="00FC5566">
        <w:rPr>
          <w:noProof/>
          <w:sz w:val="16"/>
          <w:szCs w:val="16"/>
        </w:rPr>
        <w:t xml:space="preserve"> Review.</w:t>
      </w:r>
    </w:p>
    <w:p w14:paraId="0683F78B"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both"/>
        <w:outlineLvl w:val="3"/>
        <w:rPr>
          <w:kern w:val="2"/>
        </w:rPr>
      </w:pPr>
      <w:bookmarkStart w:id="58" w:name="_Hlk155965800"/>
      <w:r w:rsidRPr="00FC5566">
        <w:rPr>
          <w:kern w:val="2"/>
        </w:rPr>
        <w:br w:type="column"/>
      </w:r>
      <w:r w:rsidRPr="00FC5566">
        <w:rPr>
          <w:kern w:val="2"/>
        </w:rPr>
        <w:t xml:space="preserve">In accordance with the Administrative Procedure Act, R.S. 49:950 et seq. and the 2022 </w:t>
      </w:r>
      <w:r w:rsidRPr="00FC5566">
        <w:rPr>
          <w:i/>
          <w:kern w:val="2"/>
        </w:rPr>
        <w:t>Louisiana Administrative Code</w:t>
      </w:r>
      <w:r w:rsidRPr="00FC5566">
        <w:rPr>
          <w:kern w:val="2"/>
        </w:rPr>
        <w:t xml:space="preserve"> Review, the Board (“board”) of Veterinary Medicine has conducted a comprehensive review of </w:t>
      </w:r>
      <w:r w:rsidRPr="00FC5566">
        <w:rPr>
          <w:bCs/>
          <w:kern w:val="2"/>
        </w:rPr>
        <w:t>LAC 46:LXXXV.1209</w:t>
      </w:r>
      <w:r w:rsidRPr="00FC5566">
        <w:rPr>
          <w:kern w:val="2"/>
        </w:rPr>
        <w:t xml:space="preserve"> and intends to notify the public with this repromulgation of the Section below as is. The Historical Note shall be updated to reflect the review of this Rule.</w:t>
      </w:r>
      <w:bookmarkEnd w:id="58"/>
      <w:r w:rsidRPr="00FC5566">
        <w:rPr>
          <w:kern w:val="2"/>
        </w:rPr>
        <w:t xml:space="preserve"> This Rule is hereby adopted on the day of promulgation.</w:t>
      </w:r>
    </w:p>
    <w:p w14:paraId="0FBC4E70" w14:textId="77777777" w:rsidR="00FC5566" w:rsidRPr="00FC5566" w:rsidRDefault="00FC5566" w:rsidP="00FC5566">
      <w:pPr>
        <w:keepNext/>
        <w:jc w:val="center"/>
        <w:rPr>
          <w:b/>
          <w:kern w:val="28"/>
        </w:rPr>
      </w:pPr>
      <w:r w:rsidRPr="00FC5566">
        <w:rPr>
          <w:b/>
          <w:kern w:val="28"/>
        </w:rPr>
        <w:t>Title 46</w:t>
      </w:r>
    </w:p>
    <w:p w14:paraId="4619E858" w14:textId="77777777" w:rsidR="00FC5566" w:rsidRPr="00FC5566" w:rsidRDefault="00FC5566" w:rsidP="00FC5566">
      <w:pPr>
        <w:keepNext/>
        <w:jc w:val="center"/>
        <w:rPr>
          <w:b/>
          <w:kern w:val="28"/>
        </w:rPr>
      </w:pPr>
      <w:r w:rsidRPr="00FC5566">
        <w:rPr>
          <w:b/>
          <w:kern w:val="28"/>
        </w:rPr>
        <w:t>PROFESSIONAL AND OCCUPATIONAL STANDARDS</w:t>
      </w:r>
    </w:p>
    <w:p w14:paraId="6AF340A6" w14:textId="77777777" w:rsidR="00FC5566" w:rsidRPr="00FC5566" w:rsidRDefault="00FC5566" w:rsidP="00FC5566">
      <w:pPr>
        <w:keepNext/>
        <w:jc w:val="center"/>
        <w:rPr>
          <w:b/>
          <w:noProof/>
        </w:rPr>
      </w:pPr>
      <w:r w:rsidRPr="00FC5566">
        <w:rPr>
          <w:b/>
          <w:noProof/>
        </w:rPr>
        <w:t>Part LXXXV.  Veterinarians</w:t>
      </w:r>
    </w:p>
    <w:p w14:paraId="1104017D"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59" w:name="TOC_Chap2"/>
      <w:bookmarkStart w:id="60" w:name="_Toc182996734"/>
      <w:bookmarkStart w:id="61" w:name="_Toc191549537"/>
      <w:bookmarkStart w:id="62" w:name="TOC_Chap14"/>
      <w:bookmarkStart w:id="63" w:name="_Toc182996776"/>
      <w:bookmarkStart w:id="64" w:name="_Toc191549579"/>
      <w:bookmarkEnd w:id="54"/>
      <w:bookmarkEnd w:id="55"/>
      <w:bookmarkEnd w:id="56"/>
      <w:bookmarkEnd w:id="57"/>
      <w:r w:rsidRPr="00FC5566">
        <w:rPr>
          <w:b/>
          <w:kern w:val="2"/>
        </w:rPr>
        <w:t>Chapter 12.</w:t>
      </w:r>
      <w:bookmarkStart w:id="65" w:name="TOCT_Chap2"/>
      <w:bookmarkEnd w:id="59"/>
      <w:r w:rsidRPr="00FC5566">
        <w:rPr>
          <w:b/>
          <w:kern w:val="2"/>
        </w:rPr>
        <w:tab/>
        <w:t>Certified Animal Euthanasia Technicians</w:t>
      </w:r>
      <w:bookmarkEnd w:id="60"/>
      <w:bookmarkEnd w:id="61"/>
      <w:bookmarkEnd w:id="65"/>
    </w:p>
    <w:p w14:paraId="61B9E283"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6" w:name="_Toc222491071"/>
      <w:bookmarkStart w:id="67" w:name="_Toc182996739"/>
      <w:bookmarkStart w:id="68" w:name="_Toc191549542"/>
      <w:r w:rsidRPr="00FC5566">
        <w:rPr>
          <w:b/>
          <w:kern w:val="2"/>
        </w:rPr>
        <w:t>§1209.</w:t>
      </w:r>
      <w:r w:rsidRPr="00FC5566">
        <w:rPr>
          <w:b/>
          <w:kern w:val="2"/>
        </w:rPr>
        <w:tab/>
        <w:t>Pre-Euthanasia Restraint</w:t>
      </w:r>
      <w:bookmarkEnd w:id="66"/>
      <w:r w:rsidRPr="00FC5566">
        <w:rPr>
          <w:b/>
          <w:kern w:val="2"/>
        </w:rPr>
        <w:t xml:space="preserve"> </w:t>
      </w:r>
      <w:r w:rsidRPr="00FC5566">
        <w:rPr>
          <w:b/>
          <w:kern w:val="2"/>
        </w:rPr>
        <w:tab/>
      </w:r>
    </w:p>
    <w:p w14:paraId="3333AE1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r>
      <w:bookmarkEnd w:id="62"/>
      <w:bookmarkEnd w:id="63"/>
      <w:bookmarkEnd w:id="64"/>
      <w:bookmarkEnd w:id="67"/>
      <w:bookmarkEnd w:id="68"/>
      <w:r w:rsidRPr="00FC5566">
        <w:rPr>
          <w:kern w:val="2"/>
        </w:rPr>
        <w:t xml:space="preserve">Euthanasia by intracardiac injection on cats and dogs shall be prohibited unless the animal is unconscious or rendered completely unconscious and insensitive to pain through the injection of an anesthetic. Such prohibition is applicable to animal control shelters and their animals located on site as well as their animals which may be transported to a veterinary clinic for euthanasia. Temporary transfer of ownership of the animal to the veterinarian by the animal control shelter for euthanasia by cardiac injection is a violation of the law. The performance of euthanasia by intracardiac injection in violation of this section by a CAET and/or veterinarian is sanctionable. </w:t>
      </w:r>
    </w:p>
    <w:p w14:paraId="60AA241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A CAET (lead status or otherwise) shall not use any drug for purposes of sedation, or any form of anesthesia, since sedation is beyond the permissible scope of euthanasia practice for this certificate holder. However, Acepromazine, Rompun (xylazine), or Domitor (medetomidine) which are non-controlled drugs, may be legally used by CAETs for pre-euthanasia restraint of feral/fractious animals. If an animal control shelter’s animal must be sedated/anesthetized pursuant to Subsection A above, then a LA licensed veterinarian must perform this service.</w:t>
      </w:r>
    </w:p>
    <w:p w14:paraId="7A372C44"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37:1558.</w:t>
      </w:r>
    </w:p>
    <w:p w14:paraId="31AA297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Health and Hospitals, Board of Veterinary Medicine, LR 38:357 (February 2012), repromulgated by the Department of Agriculture and Forestry, Board of Veterinary Medicine, LR 52:1327 (August 2026).</w:t>
      </w:r>
    </w:p>
    <w:p w14:paraId="680557FA"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p>
    <w:p w14:paraId="300CEFEE" w14:textId="77777777" w:rsidR="00FC5566" w:rsidRPr="00FC5566" w:rsidRDefault="00FC5566" w:rsidP="00FC5566">
      <w:pPr>
        <w:keepNext/>
        <w:ind w:left="2160"/>
        <w:jc w:val="both"/>
      </w:pPr>
      <w:r w:rsidRPr="00FC5566">
        <w:t>Jared B. Granier</w:t>
      </w:r>
    </w:p>
    <w:p w14:paraId="7B5D5CB1" w14:textId="77777777" w:rsidR="00FC5566" w:rsidRPr="00FC5566" w:rsidRDefault="00FC5566" w:rsidP="00FC5566">
      <w:pPr>
        <w:keepNext/>
        <w:ind w:left="2160"/>
        <w:jc w:val="both"/>
      </w:pPr>
      <w:r w:rsidRPr="00FC5566">
        <w:t>Executive Director</w:t>
      </w:r>
    </w:p>
    <w:p w14:paraId="47B9ED55" w14:textId="77777777" w:rsidR="00FC5566" w:rsidRPr="00FC5566" w:rsidRDefault="00FC5566" w:rsidP="00FC5566">
      <w:pPr>
        <w:rPr>
          <w:noProof/>
          <w:sz w:val="16"/>
        </w:rPr>
      </w:pPr>
      <w:r w:rsidRPr="00FC5566">
        <w:rPr>
          <w:noProof/>
          <w:sz w:val="16"/>
        </w:rPr>
        <w:t>2608#001</w:t>
      </w:r>
    </w:p>
    <w:p w14:paraId="42D2B99C" w14:textId="77777777" w:rsidR="00FC5566" w:rsidRPr="00FC5566" w:rsidRDefault="00FC5566" w:rsidP="00FC5566"/>
    <w:p w14:paraId="29276672" w14:textId="77777777" w:rsidR="00FC5566" w:rsidRPr="00FC5566" w:rsidRDefault="00FC5566" w:rsidP="00FC5566">
      <w:pPr>
        <w:keepNext/>
        <w:tabs>
          <w:tab w:val="left" w:pos="-1440"/>
        </w:tabs>
        <w:spacing w:after="120"/>
        <w:jc w:val="center"/>
        <w:rPr>
          <w:b/>
          <w:noProof/>
        </w:rPr>
      </w:pPr>
      <w:r w:rsidRPr="00FC5566">
        <w:rPr>
          <w:b/>
          <w:noProof/>
        </w:rPr>
        <w:t>RULE</w:t>
      </w:r>
    </w:p>
    <w:p w14:paraId="6791F5E8" w14:textId="77777777" w:rsidR="00FC5566" w:rsidRPr="00FC5566" w:rsidRDefault="00FC5566" w:rsidP="00FC5566">
      <w:pPr>
        <w:keepNext/>
        <w:jc w:val="center"/>
        <w:rPr>
          <w:b/>
          <w:noProof/>
        </w:rPr>
      </w:pPr>
      <w:r w:rsidRPr="00FC5566">
        <w:rPr>
          <w:b/>
          <w:noProof/>
        </w:rPr>
        <w:t>Department of Agriculture and Forestry</w:t>
      </w:r>
    </w:p>
    <w:p w14:paraId="6593C4F5" w14:textId="77777777" w:rsidR="00FC5566" w:rsidRPr="00FC5566" w:rsidRDefault="00FC5566" w:rsidP="00FC5566">
      <w:pPr>
        <w:keepNext/>
        <w:jc w:val="center"/>
        <w:rPr>
          <w:b/>
          <w:noProof/>
        </w:rPr>
      </w:pPr>
      <w:r w:rsidRPr="00FC5566">
        <w:rPr>
          <w:b/>
          <w:noProof/>
        </w:rPr>
        <w:t>Board of Veterinary Medicine</w:t>
      </w:r>
    </w:p>
    <w:p w14:paraId="70F7D89F" w14:textId="77777777" w:rsidR="00FC5566" w:rsidRPr="00FC5566" w:rsidRDefault="00FC5566" w:rsidP="00FC5566">
      <w:pPr>
        <w:keepNext/>
        <w:spacing w:before="240" w:after="240"/>
        <w:jc w:val="center"/>
        <w:rPr>
          <w:noProof/>
        </w:rPr>
      </w:pPr>
      <w:r w:rsidRPr="00FC5566">
        <w:rPr>
          <w:noProof/>
        </w:rPr>
        <w:t xml:space="preserve">Rules of Professional Conduct </w:t>
      </w:r>
      <w:r w:rsidRPr="00FC5566">
        <w:rPr>
          <w:noProof/>
        </w:rPr>
        <w:br/>
        <w:t>(LAC 46:LXXXV.1015)</w:t>
      </w:r>
    </w:p>
    <w:p w14:paraId="6F3E41FF"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 xml:space="preserve">In accordance with the Administrative Procedure Act (R.S. 49:950 et seq.), the 2022 </w:t>
      </w:r>
      <w:r w:rsidRPr="00FC5566">
        <w:rPr>
          <w:i/>
          <w:iCs/>
          <w:kern w:val="2"/>
        </w:rPr>
        <w:t>Louisiana Administrative Code</w:t>
      </w:r>
      <w:r w:rsidRPr="00FC5566">
        <w:rPr>
          <w:kern w:val="2"/>
        </w:rPr>
        <w:t xml:space="preserve"> Review, and the JML Executive Order No. 25-038, the Board (“board”) of Veterinary Medicine has amended LAC </w:t>
      </w:r>
      <w:r w:rsidRPr="00FC5566">
        <w:rPr>
          <w:kern w:val="2"/>
        </w:rPr>
        <w:br w:type="page"/>
      </w:r>
    </w:p>
    <w:p w14:paraId="4276C5C1" w14:textId="77777777" w:rsidR="00FC5566" w:rsidRPr="00FC5566" w:rsidRDefault="00FC5566" w:rsidP="00FC5566">
      <w:pPr>
        <w:tabs>
          <w:tab w:val="left" w:pos="144"/>
          <w:tab w:val="left" w:pos="187"/>
          <w:tab w:val="left" w:pos="540"/>
          <w:tab w:val="left" w:pos="907"/>
          <w:tab w:val="left" w:pos="1080"/>
        </w:tabs>
        <w:jc w:val="both"/>
        <w:outlineLvl w:val="3"/>
        <w:rPr>
          <w:kern w:val="2"/>
        </w:rPr>
      </w:pPr>
      <w:r w:rsidRPr="00FC5566">
        <w:rPr>
          <w:kern w:val="2"/>
        </w:rPr>
        <w:lastRenderedPageBreak/>
        <w:t>46:LXXXV.1015. There are no substantive amendments to this Rule; the revisions are limited to grammatical corrections and the refinement of language to ensure consistent and accurate reference to the applicable statutory authority. The historical notes shall be updated to reflect the review of these rules. This Rule is hereby adopted on the day of promulgation.</w:t>
      </w:r>
    </w:p>
    <w:p w14:paraId="618D492A" w14:textId="77777777" w:rsidR="00FC5566" w:rsidRPr="00FC5566" w:rsidRDefault="00FC5566" w:rsidP="00FC5566">
      <w:pPr>
        <w:keepNext/>
        <w:jc w:val="center"/>
        <w:rPr>
          <w:b/>
          <w:kern w:val="28"/>
        </w:rPr>
      </w:pPr>
      <w:r w:rsidRPr="00FC5566">
        <w:rPr>
          <w:b/>
          <w:kern w:val="28"/>
        </w:rPr>
        <w:t>Title 46</w:t>
      </w:r>
    </w:p>
    <w:p w14:paraId="043CB81D" w14:textId="77777777" w:rsidR="00FC5566" w:rsidRPr="00FC5566" w:rsidRDefault="00FC5566" w:rsidP="00FC5566">
      <w:pPr>
        <w:keepNext/>
        <w:jc w:val="center"/>
        <w:rPr>
          <w:b/>
          <w:kern w:val="28"/>
        </w:rPr>
      </w:pPr>
      <w:r w:rsidRPr="00FC5566">
        <w:rPr>
          <w:b/>
          <w:kern w:val="28"/>
        </w:rPr>
        <w:t>PROFESSIONAL AND OCCUPATIONAL STANDARDS</w:t>
      </w:r>
    </w:p>
    <w:p w14:paraId="286FDA92" w14:textId="77777777" w:rsidR="00FC5566" w:rsidRPr="00FC5566" w:rsidRDefault="00FC5566" w:rsidP="00FC5566">
      <w:pPr>
        <w:keepNext/>
        <w:jc w:val="center"/>
        <w:rPr>
          <w:b/>
          <w:noProof/>
        </w:rPr>
      </w:pPr>
      <w:r w:rsidRPr="00FC5566">
        <w:rPr>
          <w:b/>
          <w:noProof/>
        </w:rPr>
        <w:t>Part LXXXV.  Veterinarians</w:t>
      </w:r>
    </w:p>
    <w:p w14:paraId="6620E90E"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69" w:name="_Toc222491034"/>
      <w:bookmarkStart w:id="70" w:name="_Toc223075701"/>
      <w:r w:rsidRPr="00FC5566">
        <w:rPr>
          <w:b/>
          <w:kern w:val="2"/>
        </w:rPr>
        <w:t>Chapter 10.</w:t>
      </w:r>
      <w:bookmarkStart w:id="71" w:name="TOCT_Chap16"/>
      <w:r w:rsidRPr="00FC5566">
        <w:rPr>
          <w:b/>
          <w:kern w:val="2"/>
        </w:rPr>
        <w:tab/>
        <w:t>Rules of Professional Conduct</w:t>
      </w:r>
      <w:bookmarkEnd w:id="69"/>
      <w:bookmarkEnd w:id="70"/>
      <w:bookmarkEnd w:id="71"/>
    </w:p>
    <w:p w14:paraId="1799AC02"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72" w:name="_Toc222491042"/>
      <w:bookmarkStart w:id="73" w:name="_Toc223075709"/>
      <w:r w:rsidRPr="00FC5566">
        <w:rPr>
          <w:b/>
          <w:kern w:val="2"/>
        </w:rPr>
        <w:t>§1015.</w:t>
      </w:r>
      <w:r w:rsidRPr="00FC5566">
        <w:rPr>
          <w:b/>
          <w:kern w:val="2"/>
        </w:rPr>
        <w:tab/>
        <w:t>Personal Responsibility of Licensee</w:t>
      </w:r>
      <w:bookmarkEnd w:id="72"/>
      <w:bookmarkEnd w:id="73"/>
    </w:p>
    <w:p w14:paraId="7D688E1B"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It is unlawful for a person to practice veterinary medicine, as defined in the Louisiana Veterinary Practice Act and the board’s rules, who does not possess a current license issued by the board, unless he falls within an exception defined in R.S. 37:1514 and/or the board’s rules. The reason for the license requirement is to ensure that any person involved in the actual practice of veterinary medicine, including the control of decision-making authority regarding veterinary patient care, is amenable to professional regulation and discipline by the board in order to protect the public and animals. The license is personal and individual to the veterinarian holder to lawfully practice veterinary medicine. The owner, member, officer, or director of a business entity, such as a partnership, corporation, or limited liability company, with a function that includes the provision of veterinary medicine does not have to possess a license issued by the board; however, the actual practitioner of veterinary medicine involved in patient care must be licensed by the board.</w:t>
      </w:r>
    </w:p>
    <w:p w14:paraId="2F20A9A8"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37:1518 et seq.</w:t>
      </w:r>
    </w:p>
    <w:p w14:paraId="131951A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spacing w:val="-2"/>
          <w:kern w:val="2"/>
          <w:sz w:val="18"/>
        </w:rPr>
      </w:pPr>
      <w:r w:rsidRPr="00FC5566">
        <w:rPr>
          <w:kern w:val="2"/>
          <w:sz w:val="18"/>
        </w:rPr>
        <w:t>HISTORICAL NOTE:</w:t>
      </w:r>
      <w:r w:rsidRPr="00FC5566">
        <w:rPr>
          <w:kern w:val="2"/>
          <w:sz w:val="18"/>
        </w:rPr>
        <w:tab/>
        <w:t xml:space="preserve">Promulgated by the Department of Health and Hospitals, Board of Veterinary Medicine, LR 16:229 (March 1990), amended LR 25:1628 (September 1999), LR 31:928 (April 2005), amended by the Department of Health, Board of Veterinary Medicine, LR 44:587 (March 2018), amended by the Department of Agriculture and Forestry, Board of Veterinary Medicine, LR </w:t>
      </w:r>
      <w:r w:rsidRPr="00FC5566">
        <w:rPr>
          <w:spacing w:val="-2"/>
          <w:kern w:val="2"/>
          <w:sz w:val="18"/>
        </w:rPr>
        <w:t>52:1328 (August 2026).</w:t>
      </w:r>
    </w:p>
    <w:p w14:paraId="4D5E08F2"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p w14:paraId="2B8A1C3C" w14:textId="77777777" w:rsidR="00FC5566" w:rsidRPr="00FC5566" w:rsidRDefault="00FC5566" w:rsidP="00FC5566">
      <w:pPr>
        <w:keepNext/>
        <w:ind w:left="2160"/>
        <w:jc w:val="both"/>
      </w:pPr>
      <w:r w:rsidRPr="00FC5566">
        <w:t>Jared B. Granier</w:t>
      </w:r>
    </w:p>
    <w:p w14:paraId="6C69E7FC" w14:textId="77777777" w:rsidR="00FC5566" w:rsidRPr="00FC5566" w:rsidRDefault="00FC5566" w:rsidP="00FC5566">
      <w:pPr>
        <w:keepNext/>
        <w:ind w:left="2160"/>
        <w:jc w:val="both"/>
      </w:pPr>
      <w:r w:rsidRPr="00FC5566">
        <w:t>Executive Director</w:t>
      </w:r>
    </w:p>
    <w:p w14:paraId="35F5A59C" w14:textId="77777777" w:rsidR="00FC5566" w:rsidRPr="00FC5566" w:rsidRDefault="00FC5566" w:rsidP="00FC5566">
      <w:pPr>
        <w:rPr>
          <w:noProof/>
          <w:sz w:val="16"/>
        </w:rPr>
      </w:pPr>
      <w:r w:rsidRPr="00FC5566">
        <w:rPr>
          <w:noProof/>
          <w:sz w:val="16"/>
        </w:rPr>
        <w:t>2608#005</w:t>
      </w:r>
    </w:p>
    <w:p w14:paraId="2BDF1D47" w14:textId="77777777" w:rsidR="00FC5566" w:rsidRPr="00FC5566" w:rsidRDefault="00FC5566" w:rsidP="00FC5566"/>
    <w:p w14:paraId="2972EAD6" w14:textId="77777777" w:rsidR="00FC5566" w:rsidRPr="00FC5566" w:rsidRDefault="00FC5566" w:rsidP="00FC5566">
      <w:pPr>
        <w:keepNext/>
        <w:tabs>
          <w:tab w:val="left" w:pos="-1440"/>
        </w:tabs>
        <w:spacing w:after="120"/>
        <w:jc w:val="center"/>
        <w:rPr>
          <w:b/>
          <w:noProof/>
        </w:rPr>
      </w:pPr>
      <w:r w:rsidRPr="00FC5566">
        <w:rPr>
          <w:b/>
          <w:noProof/>
        </w:rPr>
        <w:t>RULE</w:t>
      </w:r>
    </w:p>
    <w:p w14:paraId="38A7D681" w14:textId="77777777" w:rsidR="00FC5566" w:rsidRPr="00FC5566" w:rsidRDefault="00FC5566" w:rsidP="00FC5566">
      <w:pPr>
        <w:keepNext/>
        <w:jc w:val="center"/>
        <w:rPr>
          <w:b/>
          <w:noProof/>
        </w:rPr>
      </w:pPr>
      <w:r w:rsidRPr="00FC5566">
        <w:rPr>
          <w:b/>
          <w:noProof/>
        </w:rPr>
        <w:t>Board of Elementary and Secondary Education</w:t>
      </w:r>
    </w:p>
    <w:p w14:paraId="19DCE6A3" w14:textId="77777777" w:rsidR="00FC5566" w:rsidRPr="00FC5566" w:rsidRDefault="00FC5566" w:rsidP="00FC5566">
      <w:pPr>
        <w:keepNext/>
        <w:spacing w:before="240" w:after="240"/>
        <w:jc w:val="center"/>
        <w:rPr>
          <w:bCs/>
          <w:noProof/>
        </w:rPr>
      </w:pPr>
      <w:r w:rsidRPr="00FC5566">
        <w:rPr>
          <w:noProof/>
        </w:rPr>
        <w:t>Bulletin 126–Charter Schools</w:t>
      </w:r>
      <w:r w:rsidRPr="00FC5566">
        <w:rPr>
          <w:noProof/>
        </w:rPr>
        <w:br/>
        <w:t>Charter Governance and Eligibility for Renewal</w:t>
      </w:r>
      <w:r w:rsidRPr="00FC5566">
        <w:rPr>
          <w:noProof/>
        </w:rPr>
        <w:br/>
      </w:r>
      <w:r w:rsidRPr="00FC5566">
        <w:rPr>
          <w:bCs/>
          <w:noProof/>
        </w:rPr>
        <w:t>(</w:t>
      </w:r>
      <w:r w:rsidRPr="00FC5566">
        <w:rPr>
          <w:noProof/>
        </w:rPr>
        <w:t>LAC 28:CXXXIX.503, 1505, and 2101</w:t>
      </w:r>
      <w:r w:rsidRPr="00FC5566">
        <w:rPr>
          <w:bCs/>
          <w:noProof/>
        </w:rPr>
        <w:t>)</w:t>
      </w:r>
    </w:p>
    <w:p w14:paraId="4A88B18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In accordance with the provisions of R.S. 17:6(A)(10) and the Administrative Procedure Act (APA), R.S. 49:953(B)(1) et seq., the Board of Elementary and Secondary Education (BESE) has amended LAC 28:</w:t>
      </w:r>
      <w:r w:rsidRPr="00FC5566">
        <w:rPr>
          <w:noProof/>
          <w:kern w:val="2"/>
        </w:rPr>
        <w:t>CXXXIX</w:t>
      </w:r>
      <w:r w:rsidRPr="00FC5566">
        <w:rPr>
          <w:kern w:val="2"/>
        </w:rPr>
        <w:t xml:space="preserve"> in </w:t>
      </w:r>
      <w:r w:rsidRPr="00FC5566">
        <w:rPr>
          <w:i/>
          <w:noProof/>
          <w:kern w:val="2"/>
        </w:rPr>
        <w:t>Bulletin 126–Charter Schools</w:t>
      </w:r>
      <w:r w:rsidRPr="00FC5566">
        <w:rPr>
          <w:kern w:val="2"/>
        </w:rPr>
        <w:t xml:space="preserve">. </w:t>
      </w:r>
      <w:r w:rsidRPr="00FC5566">
        <w:rPr>
          <w:color w:val="222222"/>
          <w:kern w:val="2"/>
          <w:shd w:val="clear" w:color="auto" w:fill="FFFFFF"/>
        </w:rPr>
        <w:t xml:space="preserve">The revisions clarify board membership residency and composition requirements, provide a board governance participation plan for operators with multiple schools in different geographical locations that outlines the process for community input, and include provisions for the 2026 renewal process that utilize accountability metrics and </w:t>
      </w:r>
      <w:r w:rsidRPr="00FC5566">
        <w:rPr>
          <w:color w:val="222222"/>
          <w:kern w:val="2"/>
          <w:shd w:val="clear" w:color="auto" w:fill="FFFFFF"/>
        </w:rPr>
        <w:t xml:space="preserve">school performance scores. This Rule is hereby adopted on the day of promulgation. </w:t>
      </w:r>
    </w:p>
    <w:p w14:paraId="790FC90E" w14:textId="77777777" w:rsidR="00FC5566" w:rsidRPr="00FC5566" w:rsidRDefault="00FC5566" w:rsidP="00FC5566">
      <w:pPr>
        <w:keepNext/>
        <w:jc w:val="center"/>
        <w:rPr>
          <w:b/>
          <w:kern w:val="28"/>
        </w:rPr>
      </w:pPr>
      <w:r w:rsidRPr="00FC5566">
        <w:rPr>
          <w:b/>
          <w:kern w:val="28"/>
        </w:rPr>
        <w:t>Title 28</w:t>
      </w:r>
    </w:p>
    <w:p w14:paraId="6DA11AB0" w14:textId="77777777" w:rsidR="00FC5566" w:rsidRPr="00FC5566" w:rsidRDefault="00FC5566" w:rsidP="00FC5566">
      <w:pPr>
        <w:keepNext/>
        <w:jc w:val="center"/>
        <w:rPr>
          <w:b/>
          <w:kern w:val="28"/>
        </w:rPr>
      </w:pPr>
      <w:r w:rsidRPr="00FC5566">
        <w:rPr>
          <w:b/>
          <w:kern w:val="28"/>
        </w:rPr>
        <w:t>EDUCATION</w:t>
      </w:r>
    </w:p>
    <w:p w14:paraId="5889D4D6" w14:textId="77777777" w:rsidR="00FC5566" w:rsidRPr="00FC5566" w:rsidRDefault="00FC5566" w:rsidP="00FC5566">
      <w:pPr>
        <w:keepNext/>
        <w:jc w:val="center"/>
        <w:rPr>
          <w:b/>
          <w:noProof/>
        </w:rPr>
      </w:pPr>
      <w:bookmarkStart w:id="74" w:name="_Toc288466749"/>
      <w:bookmarkStart w:id="75" w:name="_Toc301339320"/>
      <w:bookmarkStart w:id="76" w:name="_Toc314558238"/>
      <w:bookmarkStart w:id="77" w:name="_Toc314732539"/>
      <w:bookmarkStart w:id="78" w:name="_Toc319926629"/>
      <w:bookmarkStart w:id="79" w:name="_Toc327945128"/>
      <w:bookmarkStart w:id="80" w:name="_Toc343601748"/>
      <w:bookmarkStart w:id="81" w:name="_Toc346272761"/>
      <w:bookmarkStart w:id="82" w:name="_Toc351361372"/>
      <w:bookmarkStart w:id="83" w:name="_Toc359309861"/>
      <w:bookmarkStart w:id="84" w:name="_Toc372715523"/>
      <w:bookmarkStart w:id="85" w:name="_Toc393354505"/>
      <w:bookmarkStart w:id="86" w:name="_Toc406569234"/>
      <w:bookmarkStart w:id="87" w:name="_Toc425235736"/>
      <w:bookmarkStart w:id="88" w:name="_Toc475623412"/>
      <w:bookmarkStart w:id="89" w:name="_Toc480448033"/>
      <w:bookmarkStart w:id="90" w:name="_Toc501530741"/>
      <w:bookmarkStart w:id="91" w:name="_Toc506976444"/>
      <w:bookmarkStart w:id="92" w:name="_Toc532992958"/>
      <w:bookmarkStart w:id="93" w:name="_Toc22827221"/>
      <w:bookmarkStart w:id="94" w:name="_Toc43891133"/>
      <w:bookmarkStart w:id="95" w:name="_Toc101439700"/>
      <w:bookmarkStart w:id="96" w:name="_Toc132794053"/>
      <w:bookmarkStart w:id="97" w:name="_Toc189146560"/>
      <w:bookmarkStart w:id="98" w:name="_Toc217066634"/>
      <w:r w:rsidRPr="00FC5566">
        <w:rPr>
          <w:b/>
          <w:noProof/>
        </w:rPr>
        <w:t>Part CXXXIX.  Bulletin 126</w:t>
      </w:r>
      <w:r w:rsidRPr="00FC5566">
        <w:rPr>
          <w:rFonts w:ascii="Arial" w:hAnsi="Arial"/>
          <w:bCs/>
          <w:i/>
          <w:iCs/>
          <w:noProof/>
          <w:kern w:val="2"/>
          <w:sz w:val="18"/>
        </w:rPr>
        <w:sym w:font="Symbol" w:char="F0BE"/>
      </w:r>
      <w:r w:rsidRPr="00FC5566">
        <w:rPr>
          <w:b/>
          <w:noProof/>
        </w:rPr>
        <w:t>Charter Schools</w:t>
      </w:r>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p>
    <w:p w14:paraId="3AB6FC2B"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99" w:name="TOC_Chap4"/>
      <w:bookmarkStart w:id="100" w:name="_Toc480448046"/>
      <w:bookmarkStart w:id="101" w:name="_Toc217066649"/>
      <w:bookmarkStart w:id="102" w:name="_Toc217066661"/>
      <w:r w:rsidRPr="00FC5566">
        <w:rPr>
          <w:b/>
          <w:kern w:val="2"/>
        </w:rPr>
        <w:t>Chapter 5.</w:t>
      </w:r>
      <w:bookmarkEnd w:id="99"/>
      <w:r w:rsidRPr="00FC5566">
        <w:rPr>
          <w:b/>
          <w:kern w:val="2"/>
        </w:rPr>
        <w:tab/>
      </w:r>
      <w:bookmarkStart w:id="103" w:name="TOCT_Chap4"/>
      <w:r w:rsidRPr="00FC5566">
        <w:rPr>
          <w:b/>
          <w:kern w:val="2"/>
        </w:rPr>
        <w:t>Application and Approval Process</w:t>
      </w:r>
      <w:bookmarkEnd w:id="100"/>
      <w:bookmarkEnd w:id="103"/>
      <w:r w:rsidRPr="00FC5566">
        <w:rPr>
          <w:b/>
          <w:kern w:val="2"/>
        </w:rPr>
        <w:t xml:space="preserve"> for BESE-Authorized Charter Schools</w:t>
      </w:r>
      <w:bookmarkEnd w:id="101"/>
    </w:p>
    <w:p w14:paraId="18F4E314"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04" w:name="_Toc217066651"/>
      <w:bookmarkStart w:id="105" w:name="TOC_Chap17"/>
      <w:bookmarkStart w:id="106" w:name="_Toc217066692"/>
      <w:bookmarkEnd w:id="102"/>
      <w:r w:rsidRPr="00FC5566">
        <w:rPr>
          <w:b/>
          <w:kern w:val="2"/>
        </w:rPr>
        <w:t>§503.</w:t>
      </w:r>
      <w:r w:rsidRPr="00FC5566">
        <w:rPr>
          <w:b/>
          <w:kern w:val="2"/>
        </w:rPr>
        <w:tab/>
        <w:t>Eligibility to Apply for a Type 2 Charter School</w:t>
      </w:r>
      <w:bookmarkEnd w:id="104"/>
    </w:p>
    <w:p w14:paraId="05B8277F" w14:textId="77777777" w:rsidR="00FC5566" w:rsidRPr="00FC5566" w:rsidRDefault="00FC5566" w:rsidP="00FC5566">
      <w:pPr>
        <w:tabs>
          <w:tab w:val="left" w:pos="144"/>
          <w:tab w:val="left" w:pos="187"/>
          <w:tab w:val="left" w:pos="540"/>
          <w:tab w:val="left" w:pos="1080"/>
        </w:tabs>
        <w:ind w:firstLine="187"/>
        <w:jc w:val="both"/>
        <w:outlineLvl w:val="3"/>
        <w:rPr>
          <w:kern w:val="2"/>
        </w:rPr>
      </w:pPr>
      <w:r w:rsidRPr="00FC5566">
        <w:rPr>
          <w:kern w:val="2"/>
        </w:rPr>
        <w:t>A. - A.2.</w:t>
      </w:r>
      <w:r w:rsidRPr="00FC5566">
        <w:rPr>
          <w:kern w:val="2"/>
        </w:rPr>
        <w:tab/>
        <w:t>…</w:t>
      </w:r>
    </w:p>
    <w:p w14:paraId="04CFF394"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have a board of directors with a minimum of three members and at least 60 percent of the board of directors shall reside in the state of Louisiana;</w:t>
      </w:r>
    </w:p>
    <w:p w14:paraId="38C03056" w14:textId="77777777" w:rsidR="00FC5566" w:rsidRPr="00FC5566" w:rsidRDefault="00FC5566" w:rsidP="00FC5566">
      <w:pPr>
        <w:tabs>
          <w:tab w:val="left" w:pos="907"/>
        </w:tabs>
        <w:ind w:firstLine="547"/>
        <w:jc w:val="both"/>
        <w:outlineLvl w:val="5"/>
        <w:rPr>
          <w:kern w:val="2"/>
        </w:rPr>
      </w:pPr>
      <w:r w:rsidRPr="00FC5566">
        <w:rPr>
          <w:kern w:val="2"/>
        </w:rPr>
        <w:t>a.</w:t>
      </w:r>
      <w:r w:rsidRPr="00FC5566">
        <w:rPr>
          <w:kern w:val="2"/>
        </w:rPr>
        <w:tab/>
        <w:t>At the time of application, all new operators and/or experienced operators not currently operating a charter school in Louisiana must undergo a criminal background check for each board member identified with the submission of the full application. The request for information shall be from the Bureau of Criminal Identification and Information and the Federal Bureau of Investigation concerning whether the person has been arrested for, convicted of, or pled nolo contendere to any criminal offense.</w:t>
      </w:r>
    </w:p>
    <w:p w14:paraId="400B163A" w14:textId="77777777" w:rsidR="00FC5566" w:rsidRPr="00FC5566" w:rsidRDefault="00FC5566" w:rsidP="00FC5566">
      <w:pPr>
        <w:tabs>
          <w:tab w:val="left" w:pos="907"/>
        </w:tabs>
        <w:ind w:firstLine="547"/>
        <w:jc w:val="both"/>
        <w:outlineLvl w:val="5"/>
        <w:rPr>
          <w:kern w:val="2"/>
        </w:rPr>
      </w:pPr>
      <w:r w:rsidRPr="00FC5566">
        <w:rPr>
          <w:kern w:val="2"/>
        </w:rPr>
        <w:t>b.</w:t>
      </w:r>
      <w:r w:rsidRPr="00FC5566">
        <w:rPr>
          <w:kern w:val="2"/>
        </w:rPr>
        <w:tab/>
        <w:t>Subsequent board member nominations or replacements shall also be required to undergo the required criminal background check upon appointment.</w:t>
      </w:r>
    </w:p>
    <w:p w14:paraId="046097C0" w14:textId="77777777" w:rsidR="00FC5566" w:rsidRPr="00FC5566" w:rsidRDefault="00FC5566" w:rsidP="00FC5566">
      <w:pPr>
        <w:tabs>
          <w:tab w:val="left" w:pos="907"/>
        </w:tabs>
        <w:ind w:firstLine="547"/>
        <w:jc w:val="both"/>
        <w:outlineLvl w:val="5"/>
        <w:rPr>
          <w:kern w:val="2"/>
        </w:rPr>
      </w:pPr>
      <w:r w:rsidRPr="00FC5566">
        <w:rPr>
          <w:kern w:val="2"/>
        </w:rPr>
        <w:t>c.</w:t>
      </w:r>
      <w:r w:rsidRPr="00FC5566">
        <w:rPr>
          <w:kern w:val="2"/>
        </w:rPr>
        <w:tab/>
        <w:t>For charter operators that operate multiple schools in different communities, the application shall include a board governance participation plan for input from the community where the proposed school will be geographically located. The plan shall include how the board of directors will engage the community, how board members can be accessed, and how the community can participate in board meetings.</w:t>
      </w:r>
    </w:p>
    <w:p w14:paraId="08AA4AB7" w14:textId="77777777" w:rsidR="00FC5566" w:rsidRPr="00FC5566" w:rsidRDefault="00FC5566" w:rsidP="00FC5566">
      <w:pPr>
        <w:tabs>
          <w:tab w:val="left" w:pos="144"/>
          <w:tab w:val="left" w:pos="187"/>
          <w:tab w:val="left" w:pos="540"/>
          <w:tab w:val="left" w:pos="990"/>
          <w:tab w:val="left" w:pos="1080"/>
        </w:tabs>
        <w:ind w:firstLine="187"/>
        <w:jc w:val="both"/>
        <w:outlineLvl w:val="3"/>
        <w:rPr>
          <w:kern w:val="2"/>
        </w:rPr>
      </w:pPr>
      <w:r w:rsidRPr="00FC5566">
        <w:rPr>
          <w:kern w:val="2"/>
        </w:rPr>
        <w:t>A.4. - F.</w:t>
      </w:r>
      <w:r w:rsidRPr="00FC5566">
        <w:rPr>
          <w:kern w:val="2"/>
        </w:rPr>
        <w:tab/>
        <w:t>…</w:t>
      </w:r>
    </w:p>
    <w:p w14:paraId="0800F72C"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17:6(A)(10), R.S. 17:3973, R.S. 17:3981, R.S. 17:3982, R.S. 17:3983, and R.S. 17:3991.</w:t>
      </w:r>
    </w:p>
    <w:p w14:paraId="2816F84D"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Board of Elementary and Secondary Education in LR 34:1360 (July 2008), amended LR 37:868 (March 2011), LR 38:3117 (December 2012), LR 39:1431 (June 2013), LR 39:3064 (November 2013), LR 44:232 (February 2018), LR 47:571 (May 2021), LR 51:37 (January 2025), LR 51:2064 (December 2025), LR 52:1328 (August 2026).</w:t>
      </w:r>
    </w:p>
    <w:p w14:paraId="144066FC"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bCs/>
          <w:kern w:val="2"/>
        </w:rPr>
      </w:pPr>
      <w:bookmarkStart w:id="107" w:name="TOC_Chap13"/>
      <w:bookmarkStart w:id="108" w:name="_Toc217066674"/>
      <w:r w:rsidRPr="00FC5566">
        <w:rPr>
          <w:b/>
          <w:kern w:val="2"/>
        </w:rPr>
        <w:t>Chapter 15.</w:t>
      </w:r>
      <w:bookmarkEnd w:id="107"/>
      <w:r w:rsidRPr="00FC5566">
        <w:rPr>
          <w:b/>
          <w:kern w:val="2"/>
        </w:rPr>
        <w:tab/>
      </w:r>
      <w:bookmarkStart w:id="109" w:name="TOCT_Chap13"/>
      <w:r w:rsidRPr="00FC5566">
        <w:rPr>
          <w:b/>
          <w:kern w:val="2"/>
        </w:rPr>
        <w:t>Charter Renewal</w:t>
      </w:r>
      <w:bookmarkEnd w:id="108"/>
      <w:bookmarkEnd w:id="109"/>
      <w:r w:rsidRPr="00FC5566">
        <w:rPr>
          <w:b/>
          <w:bCs/>
          <w:kern w:val="2"/>
        </w:rPr>
        <w:t xml:space="preserve"> </w:t>
      </w:r>
    </w:p>
    <w:p w14:paraId="05BB9031"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10" w:name="_Toc217066677"/>
      <w:r w:rsidRPr="00FC5566">
        <w:rPr>
          <w:b/>
          <w:kern w:val="2"/>
        </w:rPr>
        <w:t>§1505.</w:t>
      </w:r>
      <w:r w:rsidRPr="00FC5566">
        <w:rPr>
          <w:b/>
          <w:kern w:val="2"/>
        </w:rPr>
        <w:tab/>
        <w:t>Eligibility for Renewal for BESE-Authorized Charter Schools</w:t>
      </w:r>
      <w:bookmarkEnd w:id="110"/>
      <w:r w:rsidRPr="00FC5566">
        <w:rPr>
          <w:b/>
          <w:kern w:val="2"/>
        </w:rPr>
        <w:t xml:space="preserve"> (Formerly §1503.B)</w:t>
      </w:r>
    </w:p>
    <w:p w14:paraId="0797559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D.</w:t>
      </w:r>
      <w:r w:rsidRPr="00FC5566">
        <w:rPr>
          <w:kern w:val="2"/>
        </w:rPr>
        <w:tab/>
        <w:t>…</w:t>
      </w:r>
    </w:p>
    <w:p w14:paraId="53BB0E4B"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For the 2026 renewal process, in addition to the 2026 school performance score and letter grade, the LDOE shall calculate a school performance score and letter grade for each charter school being considered for renewal based on the formula utilized for the 2025 school performance score and letter grade. The school performance score and letter grade that results in the better outcome for the charter school shall be considered by the LDOE and BESE for renewal purposes. For components no longer calculated, the previous year index will be used. Schools with no previous score will not have a simulated score.</w:t>
      </w:r>
    </w:p>
    <w:p w14:paraId="4A2032EE"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E. - F.</w:t>
      </w:r>
      <w:r w:rsidRPr="00FC5566">
        <w:rPr>
          <w:kern w:val="2"/>
        </w:rPr>
        <w:tab/>
        <w:t>…</w:t>
      </w:r>
    </w:p>
    <w:p w14:paraId="504EAC93"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17:6(A)(10), R.S. 17:3981, and R.S. 17:3992.</w:t>
      </w:r>
    </w:p>
    <w:p w14:paraId="753F749E"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HISTORICAL NOTE:</w:t>
      </w:r>
      <w:r w:rsidRPr="00FC5566">
        <w:rPr>
          <w:kern w:val="2"/>
          <w:sz w:val="18"/>
        </w:rPr>
        <w:tab/>
        <w:t xml:space="preserve">Promulgated by the Board of Elementary and Secondary Education, LR 36:479 (March 2010), amended LR 37:871 (March 2011), LR 37:2388 (August 2011), LR 38:752 (March 2012), repromulgated LR </w:t>
      </w:r>
      <w:r w:rsidRPr="00FC5566">
        <w:rPr>
          <w:kern w:val="2"/>
          <w:sz w:val="18"/>
        </w:rPr>
        <w:br w:type="page"/>
      </w:r>
    </w:p>
    <w:p w14:paraId="1E69BCD9"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both"/>
        <w:rPr>
          <w:kern w:val="2"/>
          <w:sz w:val="18"/>
        </w:rPr>
      </w:pPr>
      <w:r w:rsidRPr="00FC5566">
        <w:rPr>
          <w:kern w:val="2"/>
          <w:sz w:val="18"/>
        </w:rPr>
        <w:lastRenderedPageBreak/>
        <w:t>38:1394 (June 2012), amended LR 38:3119 (December 2012), LR 39:1436 (June 2013), LR 39:3066 (November 2013), LR 40:1323 (July 2014), LR 41:1264 (July 2015), amended LR 44:238 (February 2018), LR 46:788 (June 2020), LR 51:39 (January 2025), LR 52:1328 (August 2026).</w:t>
      </w:r>
    </w:p>
    <w:p w14:paraId="597E9697"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Chapter 21.</w:t>
      </w:r>
      <w:bookmarkStart w:id="111" w:name="TOCT_Chap17"/>
      <w:bookmarkEnd w:id="105"/>
      <w:r w:rsidRPr="00FC5566">
        <w:rPr>
          <w:b/>
          <w:kern w:val="2"/>
        </w:rPr>
        <w:tab/>
        <w:t>Charter School Governance</w:t>
      </w:r>
      <w:bookmarkEnd w:id="106"/>
      <w:bookmarkEnd w:id="111"/>
    </w:p>
    <w:p w14:paraId="6863FCD0"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12" w:name="_Toc217066693"/>
      <w:r w:rsidRPr="00FC5566">
        <w:rPr>
          <w:b/>
          <w:kern w:val="2"/>
        </w:rPr>
        <w:t>§2101.</w:t>
      </w:r>
      <w:r w:rsidRPr="00FC5566">
        <w:rPr>
          <w:b/>
          <w:kern w:val="2"/>
        </w:rPr>
        <w:tab/>
        <w:t>Board of Director Composition</w:t>
      </w:r>
      <w:bookmarkEnd w:id="112"/>
    </w:p>
    <w:p w14:paraId="5EE6AF39" w14:textId="77777777" w:rsidR="00FC5566" w:rsidRPr="00FC5566" w:rsidRDefault="00FC5566" w:rsidP="00FC5566">
      <w:pPr>
        <w:tabs>
          <w:tab w:val="left" w:pos="144"/>
          <w:tab w:val="left" w:pos="187"/>
          <w:tab w:val="left" w:pos="540"/>
          <w:tab w:val="left" w:pos="990"/>
          <w:tab w:val="left" w:pos="1080"/>
        </w:tabs>
        <w:ind w:firstLine="187"/>
        <w:jc w:val="both"/>
        <w:outlineLvl w:val="3"/>
        <w:rPr>
          <w:kern w:val="2"/>
        </w:rPr>
      </w:pPr>
      <w:r w:rsidRPr="00FC5566">
        <w:rPr>
          <w:kern w:val="2"/>
        </w:rPr>
        <w:t>A. - F.2.</w:t>
      </w:r>
      <w:r w:rsidRPr="00FC5566">
        <w:rPr>
          <w:kern w:val="2"/>
        </w:rPr>
        <w:tab/>
        <w:t>…</w:t>
      </w:r>
    </w:p>
    <w:p w14:paraId="52DCFA9E"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No fewer than 60 percent of the board of directors of each charter operator should be composed of members who reside in the state of Louisiana.</w:t>
      </w:r>
    </w:p>
    <w:p w14:paraId="0287623C"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w:t>
      </w:r>
      <w:r w:rsidRPr="00FC5566">
        <w:rPr>
          <w:kern w:val="2"/>
        </w:rPr>
        <w:tab/>
        <w:t>...</w:t>
      </w:r>
    </w:p>
    <w:p w14:paraId="1ED03B51"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5.</w:t>
      </w:r>
      <w:r w:rsidRPr="00FC5566">
        <w:rPr>
          <w:kern w:val="2"/>
        </w:rPr>
        <w:tab/>
        <w:t>The board governance participation plan submitted in accordance with §503 of this Part shall be posted on the school website.</w:t>
      </w:r>
    </w:p>
    <w:p w14:paraId="358049A7"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17:6(A)(10) and 17:3981.</w:t>
      </w:r>
    </w:p>
    <w:p w14:paraId="15965121"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Board of Elementary and Secondary Education in LR 34:1370 (July 2008), amended LR 37:873 (March 2011), LR 37:1377 (May 2011), LR 44:240 (February 2018), LR 44:2130 (December 2018), LR 52:1329 (August 2026).</w:t>
      </w:r>
    </w:p>
    <w:p w14:paraId="42B32113"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p w14:paraId="6D08B7AE" w14:textId="77777777" w:rsidR="00FC5566" w:rsidRPr="00FC5566" w:rsidRDefault="00FC5566" w:rsidP="00FC5566">
      <w:pPr>
        <w:keepNext/>
        <w:ind w:left="2160"/>
        <w:jc w:val="both"/>
      </w:pPr>
      <w:r w:rsidRPr="00FC5566">
        <w:t>Tavares A. Walker</w:t>
      </w:r>
    </w:p>
    <w:p w14:paraId="027B8FFE" w14:textId="77777777" w:rsidR="00FC5566" w:rsidRPr="00FC5566" w:rsidRDefault="00FC5566" w:rsidP="00FC5566">
      <w:pPr>
        <w:keepNext/>
        <w:ind w:left="2160"/>
        <w:jc w:val="both"/>
      </w:pPr>
      <w:r w:rsidRPr="00FC5566">
        <w:t>Executive Director</w:t>
      </w:r>
    </w:p>
    <w:p w14:paraId="594FA776" w14:textId="77777777" w:rsidR="00FC5566" w:rsidRPr="00FC5566" w:rsidRDefault="00FC5566" w:rsidP="00FC5566">
      <w:pPr>
        <w:rPr>
          <w:noProof/>
          <w:sz w:val="16"/>
        </w:rPr>
      </w:pPr>
      <w:r w:rsidRPr="00FC5566">
        <w:rPr>
          <w:noProof/>
          <w:sz w:val="16"/>
        </w:rPr>
        <w:t>2608#049</w:t>
      </w:r>
    </w:p>
    <w:p w14:paraId="5FD84FCE" w14:textId="77777777" w:rsidR="00FC5566" w:rsidRPr="00FC5566" w:rsidRDefault="00FC5566" w:rsidP="00FC5566"/>
    <w:p w14:paraId="087A7EEF" w14:textId="77777777" w:rsidR="00FC5566" w:rsidRPr="00FC5566" w:rsidRDefault="00FC5566" w:rsidP="00FC5566">
      <w:pPr>
        <w:keepNext/>
        <w:tabs>
          <w:tab w:val="left" w:pos="-1440"/>
        </w:tabs>
        <w:spacing w:after="120"/>
        <w:jc w:val="center"/>
        <w:rPr>
          <w:b/>
          <w:noProof/>
        </w:rPr>
      </w:pPr>
      <w:r w:rsidRPr="00FC5566">
        <w:rPr>
          <w:b/>
          <w:noProof/>
        </w:rPr>
        <w:t>RULE</w:t>
      </w:r>
    </w:p>
    <w:p w14:paraId="5E645C48" w14:textId="77777777" w:rsidR="00FC5566" w:rsidRPr="00FC5566" w:rsidRDefault="00FC5566" w:rsidP="00FC5566">
      <w:pPr>
        <w:keepNext/>
        <w:jc w:val="center"/>
        <w:rPr>
          <w:b/>
          <w:noProof/>
        </w:rPr>
      </w:pPr>
      <w:r w:rsidRPr="00FC5566">
        <w:rPr>
          <w:b/>
          <w:noProof/>
        </w:rPr>
        <w:t>Board of Elementary and Secondary Education</w:t>
      </w:r>
    </w:p>
    <w:p w14:paraId="4B351E9B" w14:textId="77777777" w:rsidR="00FC5566" w:rsidRPr="00FC5566" w:rsidRDefault="00FC5566" w:rsidP="00FC5566">
      <w:pPr>
        <w:keepNext/>
        <w:spacing w:before="240" w:after="240"/>
        <w:jc w:val="center"/>
        <w:rPr>
          <w:bCs/>
          <w:noProof/>
        </w:rPr>
      </w:pPr>
      <w:r w:rsidRPr="00FC5566">
        <w:rPr>
          <w:noProof/>
        </w:rPr>
        <w:t>Bulletin 140—Louisiana Early Childhood Care and Education Network—Early Childhood</w:t>
      </w:r>
      <w:r w:rsidRPr="00FC5566">
        <w:rPr>
          <w:noProof/>
        </w:rPr>
        <w:br/>
      </w:r>
      <w:r w:rsidRPr="00FC5566">
        <w:rPr>
          <w:bCs/>
          <w:noProof/>
        </w:rPr>
        <w:t>(</w:t>
      </w:r>
      <w:r w:rsidRPr="00FC5566">
        <w:rPr>
          <w:noProof/>
        </w:rPr>
        <w:t>LAC 28:CLXVII.503, 509, and 511</w:t>
      </w:r>
      <w:r w:rsidRPr="00FC5566">
        <w:rPr>
          <w:bCs/>
          <w:noProof/>
        </w:rPr>
        <w:t>)</w:t>
      </w:r>
    </w:p>
    <w:p w14:paraId="4FE40217" w14:textId="77777777" w:rsidR="00FC5566" w:rsidRPr="00FC5566" w:rsidRDefault="00FC5566" w:rsidP="00FC5566">
      <w:pPr>
        <w:tabs>
          <w:tab w:val="left" w:pos="144"/>
          <w:tab w:val="left" w:pos="187"/>
          <w:tab w:val="left" w:pos="540"/>
          <w:tab w:val="left" w:pos="907"/>
          <w:tab w:val="left" w:pos="1080"/>
        </w:tabs>
        <w:ind w:firstLine="187"/>
        <w:jc w:val="both"/>
        <w:outlineLvl w:val="3"/>
        <w:rPr>
          <w:color w:val="222222"/>
          <w:kern w:val="2"/>
          <w:shd w:val="clear" w:color="auto" w:fill="FFFFFF"/>
        </w:rPr>
      </w:pPr>
      <w:r w:rsidRPr="00FC5566">
        <w:rPr>
          <w:kern w:val="2"/>
        </w:rPr>
        <w:t>In accordance with the provisions of R.S. 17:6(A)(10) and the Administrative Procedure Act (APA), R.S. 49:953(B)(1</w:t>
      </w:r>
      <w:r w:rsidRPr="00FC5566">
        <w:rPr>
          <w:i/>
          <w:iCs/>
          <w:kern w:val="2"/>
        </w:rPr>
        <w:t xml:space="preserve">) </w:t>
      </w:r>
      <w:r w:rsidRPr="00FC5566">
        <w:rPr>
          <w:kern w:val="2"/>
        </w:rPr>
        <w:t>et seq., the Board of Elementary and Secondary Education (BESE) has amended LAC 28:</w:t>
      </w:r>
      <w:r w:rsidRPr="00FC5566">
        <w:rPr>
          <w:noProof/>
          <w:kern w:val="2"/>
        </w:rPr>
        <w:t>CLXVII</w:t>
      </w:r>
      <w:r w:rsidRPr="00FC5566">
        <w:rPr>
          <w:kern w:val="2"/>
        </w:rPr>
        <w:t xml:space="preserve"> in </w:t>
      </w:r>
      <w:r w:rsidRPr="00FC5566">
        <w:rPr>
          <w:i/>
          <w:noProof/>
          <w:kern w:val="2"/>
        </w:rPr>
        <w:t>Bulletin 140–Louisiana Early Childhood Care and Education Network</w:t>
      </w:r>
      <w:r w:rsidRPr="00FC5566">
        <w:rPr>
          <w:kern w:val="2"/>
        </w:rPr>
        <w:t xml:space="preserve">. </w:t>
      </w:r>
      <w:r w:rsidRPr="00FC5566">
        <w:rPr>
          <w:color w:val="222222"/>
          <w:kern w:val="2"/>
          <w:shd w:val="clear" w:color="auto" w:fill="FFFFFF"/>
        </w:rPr>
        <w:t xml:space="preserve">The aforementioned revisions update the </w:t>
      </w:r>
      <w:r w:rsidRPr="00FC5566">
        <w:rPr>
          <w:i/>
          <w:iCs/>
          <w:color w:val="222222"/>
          <w:kern w:val="2"/>
          <w:shd w:val="clear" w:color="auto" w:fill="FFFFFF"/>
        </w:rPr>
        <w:t>CLASS</w:t>
      </w:r>
      <w:r w:rsidRPr="00FC5566">
        <w:rPr>
          <w:i/>
          <w:iCs/>
          <w:color w:val="222222"/>
          <w:kern w:val="2"/>
          <w:shd w:val="clear" w:color="auto" w:fill="FFFFFF"/>
          <w:vertAlign w:val="superscript"/>
        </w:rPr>
        <w:t>®</w:t>
      </w:r>
      <w:r w:rsidRPr="00FC5566">
        <w:rPr>
          <w:color w:val="222222"/>
          <w:kern w:val="2"/>
          <w:shd w:val="clear" w:color="auto" w:fill="FFFFFF"/>
        </w:rPr>
        <w:t xml:space="preserve"> observation tool used in early childhood classrooms to measure the experiences of children and to calculate performance ratings for publicly funded sites and community networks. The </w:t>
      </w:r>
      <w:r w:rsidRPr="00FC5566">
        <w:rPr>
          <w:i/>
          <w:iCs/>
          <w:color w:val="222222"/>
          <w:kern w:val="2"/>
          <w:shd w:val="clear" w:color="auto" w:fill="FFFFFF"/>
        </w:rPr>
        <w:t>CLASS</w:t>
      </w:r>
      <w:r w:rsidRPr="00FC5566">
        <w:rPr>
          <w:i/>
          <w:iCs/>
          <w:color w:val="222222"/>
          <w:kern w:val="2"/>
          <w:shd w:val="clear" w:color="auto" w:fill="FFFFFF"/>
          <w:vertAlign w:val="superscript"/>
        </w:rPr>
        <w:t>®</w:t>
      </w:r>
      <w:r w:rsidRPr="00FC5566">
        <w:rPr>
          <w:color w:val="222222"/>
          <w:kern w:val="2"/>
          <w:shd w:val="clear" w:color="auto" w:fill="FFFFFF"/>
        </w:rPr>
        <w:t xml:space="preserve"> </w:t>
      </w:r>
      <w:r w:rsidRPr="00FC5566">
        <w:rPr>
          <w:i/>
          <w:iCs/>
          <w:color w:val="222222"/>
          <w:kern w:val="2"/>
          <w:shd w:val="clear" w:color="auto" w:fill="FFFFFF"/>
        </w:rPr>
        <w:t>2</w:t>
      </w:r>
      <w:r w:rsidRPr="00FC5566">
        <w:rPr>
          <w:i/>
          <w:iCs/>
          <w:color w:val="222222"/>
          <w:kern w:val="2"/>
          <w:shd w:val="clear" w:color="auto" w:fill="FFFFFF"/>
          <w:vertAlign w:val="superscript"/>
        </w:rPr>
        <w:t>nd</w:t>
      </w:r>
      <w:r w:rsidRPr="00FC5566">
        <w:rPr>
          <w:i/>
          <w:iCs/>
          <w:color w:val="222222"/>
          <w:kern w:val="2"/>
          <w:shd w:val="clear" w:color="auto" w:fill="FFFFFF"/>
        </w:rPr>
        <w:t xml:space="preserve"> Edition Infant-Toddler</w:t>
      </w:r>
      <w:r w:rsidRPr="00FC5566">
        <w:rPr>
          <w:color w:val="222222"/>
          <w:kern w:val="2"/>
          <w:shd w:val="clear" w:color="auto" w:fill="FFFFFF"/>
        </w:rPr>
        <w:t xml:space="preserve"> and </w:t>
      </w:r>
      <w:r w:rsidRPr="00FC5566">
        <w:rPr>
          <w:i/>
          <w:iCs/>
          <w:color w:val="222222"/>
          <w:kern w:val="2"/>
          <w:shd w:val="clear" w:color="auto" w:fill="FFFFFF"/>
        </w:rPr>
        <w:t>CLASS</w:t>
      </w:r>
      <w:r w:rsidRPr="00FC5566">
        <w:rPr>
          <w:i/>
          <w:iCs/>
          <w:color w:val="222222"/>
          <w:kern w:val="2"/>
          <w:shd w:val="clear" w:color="auto" w:fill="FFFFFF"/>
          <w:vertAlign w:val="superscript"/>
        </w:rPr>
        <w:t>®</w:t>
      </w:r>
      <w:r w:rsidRPr="00FC5566">
        <w:rPr>
          <w:i/>
          <w:iCs/>
          <w:color w:val="222222"/>
          <w:kern w:val="2"/>
          <w:shd w:val="clear" w:color="auto" w:fill="FFFFFF"/>
        </w:rPr>
        <w:t xml:space="preserve"> 2</w:t>
      </w:r>
      <w:r w:rsidRPr="00FC5566">
        <w:rPr>
          <w:i/>
          <w:iCs/>
          <w:color w:val="222222"/>
          <w:kern w:val="2"/>
          <w:shd w:val="clear" w:color="auto" w:fill="FFFFFF"/>
          <w:vertAlign w:val="superscript"/>
        </w:rPr>
        <w:t>nd</w:t>
      </w:r>
      <w:r w:rsidRPr="00FC5566">
        <w:rPr>
          <w:i/>
          <w:iCs/>
          <w:color w:val="222222"/>
          <w:kern w:val="2"/>
          <w:shd w:val="clear" w:color="auto" w:fill="FFFFFF"/>
        </w:rPr>
        <w:t xml:space="preserve"> Edition Pre-K-3</w:t>
      </w:r>
      <w:r w:rsidRPr="00FC5566">
        <w:rPr>
          <w:i/>
          <w:iCs/>
          <w:color w:val="222222"/>
          <w:kern w:val="2"/>
          <w:shd w:val="clear" w:color="auto" w:fill="FFFFFF"/>
          <w:vertAlign w:val="superscript"/>
        </w:rPr>
        <w:t xml:space="preserve">rd </w:t>
      </w:r>
      <w:r w:rsidRPr="00FC5566">
        <w:rPr>
          <w:color w:val="222222"/>
          <w:kern w:val="2"/>
          <w:shd w:val="clear" w:color="auto" w:fill="FFFFFF"/>
        </w:rPr>
        <w:t xml:space="preserve">are being adopted effective with the 2026-2027 academic year. This Rule is hereby adopted on the day of promulgation. </w:t>
      </w:r>
    </w:p>
    <w:p w14:paraId="793107C4" w14:textId="77777777" w:rsidR="00FC5566" w:rsidRPr="00FC5566" w:rsidRDefault="00FC5566" w:rsidP="00FC5566">
      <w:pPr>
        <w:keepNext/>
        <w:jc w:val="center"/>
        <w:rPr>
          <w:b/>
          <w:kern w:val="28"/>
        </w:rPr>
      </w:pPr>
      <w:r w:rsidRPr="00FC5566">
        <w:rPr>
          <w:b/>
          <w:kern w:val="28"/>
        </w:rPr>
        <w:t xml:space="preserve">Title </w:t>
      </w:r>
      <w:bookmarkStart w:id="113" w:name="TitleNumber"/>
      <w:r w:rsidRPr="00FC5566">
        <w:rPr>
          <w:b/>
          <w:kern w:val="28"/>
        </w:rPr>
        <w:t>28</w:t>
      </w:r>
      <w:bookmarkEnd w:id="113"/>
    </w:p>
    <w:p w14:paraId="6903DB1E" w14:textId="77777777" w:rsidR="00FC5566" w:rsidRPr="00FC5566" w:rsidRDefault="00FC5566" w:rsidP="00FC5566">
      <w:pPr>
        <w:keepNext/>
        <w:jc w:val="center"/>
        <w:rPr>
          <w:b/>
          <w:kern w:val="28"/>
        </w:rPr>
      </w:pPr>
      <w:bookmarkStart w:id="114" w:name="TitleName"/>
      <w:r w:rsidRPr="00FC5566">
        <w:rPr>
          <w:b/>
          <w:kern w:val="28"/>
        </w:rPr>
        <w:t>EDUCATION</w:t>
      </w:r>
      <w:bookmarkEnd w:id="114"/>
    </w:p>
    <w:p w14:paraId="53FA03E9" w14:textId="77777777" w:rsidR="00FC5566" w:rsidRPr="00FC5566" w:rsidRDefault="00FC5566" w:rsidP="00FC5566">
      <w:pPr>
        <w:keepNext/>
        <w:jc w:val="center"/>
        <w:rPr>
          <w:b/>
          <w:noProof/>
        </w:rPr>
      </w:pPr>
      <w:bookmarkStart w:id="115" w:name="TOC_Part0"/>
      <w:bookmarkStart w:id="116" w:name="_Toc438552837"/>
      <w:bookmarkStart w:id="117" w:name="_Toc438553265"/>
      <w:bookmarkStart w:id="118" w:name="_Toc468103778"/>
      <w:bookmarkStart w:id="119" w:name="_Toc38283437"/>
      <w:bookmarkStart w:id="120" w:name="_Toc112235094"/>
      <w:bookmarkStart w:id="121" w:name="_Toc189142880"/>
      <w:r w:rsidRPr="00FC5566">
        <w:rPr>
          <w:b/>
          <w:noProof/>
        </w:rPr>
        <w:t>Part CLXVII.  Bulletin 140—Louisiana Early Childhood Care and Education Network</w:t>
      </w:r>
      <w:bookmarkEnd w:id="115"/>
      <w:bookmarkEnd w:id="116"/>
      <w:bookmarkEnd w:id="117"/>
      <w:bookmarkEnd w:id="118"/>
      <w:bookmarkEnd w:id="119"/>
      <w:bookmarkEnd w:id="120"/>
      <w:bookmarkEnd w:id="121"/>
    </w:p>
    <w:p w14:paraId="3974DEB5"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122" w:name="_Toc438552849"/>
      <w:bookmarkStart w:id="123" w:name="_Toc189142894"/>
      <w:r w:rsidRPr="00FC5566">
        <w:rPr>
          <w:b/>
          <w:kern w:val="2"/>
        </w:rPr>
        <w:t>Chapter 5.</w:t>
      </w:r>
      <w:r w:rsidRPr="00FC5566">
        <w:rPr>
          <w:b/>
          <w:kern w:val="2"/>
        </w:rPr>
        <w:tab/>
        <w:t>Early Childhood Care and Education Accountability System</w:t>
      </w:r>
      <w:bookmarkEnd w:id="122"/>
      <w:bookmarkEnd w:id="123"/>
    </w:p>
    <w:p w14:paraId="53909028"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24" w:name="_Toc419194002"/>
      <w:bookmarkStart w:id="125" w:name="_Toc438552851"/>
      <w:bookmarkStart w:id="126" w:name="_Toc189142896"/>
      <w:r w:rsidRPr="00FC5566">
        <w:rPr>
          <w:b/>
          <w:kern w:val="2"/>
        </w:rPr>
        <w:t>§503.</w:t>
      </w:r>
      <w:r w:rsidRPr="00FC5566">
        <w:rPr>
          <w:b/>
          <w:kern w:val="2"/>
        </w:rPr>
        <w:tab/>
        <w:t>Coordinated Observation Plan and Observation Requirements</w:t>
      </w:r>
      <w:bookmarkEnd w:id="124"/>
      <w:bookmarkEnd w:id="125"/>
      <w:bookmarkEnd w:id="126"/>
    </w:p>
    <w:p w14:paraId="6BF73688"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B.</w:t>
      </w:r>
      <w:r w:rsidRPr="00FC5566">
        <w:rPr>
          <w:kern w:val="2"/>
        </w:rPr>
        <w:tab/>
        <w:t>…</w:t>
      </w:r>
    </w:p>
    <w:p w14:paraId="05F3DDBF"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 xml:space="preserve">A </w:t>
      </w:r>
      <w:r w:rsidRPr="00FC5566">
        <w:rPr>
          <w:i/>
          <w:kern w:val="2"/>
        </w:rPr>
        <w:t>CLASS</w:t>
      </w:r>
      <w:r w:rsidRPr="00FC5566">
        <w:rPr>
          <w:i/>
          <w:kern w:val="2"/>
          <w:vertAlign w:val="superscript"/>
        </w:rPr>
        <w:t>®</w:t>
      </w:r>
      <w:r w:rsidRPr="00FC5566">
        <w:rPr>
          <w:kern w:val="2"/>
        </w:rPr>
        <w:t xml:space="preserve"> observation is an observation of the typical experiences of children in a classroom using the appropriate Infant-Toddler or Pre-K-3rd </w:t>
      </w:r>
      <w:r w:rsidRPr="00FC5566">
        <w:rPr>
          <w:i/>
          <w:kern w:val="2"/>
        </w:rPr>
        <w:t>CLASS</w:t>
      </w:r>
      <w:r w:rsidRPr="00FC5566">
        <w:rPr>
          <w:i/>
          <w:kern w:val="2"/>
          <w:vertAlign w:val="superscript"/>
        </w:rPr>
        <w:t>®</w:t>
      </w:r>
      <w:r w:rsidRPr="00FC5566">
        <w:rPr>
          <w:kern w:val="2"/>
        </w:rPr>
        <w:t xml:space="preserve"> tool using all domains, typically occurring during the morning, in which a reliable observer conducts four 20-minute cycles of observation and note-taking followed by at least 10 minutes of scoring after each observation cycle.</w:t>
      </w:r>
    </w:p>
    <w:p w14:paraId="778E8FDF"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w:t>
      </w:r>
    </w:p>
    <w:p w14:paraId="333253A6" w14:textId="77777777" w:rsidR="00FC5566" w:rsidRPr="00FC5566" w:rsidRDefault="00FC5566" w:rsidP="00FC5566">
      <w:pPr>
        <w:tabs>
          <w:tab w:val="left" w:pos="907"/>
        </w:tabs>
        <w:ind w:firstLine="547"/>
        <w:jc w:val="both"/>
        <w:outlineLvl w:val="5"/>
        <w:rPr>
          <w:kern w:val="2"/>
        </w:rPr>
      </w:pPr>
      <w:r w:rsidRPr="00FC5566">
        <w:rPr>
          <w:kern w:val="2"/>
        </w:rPr>
        <w:t>a.</w:t>
      </w:r>
      <w:r w:rsidRPr="00FC5566">
        <w:rPr>
          <w:kern w:val="2"/>
        </w:rPr>
        <w:tab/>
      </w:r>
      <w:r w:rsidRPr="00FC5566">
        <w:rPr>
          <w:i/>
          <w:kern w:val="2"/>
        </w:rPr>
        <w:t>CLASS</w:t>
      </w:r>
      <w:r w:rsidRPr="00FC5566">
        <w:rPr>
          <w:i/>
          <w:kern w:val="2"/>
          <w:vertAlign w:val="superscript"/>
        </w:rPr>
        <w:t>®</w:t>
      </w:r>
      <w:r w:rsidRPr="00FC5566">
        <w:rPr>
          <w:kern w:val="2"/>
        </w:rPr>
        <w:t xml:space="preserve"> observations for infant classrooms must include both </w:t>
      </w:r>
      <w:r w:rsidRPr="00FC5566">
        <w:rPr>
          <w:i/>
          <w:kern w:val="2"/>
        </w:rPr>
        <w:t>CLASS</w:t>
      </w:r>
      <w:r w:rsidRPr="00FC5566">
        <w:rPr>
          <w:i/>
          <w:kern w:val="2"/>
          <w:vertAlign w:val="superscript"/>
        </w:rPr>
        <w:t>®</w:t>
      </w:r>
      <w:r w:rsidRPr="00FC5566">
        <w:rPr>
          <w:kern w:val="2"/>
        </w:rPr>
        <w:t xml:space="preserve"> </w:t>
      </w:r>
      <w:r w:rsidRPr="00FC5566">
        <w:rPr>
          <w:i/>
          <w:kern w:val="2"/>
        </w:rPr>
        <w:t>2</w:t>
      </w:r>
      <w:r w:rsidRPr="00FC5566">
        <w:rPr>
          <w:i/>
          <w:kern w:val="2"/>
          <w:vertAlign w:val="superscript"/>
        </w:rPr>
        <w:t>nd</w:t>
      </w:r>
      <w:r w:rsidRPr="00FC5566">
        <w:rPr>
          <w:i/>
          <w:kern w:val="2"/>
        </w:rPr>
        <w:t xml:space="preserve"> Edition Infant-Toddler</w:t>
      </w:r>
      <w:r w:rsidRPr="00FC5566">
        <w:rPr>
          <w:kern w:val="2"/>
        </w:rPr>
        <w:t xml:space="preserve"> domains, which are emotional and behavioral support and engaged support for learning, and all dimensions contained within.</w:t>
      </w:r>
    </w:p>
    <w:p w14:paraId="2CBFE80A" w14:textId="77777777" w:rsidR="00FC5566" w:rsidRPr="00FC5566" w:rsidRDefault="00FC5566" w:rsidP="00FC5566">
      <w:pPr>
        <w:tabs>
          <w:tab w:val="left" w:pos="907"/>
        </w:tabs>
        <w:ind w:firstLine="547"/>
        <w:jc w:val="both"/>
        <w:outlineLvl w:val="5"/>
        <w:rPr>
          <w:kern w:val="2"/>
        </w:rPr>
      </w:pPr>
      <w:r w:rsidRPr="00FC5566">
        <w:rPr>
          <w:kern w:val="2"/>
        </w:rPr>
        <w:t>b.</w:t>
      </w:r>
      <w:r w:rsidRPr="00FC5566">
        <w:rPr>
          <w:kern w:val="2"/>
        </w:rPr>
        <w:tab/>
      </w:r>
      <w:r w:rsidRPr="00FC5566">
        <w:rPr>
          <w:i/>
          <w:kern w:val="2"/>
        </w:rPr>
        <w:t>CLASS</w:t>
      </w:r>
      <w:r w:rsidRPr="00FC5566">
        <w:rPr>
          <w:i/>
          <w:kern w:val="2"/>
          <w:vertAlign w:val="superscript"/>
        </w:rPr>
        <w:t>®</w:t>
      </w:r>
      <w:r w:rsidRPr="00FC5566">
        <w:rPr>
          <w:kern w:val="2"/>
        </w:rPr>
        <w:t xml:space="preserve"> observations for toddler classrooms must include both </w:t>
      </w:r>
      <w:r w:rsidRPr="00FC5566">
        <w:rPr>
          <w:i/>
          <w:kern w:val="2"/>
        </w:rPr>
        <w:t>CLASS</w:t>
      </w:r>
      <w:r w:rsidRPr="00FC5566">
        <w:rPr>
          <w:i/>
          <w:kern w:val="2"/>
          <w:vertAlign w:val="superscript"/>
        </w:rPr>
        <w:t>®</w:t>
      </w:r>
      <w:r w:rsidRPr="00FC5566">
        <w:rPr>
          <w:kern w:val="2"/>
        </w:rPr>
        <w:t xml:space="preserve"> </w:t>
      </w:r>
      <w:r w:rsidRPr="00FC5566">
        <w:rPr>
          <w:i/>
          <w:kern w:val="2"/>
        </w:rPr>
        <w:t>2</w:t>
      </w:r>
      <w:r w:rsidRPr="00FC5566">
        <w:rPr>
          <w:i/>
          <w:kern w:val="2"/>
          <w:vertAlign w:val="superscript"/>
        </w:rPr>
        <w:t>nd</w:t>
      </w:r>
      <w:r w:rsidRPr="00FC5566">
        <w:rPr>
          <w:i/>
          <w:kern w:val="2"/>
        </w:rPr>
        <w:t xml:space="preserve"> Edition Infant-Toddler</w:t>
      </w:r>
      <w:r w:rsidRPr="00FC5566">
        <w:rPr>
          <w:kern w:val="2"/>
        </w:rPr>
        <w:t xml:space="preserve"> domains, which are emotional and behavioral support and engaged support for learning, and all dimensions contained within.</w:t>
      </w:r>
    </w:p>
    <w:p w14:paraId="59358E37" w14:textId="77777777" w:rsidR="00FC5566" w:rsidRPr="00FC5566" w:rsidRDefault="00FC5566" w:rsidP="00FC5566">
      <w:pPr>
        <w:tabs>
          <w:tab w:val="left" w:pos="907"/>
        </w:tabs>
        <w:ind w:firstLine="547"/>
        <w:jc w:val="both"/>
        <w:outlineLvl w:val="5"/>
        <w:rPr>
          <w:kern w:val="2"/>
        </w:rPr>
      </w:pPr>
      <w:r w:rsidRPr="00FC5566">
        <w:rPr>
          <w:kern w:val="2"/>
        </w:rPr>
        <w:t>c.</w:t>
      </w:r>
      <w:r w:rsidRPr="00FC5566">
        <w:rPr>
          <w:kern w:val="2"/>
        </w:rPr>
        <w:tab/>
      </w:r>
      <w:r w:rsidRPr="00FC5566">
        <w:rPr>
          <w:i/>
          <w:kern w:val="2"/>
        </w:rPr>
        <w:t>CLASS</w:t>
      </w:r>
      <w:r w:rsidRPr="00FC5566">
        <w:rPr>
          <w:i/>
          <w:kern w:val="2"/>
          <w:vertAlign w:val="superscript"/>
        </w:rPr>
        <w:t>®</w:t>
      </w:r>
      <w:r w:rsidRPr="00FC5566">
        <w:rPr>
          <w:kern w:val="2"/>
        </w:rPr>
        <w:t xml:space="preserve"> observations for pre-K classrooms must include all three </w:t>
      </w:r>
      <w:r w:rsidRPr="00FC5566">
        <w:rPr>
          <w:i/>
          <w:kern w:val="2"/>
        </w:rPr>
        <w:t>CLASS</w:t>
      </w:r>
      <w:r w:rsidRPr="00FC5566">
        <w:rPr>
          <w:i/>
          <w:kern w:val="2"/>
          <w:vertAlign w:val="superscript"/>
        </w:rPr>
        <w:t>®</w:t>
      </w:r>
      <w:r w:rsidRPr="00FC5566">
        <w:rPr>
          <w:i/>
          <w:kern w:val="2"/>
        </w:rPr>
        <w:t xml:space="preserve"> 2</w:t>
      </w:r>
      <w:r w:rsidRPr="00FC5566">
        <w:rPr>
          <w:i/>
          <w:kern w:val="2"/>
          <w:vertAlign w:val="superscript"/>
        </w:rPr>
        <w:t>nd</w:t>
      </w:r>
      <w:r w:rsidRPr="00FC5566">
        <w:rPr>
          <w:i/>
          <w:kern w:val="2"/>
        </w:rPr>
        <w:t xml:space="preserve"> Edition Pre-K-Third</w:t>
      </w:r>
      <w:r w:rsidRPr="00FC5566">
        <w:rPr>
          <w:kern w:val="2"/>
        </w:rPr>
        <w:t xml:space="preserve"> domains, which are emotional support, classroom organization, and instructional support, and all dimensions contained within.</w:t>
      </w:r>
    </w:p>
    <w:p w14:paraId="769DB1DD"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 - 3.e.</w:t>
      </w:r>
      <w:r w:rsidRPr="00FC5566">
        <w:rPr>
          <w:kern w:val="2"/>
        </w:rPr>
        <w:tab/>
        <w:t>…</w:t>
      </w:r>
    </w:p>
    <w:p w14:paraId="1ABD5BFB"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w:t>
      </w:r>
      <w:r w:rsidRPr="00FC5566">
        <w:rPr>
          <w:kern w:val="2"/>
        </w:rPr>
        <w:tab/>
        <w:t xml:space="preserve">Use of </w:t>
      </w:r>
      <w:r w:rsidRPr="00FC5566">
        <w:rPr>
          <w:i/>
          <w:kern w:val="2"/>
        </w:rPr>
        <w:t>CLASS</w:t>
      </w:r>
      <w:r w:rsidRPr="00FC5566">
        <w:rPr>
          <w:i/>
          <w:kern w:val="2"/>
          <w:vertAlign w:val="superscript"/>
        </w:rPr>
        <w:t>®</w:t>
      </w:r>
      <w:r w:rsidRPr="00FC5566">
        <w:rPr>
          <w:kern w:val="2"/>
        </w:rPr>
        <w:t xml:space="preserve"> </w:t>
      </w:r>
      <w:r w:rsidRPr="00FC5566">
        <w:rPr>
          <w:i/>
          <w:kern w:val="2"/>
        </w:rPr>
        <w:t>2</w:t>
      </w:r>
      <w:r w:rsidRPr="00FC5566">
        <w:rPr>
          <w:i/>
          <w:kern w:val="2"/>
          <w:vertAlign w:val="superscript"/>
        </w:rPr>
        <w:t>nd</w:t>
      </w:r>
      <w:r w:rsidRPr="00FC5566">
        <w:rPr>
          <w:i/>
          <w:kern w:val="2"/>
        </w:rPr>
        <w:t xml:space="preserve"> Edition Infant-Toddler</w:t>
      </w:r>
      <w:r w:rsidRPr="00FC5566">
        <w:rPr>
          <w:kern w:val="2"/>
        </w:rPr>
        <w:t xml:space="preserve"> or </w:t>
      </w:r>
      <w:r w:rsidRPr="00FC5566">
        <w:rPr>
          <w:i/>
          <w:kern w:val="2"/>
        </w:rPr>
        <w:t>CLASS</w:t>
      </w:r>
      <w:r w:rsidRPr="00FC5566">
        <w:rPr>
          <w:i/>
          <w:kern w:val="2"/>
          <w:vertAlign w:val="superscript"/>
        </w:rPr>
        <w:t>®</w:t>
      </w:r>
      <w:r w:rsidRPr="00FC5566">
        <w:rPr>
          <w:i/>
          <w:kern w:val="2"/>
        </w:rPr>
        <w:t xml:space="preserve"> 2</w:t>
      </w:r>
      <w:r w:rsidRPr="00FC5566">
        <w:rPr>
          <w:i/>
          <w:kern w:val="2"/>
          <w:vertAlign w:val="superscript"/>
        </w:rPr>
        <w:t>nd</w:t>
      </w:r>
      <w:r w:rsidRPr="00FC5566">
        <w:rPr>
          <w:i/>
          <w:kern w:val="2"/>
        </w:rPr>
        <w:t xml:space="preserve"> Edition Pre-K-3</w:t>
      </w:r>
      <w:r w:rsidRPr="00FC5566">
        <w:rPr>
          <w:i/>
          <w:kern w:val="2"/>
          <w:vertAlign w:val="superscript"/>
        </w:rPr>
        <w:t>rd</w:t>
      </w:r>
      <w:r w:rsidRPr="00FC5566">
        <w:rPr>
          <w:kern w:val="2"/>
        </w:rPr>
        <w:t xml:space="preserve">. Classrooms shall be observed with the same </w:t>
      </w:r>
      <w:r w:rsidRPr="00FC5566">
        <w:rPr>
          <w:i/>
          <w:kern w:val="2"/>
        </w:rPr>
        <w:t>CLASS</w:t>
      </w:r>
      <w:r w:rsidRPr="00FC5566">
        <w:rPr>
          <w:i/>
          <w:kern w:val="2"/>
          <w:vertAlign w:val="superscript"/>
        </w:rPr>
        <w:t>®</w:t>
      </w:r>
      <w:r w:rsidRPr="00FC5566">
        <w:rPr>
          <w:kern w:val="2"/>
        </w:rPr>
        <w:t xml:space="preserve"> tool throughout the academic year based on the composition of the classroom when the observation plan required in accordance with Subsection C of this Section is submitted according to the following:</w:t>
      </w:r>
    </w:p>
    <w:p w14:paraId="6D7E66DA" w14:textId="77777777" w:rsidR="00FC5566" w:rsidRPr="00FC5566" w:rsidRDefault="00FC5566" w:rsidP="00FC5566">
      <w:pPr>
        <w:tabs>
          <w:tab w:val="left" w:pos="907"/>
        </w:tabs>
        <w:ind w:firstLine="547"/>
        <w:jc w:val="both"/>
        <w:outlineLvl w:val="5"/>
        <w:rPr>
          <w:kern w:val="2"/>
        </w:rPr>
      </w:pPr>
      <w:r w:rsidRPr="00FC5566">
        <w:rPr>
          <w:kern w:val="2"/>
        </w:rPr>
        <w:t>a.</w:t>
      </w:r>
      <w:r w:rsidRPr="00FC5566">
        <w:rPr>
          <w:kern w:val="2"/>
        </w:rPr>
        <w:tab/>
        <w:t xml:space="preserve">The </w:t>
      </w:r>
      <w:r w:rsidRPr="00FC5566">
        <w:rPr>
          <w:i/>
          <w:kern w:val="2"/>
        </w:rPr>
        <w:t>CLASS</w:t>
      </w:r>
      <w:r w:rsidRPr="00FC5566">
        <w:rPr>
          <w:i/>
          <w:kern w:val="2"/>
          <w:vertAlign w:val="superscript"/>
        </w:rPr>
        <w:t>®</w:t>
      </w:r>
      <w:r w:rsidRPr="00FC5566">
        <w:rPr>
          <w:kern w:val="2"/>
        </w:rPr>
        <w:t xml:space="preserve"> </w:t>
      </w:r>
      <w:r w:rsidRPr="00FC5566">
        <w:rPr>
          <w:i/>
          <w:kern w:val="2"/>
        </w:rPr>
        <w:t>2</w:t>
      </w:r>
      <w:r w:rsidRPr="00FC5566">
        <w:rPr>
          <w:i/>
          <w:kern w:val="2"/>
          <w:vertAlign w:val="superscript"/>
        </w:rPr>
        <w:t>nd</w:t>
      </w:r>
      <w:r w:rsidRPr="00FC5566">
        <w:rPr>
          <w:i/>
          <w:kern w:val="2"/>
        </w:rPr>
        <w:t xml:space="preserve"> Edition Infant-Toddler</w:t>
      </w:r>
      <w:r w:rsidRPr="00FC5566">
        <w:rPr>
          <w:kern w:val="2"/>
        </w:rPr>
        <w:t xml:space="preserve"> tool shall be used in any classroom where only infants and toddlers are served or in classrooms where at least fifty percent of children are infants or toddlers</w:t>
      </w:r>
    </w:p>
    <w:p w14:paraId="253C9BA7" w14:textId="77777777" w:rsidR="00FC5566" w:rsidRPr="00FC5566" w:rsidRDefault="00FC5566" w:rsidP="00FC5566">
      <w:pPr>
        <w:tabs>
          <w:tab w:val="left" w:pos="907"/>
        </w:tabs>
        <w:ind w:firstLine="547"/>
        <w:jc w:val="both"/>
        <w:outlineLvl w:val="5"/>
        <w:rPr>
          <w:kern w:val="2"/>
        </w:rPr>
      </w:pPr>
      <w:r w:rsidRPr="00FC5566">
        <w:rPr>
          <w:kern w:val="2"/>
        </w:rPr>
        <w:t>b.</w:t>
      </w:r>
      <w:r w:rsidRPr="00FC5566">
        <w:rPr>
          <w:kern w:val="2"/>
        </w:rPr>
        <w:tab/>
        <w:t xml:space="preserve">The </w:t>
      </w:r>
      <w:r w:rsidRPr="00FC5566">
        <w:rPr>
          <w:i/>
          <w:kern w:val="2"/>
        </w:rPr>
        <w:t>CLASS</w:t>
      </w:r>
      <w:r w:rsidRPr="00FC5566">
        <w:rPr>
          <w:i/>
          <w:kern w:val="2"/>
          <w:vertAlign w:val="superscript"/>
        </w:rPr>
        <w:t>®</w:t>
      </w:r>
      <w:r w:rsidRPr="00FC5566">
        <w:rPr>
          <w:i/>
          <w:kern w:val="2"/>
        </w:rPr>
        <w:t xml:space="preserve"> 2</w:t>
      </w:r>
      <w:r w:rsidRPr="00FC5566">
        <w:rPr>
          <w:i/>
          <w:kern w:val="2"/>
          <w:vertAlign w:val="superscript"/>
        </w:rPr>
        <w:t>nd</w:t>
      </w:r>
      <w:r w:rsidRPr="00FC5566">
        <w:rPr>
          <w:i/>
          <w:kern w:val="2"/>
        </w:rPr>
        <w:t xml:space="preserve"> Edition Pre-K-3</w:t>
      </w:r>
      <w:r w:rsidRPr="00FC5566">
        <w:rPr>
          <w:i/>
          <w:kern w:val="2"/>
          <w:vertAlign w:val="superscript"/>
        </w:rPr>
        <w:t xml:space="preserve">rd </w:t>
      </w:r>
      <w:r w:rsidRPr="00FC5566">
        <w:rPr>
          <w:kern w:val="2"/>
        </w:rPr>
        <w:t>tool shall be used in any classroom where more than fifty percent of the students are pre-k children, or where more than fifty percent of the children are pre-K and kindergarten students.</w:t>
      </w:r>
    </w:p>
    <w:p w14:paraId="212C2339" w14:textId="77777777" w:rsidR="00FC5566" w:rsidRPr="00FC5566" w:rsidRDefault="00FC5566" w:rsidP="00FC5566">
      <w:pPr>
        <w:tabs>
          <w:tab w:val="left" w:pos="907"/>
        </w:tabs>
        <w:ind w:firstLine="547"/>
        <w:jc w:val="both"/>
        <w:outlineLvl w:val="5"/>
        <w:rPr>
          <w:kern w:val="2"/>
        </w:rPr>
      </w:pPr>
      <w:r w:rsidRPr="00FC5566">
        <w:rPr>
          <w:kern w:val="2"/>
        </w:rPr>
        <w:t>c. - e.</w:t>
      </w:r>
      <w:r w:rsidRPr="00FC5566">
        <w:rPr>
          <w:kern w:val="2"/>
        </w:rPr>
        <w:tab/>
        <w:t>Repealed.</w:t>
      </w:r>
    </w:p>
    <w:p w14:paraId="354FF51C" w14:textId="77777777" w:rsidR="00FC5566" w:rsidRPr="00FC5566" w:rsidRDefault="00FC5566" w:rsidP="00FC5566">
      <w:pPr>
        <w:tabs>
          <w:tab w:val="left" w:pos="144"/>
          <w:tab w:val="left" w:pos="187"/>
          <w:tab w:val="left" w:pos="540"/>
          <w:tab w:val="left" w:pos="990"/>
          <w:tab w:val="left" w:pos="1080"/>
        </w:tabs>
        <w:ind w:firstLine="187"/>
        <w:jc w:val="both"/>
        <w:outlineLvl w:val="3"/>
        <w:rPr>
          <w:kern w:val="2"/>
        </w:rPr>
      </w:pPr>
      <w:r w:rsidRPr="00FC5566">
        <w:rPr>
          <w:rFonts w:eastAsia="Calibri"/>
          <w:kern w:val="2"/>
        </w:rPr>
        <w:t>B.5. - E.</w:t>
      </w:r>
      <w:r w:rsidRPr="00FC5566">
        <w:rPr>
          <w:rFonts w:eastAsia="Calibri"/>
          <w:kern w:val="2"/>
        </w:rPr>
        <w:tab/>
        <w:t>…</w:t>
      </w:r>
    </w:p>
    <w:p w14:paraId="577AFDE0"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17:6 and 17:407.30 et seq.</w:t>
      </w:r>
    </w:p>
    <w:p w14:paraId="246A57E3"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Board of Elementary and Secondary Education, LR 41:2586 (December 2015), amended LR 42:1872 (November 2016), LR 43:2131 (November 2017), LR 44:1440 (August 2018), LR 45:1453 (October 2019), LR 47:452 (April 2021), LR 48:1010 (April 2022), LR 49:1715 (October 2023), LR 52:1329 (August 2026).</w:t>
      </w:r>
    </w:p>
    <w:p w14:paraId="1EBA6D51"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27" w:name="_Toc417576966"/>
      <w:bookmarkStart w:id="128" w:name="_Toc417577021"/>
      <w:bookmarkStart w:id="129" w:name="_Toc419194005"/>
      <w:bookmarkStart w:id="130" w:name="_Toc438552854"/>
      <w:bookmarkStart w:id="131" w:name="_Toc189142898"/>
      <w:r w:rsidRPr="00FC5566">
        <w:rPr>
          <w:b/>
          <w:kern w:val="2"/>
        </w:rPr>
        <w:t>§509.</w:t>
      </w:r>
      <w:r w:rsidRPr="00FC5566">
        <w:rPr>
          <w:b/>
          <w:kern w:val="2"/>
        </w:rPr>
        <w:tab/>
        <w:t>Performance Rating Calculations for Publicly-Funded Sites</w:t>
      </w:r>
      <w:bookmarkEnd w:id="127"/>
      <w:bookmarkEnd w:id="128"/>
      <w:bookmarkEnd w:id="129"/>
      <w:bookmarkEnd w:id="130"/>
      <w:bookmarkEnd w:id="131"/>
    </w:p>
    <w:p w14:paraId="71008BB2"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A.1.</w:t>
      </w:r>
      <w:r w:rsidRPr="00FC5566">
        <w:rPr>
          <w:kern w:val="2"/>
        </w:rPr>
        <w:tab/>
        <w:t>…</w:t>
      </w:r>
    </w:p>
    <w:p w14:paraId="3CFC329C" w14:textId="77777777" w:rsidR="00FC5566" w:rsidRPr="00FC5566" w:rsidRDefault="00FC5566" w:rsidP="00FC5566">
      <w:pPr>
        <w:tabs>
          <w:tab w:val="left" w:pos="720"/>
          <w:tab w:val="left" w:pos="979"/>
          <w:tab w:val="left" w:pos="1152"/>
        </w:tabs>
        <w:ind w:firstLine="360"/>
        <w:jc w:val="both"/>
        <w:outlineLvl w:val="4"/>
        <w:rPr>
          <w:kern w:val="2"/>
        </w:rPr>
      </w:pPr>
      <w:r w:rsidRPr="00FC5566">
        <w:rPr>
          <w:rFonts w:eastAsia="Calibri"/>
          <w:kern w:val="2"/>
        </w:rPr>
        <w:t>2.</w:t>
      </w:r>
      <w:r w:rsidRPr="00FC5566">
        <w:rPr>
          <w:rFonts w:eastAsia="Calibri"/>
          <w:kern w:val="2"/>
        </w:rPr>
        <w:tab/>
      </w:r>
      <w:r w:rsidRPr="00FC5566">
        <w:rPr>
          <w:kern w:val="2"/>
        </w:rPr>
        <w:t>Effective from the 2020-2021 through the 2025-2026 academic year, the performance rating for each publicly-funded site shall be based on the average of the dimension-level infant, toddler, and pre-K-3 observation results from the fall and spring observation periods for all infant, toddler, and pre-K classrooms within the site, excluding the negative climate dimensions.</w:t>
      </w:r>
    </w:p>
    <w:p w14:paraId="322E69C2" w14:textId="77777777" w:rsidR="00FC5566" w:rsidRPr="00FC5566" w:rsidRDefault="00FC5566" w:rsidP="00FC5566">
      <w:pPr>
        <w:tabs>
          <w:tab w:val="left" w:pos="907"/>
        </w:tabs>
        <w:ind w:firstLine="547"/>
        <w:jc w:val="both"/>
        <w:outlineLvl w:val="5"/>
        <w:rPr>
          <w:kern w:val="2"/>
        </w:rPr>
      </w:pPr>
      <w:r w:rsidRPr="00FC5566">
        <w:rPr>
          <w:kern w:val="2"/>
        </w:rPr>
        <w:t>a. - a.ii.</w:t>
      </w:r>
      <w:r w:rsidRPr="00FC5566">
        <w:rPr>
          <w:kern w:val="2"/>
        </w:rPr>
        <w:tab/>
        <w:t>…</w:t>
      </w:r>
    </w:p>
    <w:p w14:paraId="399BFE36"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w:t>
      </w:r>
    </w:p>
    <w:p w14:paraId="30742314" w14:textId="77777777" w:rsidR="00FC5566" w:rsidRPr="00FC5566" w:rsidRDefault="00FC5566" w:rsidP="00FC5566">
      <w:pPr>
        <w:tabs>
          <w:tab w:val="left" w:pos="720"/>
          <w:tab w:val="left" w:pos="979"/>
          <w:tab w:val="left" w:pos="1152"/>
        </w:tabs>
        <w:ind w:firstLine="360"/>
        <w:jc w:val="both"/>
        <w:outlineLvl w:val="4"/>
        <w:rPr>
          <w:rFonts w:eastAsia="Calibri"/>
          <w:strike/>
          <w:kern w:val="2"/>
        </w:rPr>
      </w:pPr>
      <w:r w:rsidRPr="00FC5566">
        <w:rPr>
          <w:rFonts w:eastAsia="Calibri"/>
          <w:kern w:val="2"/>
        </w:rPr>
        <w:t>4.</w:t>
      </w:r>
      <w:r w:rsidRPr="00FC5566">
        <w:rPr>
          <w:rFonts w:eastAsia="Calibri"/>
          <w:kern w:val="2"/>
        </w:rPr>
        <w:tab/>
        <w:t xml:space="preserve">Sites that have classrooms which receive a score of 3.5 or above for the negative climate dimension will receive a notice in writing at the end of the observation period in which the score was received. If a site receives a notice for two consecutive observation periods, an indicator of high negative climate may be reported on the performance profile. </w:t>
      </w:r>
    </w:p>
    <w:p w14:paraId="7272785A" w14:textId="77777777" w:rsidR="00FC5566" w:rsidRPr="00FC5566" w:rsidRDefault="00FC5566" w:rsidP="00FC5566">
      <w:pPr>
        <w:tabs>
          <w:tab w:val="left" w:pos="720"/>
          <w:tab w:val="left" w:pos="979"/>
          <w:tab w:val="left" w:pos="1152"/>
        </w:tabs>
        <w:ind w:firstLine="360"/>
        <w:jc w:val="both"/>
        <w:outlineLvl w:val="4"/>
        <w:rPr>
          <w:kern w:val="2"/>
        </w:rPr>
      </w:pPr>
      <w:r w:rsidRPr="00FC5566">
        <w:rPr>
          <w:rFonts w:eastAsia="Calibri"/>
          <w:kern w:val="2"/>
        </w:rPr>
        <w:t>5.</w:t>
      </w:r>
      <w:r w:rsidRPr="00FC5566">
        <w:rPr>
          <w:rFonts w:eastAsia="Calibri"/>
          <w:kern w:val="2"/>
        </w:rPr>
        <w:tab/>
      </w:r>
      <w:r w:rsidRPr="00FC5566">
        <w:rPr>
          <w:kern w:val="2"/>
        </w:rPr>
        <w:t>Beginning with the 2026-2027 academic year and beyond, the performance rating for each publicly-funded site shall be based on the average of the dimension-level infant-toddler and pre-K-3</w:t>
      </w:r>
      <w:r w:rsidRPr="00FC5566">
        <w:rPr>
          <w:kern w:val="2"/>
          <w:vertAlign w:val="superscript"/>
        </w:rPr>
        <w:t>rd</w:t>
      </w:r>
      <w:r w:rsidRPr="00FC5566">
        <w:rPr>
          <w:kern w:val="2"/>
        </w:rPr>
        <w:t xml:space="preserve"> observation results from the fall and spring observation periods for all infant, toddler, and pre-K classrooms within the site, excluding the negative climate dimensions. </w:t>
      </w:r>
    </w:p>
    <w:p w14:paraId="2C7FF67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lastRenderedPageBreak/>
        <w:t>B. - G.</w:t>
      </w:r>
      <w:r w:rsidRPr="00FC5566">
        <w:rPr>
          <w:kern w:val="2"/>
        </w:rPr>
        <w:tab/>
        <w:t xml:space="preserve">… </w:t>
      </w:r>
    </w:p>
    <w:p w14:paraId="441F81CF"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17:6 and 17:407.21 et seq.</w:t>
      </w:r>
    </w:p>
    <w:p w14:paraId="07C3B3BA"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Board of Elementary and Secondary Education, LR 41:2587 (December 2015), amended LR 42:1873 (November 2016), LR 44:1442 (August 2018), LR 45:1453 (October 2019), LR 47:1286 (September 2021), LR 48:1010 (April 2022), LR 49:1716 (October 2023), LR 52:1329 (August 2026).</w:t>
      </w:r>
    </w:p>
    <w:p w14:paraId="79D28BA8"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32" w:name="_Toc417576967"/>
      <w:bookmarkStart w:id="133" w:name="_Toc417577022"/>
      <w:bookmarkStart w:id="134" w:name="_Toc419194006"/>
      <w:bookmarkStart w:id="135" w:name="_Toc438552855"/>
      <w:bookmarkStart w:id="136" w:name="_Toc189142899"/>
      <w:r w:rsidRPr="00FC5566">
        <w:rPr>
          <w:b/>
          <w:kern w:val="2"/>
        </w:rPr>
        <w:t>§511.</w:t>
      </w:r>
      <w:r w:rsidRPr="00FC5566">
        <w:rPr>
          <w:b/>
          <w:kern w:val="2"/>
        </w:rPr>
        <w:tab/>
        <w:t>Performance Rating Calculations for Community Networks</w:t>
      </w:r>
      <w:bookmarkEnd w:id="132"/>
      <w:bookmarkEnd w:id="133"/>
      <w:bookmarkEnd w:id="134"/>
      <w:bookmarkEnd w:id="135"/>
      <w:bookmarkEnd w:id="136"/>
    </w:p>
    <w:p w14:paraId="1D44A8DD" w14:textId="77777777" w:rsidR="00FC5566" w:rsidRPr="00FC5566" w:rsidRDefault="00FC5566" w:rsidP="00FC5566">
      <w:pPr>
        <w:tabs>
          <w:tab w:val="left" w:pos="144"/>
          <w:tab w:val="left" w:pos="187"/>
          <w:tab w:val="left" w:pos="540"/>
          <w:tab w:val="left" w:pos="990"/>
          <w:tab w:val="left" w:pos="1080"/>
        </w:tabs>
        <w:ind w:firstLine="187"/>
        <w:jc w:val="both"/>
        <w:outlineLvl w:val="3"/>
        <w:rPr>
          <w:kern w:val="2"/>
        </w:rPr>
      </w:pPr>
      <w:r w:rsidRPr="00FC5566">
        <w:rPr>
          <w:kern w:val="2"/>
        </w:rPr>
        <w:t>A. - A.3.</w:t>
      </w:r>
      <w:r w:rsidRPr="00FC5566">
        <w:rPr>
          <w:kern w:val="2"/>
        </w:rPr>
        <w:tab/>
        <w:t>…</w:t>
      </w:r>
    </w:p>
    <w:p w14:paraId="6E0EF170" w14:textId="77777777" w:rsidR="00FC5566" w:rsidRPr="00FC5566" w:rsidRDefault="00FC5566" w:rsidP="00FC5566">
      <w:pPr>
        <w:tabs>
          <w:tab w:val="left" w:pos="144"/>
          <w:tab w:val="left" w:pos="187"/>
          <w:tab w:val="left" w:pos="540"/>
          <w:tab w:val="left" w:pos="907"/>
          <w:tab w:val="left" w:pos="1080"/>
        </w:tabs>
        <w:ind w:firstLine="187"/>
        <w:jc w:val="both"/>
        <w:outlineLvl w:val="3"/>
        <w:rPr>
          <w:strike/>
          <w:kern w:val="2"/>
        </w:rPr>
      </w:pPr>
      <w:r w:rsidRPr="00FC5566">
        <w:rPr>
          <w:kern w:val="2"/>
        </w:rPr>
        <w:t>B.</w:t>
      </w:r>
      <w:r w:rsidRPr="00FC5566">
        <w:rPr>
          <w:kern w:val="2"/>
        </w:rPr>
        <w:tab/>
        <w:t xml:space="preserve">Prior to the 2020-2021 academic year, </w:t>
      </w:r>
      <w:r w:rsidRPr="00FC5566">
        <w:rPr>
          <w:i/>
          <w:kern w:val="2"/>
        </w:rPr>
        <w:t>CLASS</w:t>
      </w:r>
      <w:r w:rsidRPr="00FC5566">
        <w:rPr>
          <w:i/>
          <w:kern w:val="2"/>
          <w:vertAlign w:val="superscript"/>
        </w:rPr>
        <w:t>®</w:t>
      </w:r>
      <w:r w:rsidRPr="00FC5566">
        <w:rPr>
          <w:kern w:val="2"/>
        </w:rPr>
        <w:t xml:space="preserve"> observation results will be determined by averaging the results of all fall and spring dimension-level toddler and pre-K-3 observation results for all toddler and pre-K classrooms within the community network excluding negative climate. </w:t>
      </w:r>
    </w:p>
    <w:p w14:paraId="4E5136A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B.1. - I.</w:t>
      </w:r>
      <w:r w:rsidRPr="00FC5566">
        <w:rPr>
          <w:kern w:val="2"/>
        </w:rPr>
        <w:tab/>
        <w:t>…</w:t>
      </w:r>
    </w:p>
    <w:p w14:paraId="1CAA339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J.</w:t>
      </w:r>
      <w:r w:rsidRPr="00FC5566">
        <w:rPr>
          <w:kern w:val="2"/>
        </w:rPr>
        <w:tab/>
        <w:t xml:space="preserve">Effective from the 2020-2021 through the 2025-2026 academic year, the </w:t>
      </w:r>
      <w:r w:rsidRPr="00FC5566">
        <w:rPr>
          <w:i/>
          <w:kern w:val="2"/>
        </w:rPr>
        <w:t>CLASS</w:t>
      </w:r>
      <w:r w:rsidRPr="00FC5566">
        <w:rPr>
          <w:i/>
          <w:kern w:val="2"/>
          <w:vertAlign w:val="superscript"/>
        </w:rPr>
        <w:t>®</w:t>
      </w:r>
      <w:r w:rsidRPr="00FC5566">
        <w:rPr>
          <w:kern w:val="2"/>
        </w:rPr>
        <w:t xml:space="preserve"> observation results will be determined by averaging the results of all fall and spring dimension-level infant, toddler, and pre-K observation results for all infant, toddler, and pre-K classrooms within the community network, excluding negative climate.</w:t>
      </w:r>
    </w:p>
    <w:p w14:paraId="48899439"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K.</w:t>
      </w:r>
      <w:r w:rsidRPr="00FC5566">
        <w:rPr>
          <w:kern w:val="2"/>
        </w:rPr>
        <w:tab/>
        <w:t xml:space="preserve">Effective from the 2026-2027 academic year and beyond, the </w:t>
      </w:r>
      <w:r w:rsidRPr="00FC5566">
        <w:rPr>
          <w:i/>
          <w:kern w:val="2"/>
        </w:rPr>
        <w:t>CLASS</w:t>
      </w:r>
      <w:r w:rsidRPr="00FC5566">
        <w:rPr>
          <w:i/>
          <w:kern w:val="2"/>
          <w:vertAlign w:val="superscript"/>
        </w:rPr>
        <w:t>®</w:t>
      </w:r>
      <w:r w:rsidRPr="00FC5566">
        <w:rPr>
          <w:kern w:val="2"/>
        </w:rPr>
        <w:t xml:space="preserve"> observation results will be determined by averaging the results of all fall and spring dimension-level infant-toddler and pre-K observation results for all infant, toddler, and pre-K classrooms within the community network, excluding negative climate.</w:t>
      </w:r>
    </w:p>
    <w:p w14:paraId="61083848"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17:6 and 17:407.21 et seq.</w:t>
      </w:r>
    </w:p>
    <w:p w14:paraId="1363F960"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Board of Elementary and Secondary Education, LR 41:2588 (December 2015), amended LR 42:1874 (November 2016), LR 44:1442 (August 2018), LR 45:1454 (October 2019), LR 47:1286 (September 2021), LR 49:1716 (October 2023), LR 52:1330 (August 2026).</w:t>
      </w:r>
    </w:p>
    <w:p w14:paraId="7D629BD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p w14:paraId="4B0130EA" w14:textId="77777777" w:rsidR="00FC5566" w:rsidRPr="00FC5566" w:rsidRDefault="00FC5566" w:rsidP="00FC5566">
      <w:pPr>
        <w:keepNext/>
        <w:ind w:left="2160"/>
        <w:jc w:val="both"/>
      </w:pPr>
      <w:r w:rsidRPr="00FC5566">
        <w:t>Tavares A. Walker</w:t>
      </w:r>
    </w:p>
    <w:p w14:paraId="07BE68A3" w14:textId="77777777" w:rsidR="00FC5566" w:rsidRPr="00FC5566" w:rsidRDefault="00FC5566" w:rsidP="00FC5566">
      <w:pPr>
        <w:keepNext/>
        <w:ind w:left="2160"/>
        <w:jc w:val="both"/>
      </w:pPr>
      <w:r w:rsidRPr="00FC5566">
        <w:t>Executive Director</w:t>
      </w:r>
    </w:p>
    <w:p w14:paraId="2EC0F0B6" w14:textId="77777777" w:rsidR="00FC5566" w:rsidRPr="00FC5566" w:rsidRDefault="00FC5566" w:rsidP="00FC5566">
      <w:pPr>
        <w:rPr>
          <w:noProof/>
          <w:sz w:val="16"/>
        </w:rPr>
      </w:pPr>
      <w:r w:rsidRPr="00FC5566">
        <w:rPr>
          <w:noProof/>
          <w:sz w:val="16"/>
        </w:rPr>
        <w:t>2608#048</w:t>
      </w:r>
    </w:p>
    <w:p w14:paraId="3ADF3223" w14:textId="77777777" w:rsidR="00FC5566" w:rsidRPr="00FC5566" w:rsidRDefault="00FC5566" w:rsidP="00FC5566"/>
    <w:p w14:paraId="1F932F26" w14:textId="77777777" w:rsidR="00FC5566" w:rsidRPr="00FC5566" w:rsidRDefault="00FC5566" w:rsidP="00FC5566">
      <w:pPr>
        <w:keepNext/>
        <w:tabs>
          <w:tab w:val="left" w:pos="-1440"/>
        </w:tabs>
        <w:spacing w:after="120"/>
        <w:jc w:val="center"/>
        <w:rPr>
          <w:b/>
          <w:noProof/>
        </w:rPr>
      </w:pPr>
      <w:r w:rsidRPr="00FC5566">
        <w:rPr>
          <w:b/>
          <w:noProof/>
        </w:rPr>
        <w:t>RULE</w:t>
      </w:r>
    </w:p>
    <w:p w14:paraId="6C8494C0" w14:textId="77777777" w:rsidR="00FC5566" w:rsidRPr="00FC5566" w:rsidRDefault="00FC5566" w:rsidP="00FC5566">
      <w:pPr>
        <w:keepNext/>
        <w:jc w:val="center"/>
        <w:rPr>
          <w:b/>
          <w:noProof/>
        </w:rPr>
      </w:pPr>
      <w:r w:rsidRPr="00FC5566">
        <w:rPr>
          <w:b/>
          <w:noProof/>
        </w:rPr>
        <w:t>Board of Elementary and Secondary Education</w:t>
      </w:r>
    </w:p>
    <w:p w14:paraId="354B82AF" w14:textId="77777777" w:rsidR="00FC5566" w:rsidRPr="00FC5566" w:rsidRDefault="00FC5566" w:rsidP="00FC5566">
      <w:pPr>
        <w:keepNext/>
        <w:spacing w:before="240" w:after="240"/>
        <w:jc w:val="center"/>
        <w:rPr>
          <w:bCs/>
          <w:noProof/>
        </w:rPr>
      </w:pPr>
      <w:r w:rsidRPr="00FC5566">
        <w:rPr>
          <w:noProof/>
        </w:rPr>
        <w:t>Bulletin 741—Louisiana Handbook for School Administrators and Bulletin 126—Charter Schools</w:t>
      </w:r>
      <w:r w:rsidRPr="00FC5566">
        <w:rPr>
          <w:noProof/>
        </w:rPr>
        <w:br/>
        <w:t xml:space="preserve">Ten Commandments </w:t>
      </w:r>
      <w:r w:rsidRPr="00FC5566">
        <w:rPr>
          <w:noProof/>
        </w:rPr>
        <w:br/>
      </w:r>
      <w:r w:rsidRPr="00FC5566">
        <w:rPr>
          <w:bCs/>
          <w:noProof/>
        </w:rPr>
        <w:t>(</w:t>
      </w:r>
      <w:r w:rsidRPr="00FC5566">
        <w:rPr>
          <w:noProof/>
        </w:rPr>
        <w:t>LAC 28:CXV.337 and LAC 28:CXXXIX.4003</w:t>
      </w:r>
      <w:r w:rsidRPr="00FC5566">
        <w:rPr>
          <w:bCs/>
          <w:noProof/>
        </w:rPr>
        <w:t>)</w:t>
      </w:r>
    </w:p>
    <w:p w14:paraId="2CE15402"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 xml:space="preserve">In accordance with the provisions of R.S. 17:6(A)(10) and the Administrative Procedure Act (APA), R.S. 49:953(B)(1) et seq., the Board of Elementary and Secondary Education (BESE) has amended LAC 28:CXV in </w:t>
      </w:r>
      <w:r w:rsidRPr="00FC5566">
        <w:rPr>
          <w:i/>
          <w:kern w:val="2"/>
        </w:rPr>
        <w:t>Bulletin</w:t>
      </w:r>
      <w:r w:rsidRPr="00FC5566">
        <w:rPr>
          <w:kern w:val="2"/>
        </w:rPr>
        <w:t xml:space="preserve"> </w:t>
      </w:r>
      <w:r w:rsidRPr="00FC5566">
        <w:rPr>
          <w:i/>
          <w:kern w:val="2"/>
        </w:rPr>
        <w:t xml:space="preserve">741–Louisiana Handbook for School Administrators </w:t>
      </w:r>
      <w:r w:rsidRPr="00FC5566">
        <w:rPr>
          <w:kern w:val="2"/>
        </w:rPr>
        <w:t xml:space="preserve">and LAC 28:CXXXIX in </w:t>
      </w:r>
      <w:r w:rsidRPr="00FC5566">
        <w:rPr>
          <w:i/>
          <w:kern w:val="2"/>
        </w:rPr>
        <w:t>Bulletin 126—Charter Schools</w:t>
      </w:r>
      <w:r w:rsidRPr="00FC5566">
        <w:rPr>
          <w:kern w:val="2"/>
        </w:rPr>
        <w:t xml:space="preserve">. </w:t>
      </w:r>
      <w:r w:rsidRPr="00FC5566">
        <w:rPr>
          <w:color w:val="222222"/>
          <w:kern w:val="2"/>
          <w:shd w:val="clear" w:color="auto" w:fill="FFFFFF"/>
        </w:rPr>
        <w:t xml:space="preserve">During the 2024 Regular Legislative Session, Act 676 was enacted that requires revisions to Board of Elementary and Secondary Education (BESE) policy regarding display of the Ten Commandments in classrooms. This Rule is hereby adopted on the day of promulgation. </w:t>
      </w:r>
    </w:p>
    <w:p w14:paraId="5B60A1CC" w14:textId="77777777" w:rsidR="00FC5566" w:rsidRPr="00FC5566" w:rsidRDefault="00FC5566" w:rsidP="00FC5566">
      <w:pPr>
        <w:keepNext/>
        <w:jc w:val="center"/>
        <w:rPr>
          <w:b/>
          <w:kern w:val="28"/>
        </w:rPr>
      </w:pPr>
      <w:r w:rsidRPr="00FC5566">
        <w:rPr>
          <w:b/>
          <w:kern w:val="28"/>
        </w:rPr>
        <w:t>Title 28</w:t>
      </w:r>
    </w:p>
    <w:p w14:paraId="252BFD7B" w14:textId="77777777" w:rsidR="00FC5566" w:rsidRPr="00FC5566" w:rsidRDefault="00FC5566" w:rsidP="00FC5566">
      <w:pPr>
        <w:keepNext/>
        <w:jc w:val="center"/>
        <w:rPr>
          <w:b/>
          <w:kern w:val="28"/>
        </w:rPr>
      </w:pPr>
      <w:r w:rsidRPr="00FC5566">
        <w:rPr>
          <w:b/>
          <w:kern w:val="28"/>
        </w:rPr>
        <w:t>EDUCATION</w:t>
      </w:r>
    </w:p>
    <w:p w14:paraId="23A82084" w14:textId="77777777" w:rsidR="00FC5566" w:rsidRPr="00FC5566" w:rsidRDefault="00FC5566" w:rsidP="00FC5566">
      <w:pPr>
        <w:keepNext/>
        <w:jc w:val="center"/>
        <w:rPr>
          <w:b/>
          <w:noProof/>
        </w:rPr>
      </w:pPr>
      <w:r w:rsidRPr="00FC5566">
        <w:rPr>
          <w:b/>
          <w:noProof/>
        </w:rPr>
        <w:t>Part CXV.  Bulletin 741—Louisiana Handbook for School Administrators</w:t>
      </w:r>
    </w:p>
    <w:p w14:paraId="03F430B6"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§337.</w:t>
      </w:r>
      <w:r w:rsidRPr="00FC5566">
        <w:rPr>
          <w:b/>
          <w:kern w:val="2"/>
        </w:rPr>
        <w:tab/>
        <w:t>Written Policies and Procedures</w:t>
      </w:r>
    </w:p>
    <w:p w14:paraId="49FD77E7"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B.36.</w:t>
      </w:r>
      <w:r w:rsidRPr="00FC5566">
        <w:rPr>
          <w:kern w:val="2"/>
        </w:rPr>
        <w:tab/>
        <w:t>…</w:t>
      </w:r>
    </w:p>
    <w:p w14:paraId="1BEDC531"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37.</w:t>
      </w:r>
      <w:r w:rsidRPr="00FC5566">
        <w:rPr>
          <w:kern w:val="2"/>
        </w:rPr>
        <w:tab/>
        <w:t>allowing students enrolled in approved home study programs to try out or apply for extracurricular activities or interscholastic athletics in accordance with R.S. 17:176.2;</w:t>
      </w:r>
    </w:p>
    <w:p w14:paraId="0BB2AE56"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38.</w:t>
      </w:r>
      <w:r w:rsidRPr="00FC5566">
        <w:rPr>
          <w:kern w:val="2"/>
        </w:rPr>
        <w:tab/>
        <w:t>display of the Ten Commandments in each classroom in each school under its jurisdiction in accordance with R.S. 17:2124.</w:t>
      </w:r>
    </w:p>
    <w:p w14:paraId="60D6E24C"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w:t>
      </w:r>
    </w:p>
    <w:p w14:paraId="2EB45B45"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17:6, R.S. 17:7(29), R.S. 17:81, R.S. 17:240, R.S. 17:100.8, 17:184, and R.S.17:437.2.</w:t>
      </w:r>
    </w:p>
    <w:p w14:paraId="581E41DA"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Board of Elementary and Secondary Education, LR 31:1261 (June 2005), amended LR 33:429 (March 2007), LR 35:1101 (June 2009), LR 36:1224 (June 2010), LR 37:1141 (April 2011), LR 37:1380, 1380 (May 2011), LR 37:2134 (July 2011), LR 38:40, 41 (January 2012), LR 39:2197 (August 2013), LR 40:2530 (December 2014), LR 48:1273 (May 2022), LR 49:33 (January 2023), LR 49:250 (February 2023), repromulgated LR 49:855 (May 2023), amended LR 50:175 (February 2024), LR 51:49 (January 2025), LR 52:1330 (August 2026).</w:t>
      </w:r>
    </w:p>
    <w:p w14:paraId="1BD13598" w14:textId="77777777" w:rsidR="00FC5566" w:rsidRPr="00FC5566" w:rsidRDefault="00FC5566" w:rsidP="00FC5566">
      <w:pPr>
        <w:keepNext/>
        <w:jc w:val="center"/>
        <w:rPr>
          <w:b/>
          <w:noProof/>
        </w:rPr>
      </w:pPr>
      <w:r w:rsidRPr="00FC5566">
        <w:rPr>
          <w:b/>
          <w:noProof/>
        </w:rPr>
        <w:t>Part CXXXIX.  Bulletin 126—Charter Schools</w:t>
      </w:r>
    </w:p>
    <w:p w14:paraId="4401C330"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§4003.</w:t>
      </w:r>
      <w:r w:rsidRPr="00FC5566">
        <w:rPr>
          <w:b/>
          <w:kern w:val="2"/>
        </w:rPr>
        <w:tab/>
        <w:t>Applicability of State Laws</w:t>
      </w:r>
    </w:p>
    <w:p w14:paraId="12A9E068"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A.50.</w:t>
      </w:r>
      <w:r w:rsidRPr="00FC5566">
        <w:rPr>
          <w:kern w:val="2"/>
        </w:rPr>
        <w:tab/>
        <w:t>…</w:t>
      </w:r>
    </w:p>
    <w:p w14:paraId="1A12B2B3"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51.</w:t>
      </w:r>
      <w:r w:rsidRPr="00FC5566">
        <w:rPr>
          <w:kern w:val="2"/>
        </w:rPr>
        <w:tab/>
        <w:t>display of the Ten Commandments in each classroom in each school under its jurisdiction in accordance with R.S. 17:2124.</w:t>
      </w:r>
    </w:p>
    <w:p w14:paraId="5A5E4A5A"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17:6(A)(10) and R.S. 17:3996.</w:t>
      </w:r>
    </w:p>
    <w:p w14:paraId="6E5749EA"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Board of Elementary and Secondary Education in LR 44:246 (February 2018), amended LR 48:1269 (May 2022), LR 50:178 (February 2024), LR 50:657 (May 2024), repromulgated LR 50:783 (June 2024), amended LR 51:42 (January 2025), LR 51:2065 (December 2025), LR 52:1330 (August 2026).</w:t>
      </w:r>
    </w:p>
    <w:p w14:paraId="25BB937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p w14:paraId="28140C3A" w14:textId="77777777" w:rsidR="00FC5566" w:rsidRPr="00FC5566" w:rsidRDefault="00FC5566" w:rsidP="00FC5566">
      <w:pPr>
        <w:keepNext/>
        <w:ind w:left="2160"/>
        <w:jc w:val="both"/>
      </w:pPr>
      <w:r w:rsidRPr="00FC5566">
        <w:t>Tavares A. Walker</w:t>
      </w:r>
    </w:p>
    <w:p w14:paraId="2425CD10" w14:textId="77777777" w:rsidR="00FC5566" w:rsidRPr="00FC5566" w:rsidRDefault="00FC5566" w:rsidP="00FC5566">
      <w:pPr>
        <w:keepNext/>
        <w:ind w:left="2160"/>
        <w:jc w:val="both"/>
      </w:pPr>
      <w:r w:rsidRPr="00FC5566">
        <w:t>Executive Director</w:t>
      </w:r>
    </w:p>
    <w:p w14:paraId="593896EF" w14:textId="77777777" w:rsidR="00FC5566" w:rsidRPr="00FC5566" w:rsidRDefault="00FC5566" w:rsidP="00FC5566">
      <w:pPr>
        <w:rPr>
          <w:noProof/>
          <w:sz w:val="16"/>
        </w:rPr>
      </w:pPr>
      <w:r w:rsidRPr="00FC5566">
        <w:rPr>
          <w:noProof/>
          <w:sz w:val="16"/>
        </w:rPr>
        <w:t>2608#047</w:t>
      </w:r>
    </w:p>
    <w:p w14:paraId="6B032A89" w14:textId="77777777" w:rsidR="00FC5566" w:rsidRPr="00FC5566" w:rsidRDefault="00FC5566" w:rsidP="00FC5566"/>
    <w:p w14:paraId="7383B032" w14:textId="77777777" w:rsidR="00FC5566" w:rsidRPr="00FC5566" w:rsidRDefault="00FC5566" w:rsidP="00FC5566">
      <w:pPr>
        <w:keepNext/>
        <w:tabs>
          <w:tab w:val="left" w:pos="-1440"/>
        </w:tabs>
        <w:spacing w:after="120"/>
        <w:jc w:val="center"/>
        <w:rPr>
          <w:b/>
          <w:noProof/>
        </w:rPr>
      </w:pPr>
      <w:r w:rsidRPr="00FC5566">
        <w:rPr>
          <w:b/>
          <w:noProof/>
        </w:rPr>
        <w:t>RULE</w:t>
      </w:r>
    </w:p>
    <w:p w14:paraId="1E0B53B2" w14:textId="77777777" w:rsidR="00FC5566" w:rsidRPr="00FC5566" w:rsidRDefault="00FC5566" w:rsidP="00FC5566">
      <w:pPr>
        <w:keepNext/>
        <w:jc w:val="center"/>
        <w:rPr>
          <w:b/>
          <w:noProof/>
        </w:rPr>
      </w:pPr>
      <w:r w:rsidRPr="00FC5566">
        <w:rPr>
          <w:b/>
          <w:noProof/>
        </w:rPr>
        <w:t>Board of Elementary and Secondary Education</w:t>
      </w:r>
    </w:p>
    <w:p w14:paraId="33968BF0" w14:textId="77777777" w:rsidR="00FC5566" w:rsidRPr="00FC5566" w:rsidRDefault="00FC5566" w:rsidP="00FC5566">
      <w:pPr>
        <w:keepNext/>
        <w:spacing w:before="240" w:after="240"/>
        <w:jc w:val="center"/>
        <w:rPr>
          <w:bCs/>
          <w:noProof/>
        </w:rPr>
      </w:pPr>
      <w:r w:rsidRPr="00FC5566">
        <w:rPr>
          <w:noProof/>
        </w:rPr>
        <w:t>Special Education</w:t>
      </w:r>
      <w:r w:rsidRPr="00FC5566">
        <w:rPr>
          <w:noProof/>
        </w:rPr>
        <w:br/>
      </w:r>
      <w:r w:rsidRPr="00FC5566">
        <w:rPr>
          <w:bCs/>
          <w:noProof/>
        </w:rPr>
        <w:t>(LAC 28:XLIII.151, 153, and 509; LAC 28:LXI.101, L</w:t>
      </w:r>
      <w:r w:rsidRPr="00FC5566">
        <w:rPr>
          <w:noProof/>
        </w:rPr>
        <w:t>AC 28:XCVII.125; LAC 28:CI.501, 703, 709, 719, 725, 901, 1101, and 1513</w:t>
      </w:r>
      <w:r w:rsidRPr="00FC5566">
        <w:rPr>
          <w:bCs/>
          <w:noProof/>
        </w:rPr>
        <w:t xml:space="preserve">; 307, 501, 503, 505, 507, 509, 511, and 513) </w:t>
      </w:r>
    </w:p>
    <w:p w14:paraId="31833979" w14:textId="77777777" w:rsidR="00FC5566" w:rsidRPr="00FC5566" w:rsidRDefault="00FC5566" w:rsidP="00FC5566">
      <w:pPr>
        <w:tabs>
          <w:tab w:val="left" w:pos="144"/>
          <w:tab w:val="left" w:pos="187"/>
          <w:tab w:val="left" w:pos="540"/>
          <w:tab w:val="left" w:pos="907"/>
          <w:tab w:val="left" w:pos="1080"/>
        </w:tabs>
        <w:ind w:firstLine="187"/>
        <w:jc w:val="both"/>
        <w:outlineLvl w:val="3"/>
        <w:rPr>
          <w:i/>
          <w:noProof/>
          <w:kern w:val="2"/>
        </w:rPr>
      </w:pPr>
      <w:r w:rsidRPr="00FC5566">
        <w:rPr>
          <w:kern w:val="2"/>
        </w:rPr>
        <w:t>In accordance with the provisions of R.S. 17:6(A)(10) and the Administrative Procedure Act (APA), R.S. 49:953(B)(1) et seq., the Board of Elementary and Secondary Education (BESE) has amended LAC 28:</w:t>
      </w:r>
      <w:r w:rsidRPr="00FC5566">
        <w:rPr>
          <w:noProof/>
          <w:kern w:val="2"/>
        </w:rPr>
        <w:t>CI</w:t>
      </w:r>
      <w:r w:rsidRPr="00FC5566">
        <w:rPr>
          <w:kern w:val="2"/>
        </w:rPr>
        <w:t xml:space="preserve"> in </w:t>
      </w:r>
      <w:r w:rsidRPr="00FC5566">
        <w:rPr>
          <w:i/>
          <w:noProof/>
          <w:kern w:val="2"/>
        </w:rPr>
        <w:t xml:space="preserve">Bulletin 1508—Pupil </w:t>
      </w:r>
      <w:r w:rsidRPr="00FC5566">
        <w:rPr>
          <w:i/>
          <w:kern w:val="2"/>
        </w:rPr>
        <w:t xml:space="preserve">Appraisal </w:t>
      </w:r>
      <w:r w:rsidRPr="00FC5566">
        <w:rPr>
          <w:i/>
          <w:noProof/>
          <w:kern w:val="2"/>
        </w:rPr>
        <w:t>Handbook,</w:t>
      </w:r>
      <w:r w:rsidRPr="00FC5566">
        <w:rPr>
          <w:kern w:val="2"/>
        </w:rPr>
        <w:t xml:space="preserve"> LAC 28:</w:t>
      </w:r>
      <w:r w:rsidRPr="00FC5566">
        <w:rPr>
          <w:noProof/>
          <w:kern w:val="2"/>
        </w:rPr>
        <w:t>XCVII</w:t>
      </w:r>
      <w:r w:rsidRPr="00FC5566">
        <w:rPr>
          <w:kern w:val="2"/>
        </w:rPr>
        <w:t xml:space="preserve"> in </w:t>
      </w:r>
      <w:r w:rsidRPr="00FC5566">
        <w:rPr>
          <w:i/>
          <w:noProof/>
          <w:kern w:val="2"/>
        </w:rPr>
        <w:t xml:space="preserve">Bulletin 1530—Louisiana’s IEP Handbook for Students with Exceptionalities, </w:t>
      </w:r>
      <w:r w:rsidRPr="00FC5566">
        <w:rPr>
          <w:noProof/>
          <w:kern w:val="2"/>
        </w:rPr>
        <w:t>LAC 28</w:t>
      </w:r>
      <w:r w:rsidRPr="00FC5566">
        <w:rPr>
          <w:i/>
          <w:noProof/>
          <w:kern w:val="2"/>
        </w:rPr>
        <w:t>:</w:t>
      </w:r>
      <w:r w:rsidRPr="00FC5566">
        <w:rPr>
          <w:bCs/>
          <w:noProof/>
          <w:kern w:val="2"/>
        </w:rPr>
        <w:t xml:space="preserve">LXI in </w:t>
      </w:r>
      <w:r w:rsidRPr="00FC5566">
        <w:rPr>
          <w:i/>
          <w:noProof/>
          <w:kern w:val="2"/>
        </w:rPr>
        <w:t xml:space="preserve">Bulletin 1573—Complaint Management </w:t>
      </w:r>
      <w:r w:rsidRPr="00FC5566">
        <w:rPr>
          <w:i/>
          <w:noProof/>
          <w:kern w:val="2"/>
        </w:rPr>
        <w:br w:type="page"/>
      </w:r>
    </w:p>
    <w:p w14:paraId="1240B525" w14:textId="77777777" w:rsidR="00FC5566" w:rsidRPr="00FC5566" w:rsidRDefault="00FC5566" w:rsidP="00FC5566">
      <w:pPr>
        <w:tabs>
          <w:tab w:val="left" w:pos="144"/>
          <w:tab w:val="left" w:pos="187"/>
          <w:tab w:val="left" w:pos="540"/>
          <w:tab w:val="left" w:pos="907"/>
          <w:tab w:val="left" w:pos="1080"/>
        </w:tabs>
        <w:jc w:val="both"/>
        <w:outlineLvl w:val="3"/>
        <w:rPr>
          <w:color w:val="222222"/>
          <w:kern w:val="2"/>
          <w:shd w:val="clear" w:color="auto" w:fill="FFFFFF"/>
        </w:rPr>
      </w:pPr>
      <w:r w:rsidRPr="00FC5566">
        <w:rPr>
          <w:i/>
          <w:noProof/>
          <w:kern w:val="2"/>
        </w:rPr>
        <w:lastRenderedPageBreak/>
        <w:t>Procedures</w:t>
      </w:r>
      <w:r w:rsidRPr="00FC5566">
        <w:rPr>
          <w:noProof/>
          <w:kern w:val="2"/>
        </w:rPr>
        <w:t xml:space="preserve">, </w:t>
      </w:r>
      <w:r w:rsidRPr="00FC5566">
        <w:rPr>
          <w:bCs/>
          <w:noProof/>
          <w:kern w:val="2"/>
        </w:rPr>
        <w:t xml:space="preserve">and LAC 28:XLIII in </w:t>
      </w:r>
      <w:r w:rsidRPr="00FC5566">
        <w:rPr>
          <w:i/>
          <w:noProof/>
          <w:kern w:val="2"/>
        </w:rPr>
        <w:t xml:space="preserve">Bulletin 1706—Regulations for Implementation of the Childrenwith Exceptionalities </w:t>
      </w:r>
      <w:r w:rsidRPr="00FC5566">
        <w:rPr>
          <w:noProof/>
          <w:kern w:val="2"/>
        </w:rPr>
        <w:t>regarding differentiated monitoring and support</w:t>
      </w:r>
      <w:r w:rsidRPr="00FC5566">
        <w:rPr>
          <w:kern w:val="2"/>
        </w:rPr>
        <w:t xml:space="preserve">. </w:t>
      </w:r>
      <w:r w:rsidRPr="00FC5566">
        <w:rPr>
          <w:color w:val="222222"/>
          <w:kern w:val="2"/>
          <w:shd w:val="clear" w:color="auto" w:fill="FFFFFF"/>
        </w:rPr>
        <w:t xml:space="preserve">The aforementioned revisions clarify that early resolution programs are voluntary, ensure alignment with IDEA requirements, and include technical edits. This Rule is hereby adopted on the day of promulgation. </w:t>
      </w:r>
    </w:p>
    <w:p w14:paraId="57720C47" w14:textId="77777777" w:rsidR="00FC5566" w:rsidRPr="00FC5566" w:rsidRDefault="00FC5566" w:rsidP="00FC5566">
      <w:pPr>
        <w:keepNext/>
        <w:jc w:val="center"/>
        <w:rPr>
          <w:b/>
          <w:kern w:val="28"/>
        </w:rPr>
      </w:pPr>
      <w:bookmarkStart w:id="137" w:name="_Toc247343161"/>
      <w:bookmarkStart w:id="138" w:name="_Toc406576246"/>
      <w:r w:rsidRPr="00FC5566">
        <w:rPr>
          <w:b/>
          <w:kern w:val="28"/>
        </w:rPr>
        <w:t>Title 28</w:t>
      </w:r>
    </w:p>
    <w:p w14:paraId="4D4DF6B4" w14:textId="77777777" w:rsidR="00FC5566" w:rsidRPr="00FC5566" w:rsidRDefault="00FC5566" w:rsidP="00FC5566">
      <w:pPr>
        <w:keepNext/>
        <w:jc w:val="center"/>
        <w:rPr>
          <w:b/>
          <w:kern w:val="28"/>
        </w:rPr>
      </w:pPr>
      <w:r w:rsidRPr="00FC5566">
        <w:rPr>
          <w:b/>
          <w:kern w:val="28"/>
        </w:rPr>
        <w:t>EDUCATION</w:t>
      </w:r>
    </w:p>
    <w:p w14:paraId="42FE3B58" w14:textId="77777777" w:rsidR="00FC5566" w:rsidRPr="00FC5566" w:rsidRDefault="00FC5566" w:rsidP="00FC5566">
      <w:pPr>
        <w:keepNext/>
        <w:jc w:val="center"/>
        <w:rPr>
          <w:b/>
          <w:noProof/>
        </w:rPr>
      </w:pPr>
      <w:bookmarkStart w:id="139" w:name="_Toc231372518"/>
      <w:bookmarkStart w:id="140" w:name="_Toc446334330"/>
      <w:bookmarkStart w:id="141" w:name="_Toc501545229"/>
      <w:r w:rsidRPr="00FC5566">
        <w:rPr>
          <w:b/>
          <w:noProof/>
        </w:rPr>
        <w:t xml:space="preserve">Part XLIII.  Bulletin 1706―Regulations for Implementation of the Children </w:t>
      </w:r>
      <w:r w:rsidRPr="00FC5566">
        <w:rPr>
          <w:b/>
          <w:noProof/>
        </w:rPr>
        <w:br/>
        <w:t>with Exceptionalities Act</w:t>
      </w:r>
    </w:p>
    <w:p w14:paraId="2E3784A6" w14:textId="77777777" w:rsidR="00FC5566" w:rsidRPr="00FC5566" w:rsidRDefault="00FC5566" w:rsidP="00FC5566">
      <w:pPr>
        <w:keepNext/>
        <w:jc w:val="center"/>
        <w:rPr>
          <w:b/>
          <w:noProof/>
        </w:rPr>
      </w:pPr>
      <w:bookmarkStart w:id="142" w:name="TOC_SubP0"/>
      <w:bookmarkStart w:id="143" w:name="_Toc212443086"/>
      <w:bookmarkStart w:id="144" w:name="_Toc267897239"/>
      <w:bookmarkStart w:id="145" w:name="_Toc273432954"/>
      <w:bookmarkStart w:id="146" w:name="_Toc322501068"/>
      <w:bookmarkStart w:id="147" w:name="_Toc327878403"/>
      <w:bookmarkStart w:id="148" w:name="_Toc501546124"/>
      <w:bookmarkStart w:id="149" w:name="_Toc93669747"/>
      <w:bookmarkStart w:id="150" w:name="_Toc93670467"/>
      <w:bookmarkStart w:id="151" w:name="_Toc217069289"/>
      <w:r w:rsidRPr="00FC5566">
        <w:rPr>
          <w:b/>
          <w:noProof/>
        </w:rPr>
        <w:t>Subpart 1.  Students with Disabilities</w:t>
      </w:r>
      <w:bookmarkEnd w:id="142"/>
      <w:bookmarkEnd w:id="143"/>
      <w:bookmarkEnd w:id="144"/>
      <w:bookmarkEnd w:id="145"/>
      <w:bookmarkEnd w:id="146"/>
      <w:bookmarkEnd w:id="147"/>
      <w:bookmarkEnd w:id="148"/>
      <w:bookmarkEnd w:id="149"/>
      <w:bookmarkEnd w:id="150"/>
      <w:bookmarkEnd w:id="151"/>
    </w:p>
    <w:p w14:paraId="22E89A71"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152" w:name="_Toc212443087"/>
      <w:bookmarkStart w:id="153" w:name="_Toc217069290"/>
      <w:r w:rsidRPr="00FC5566">
        <w:rPr>
          <w:b/>
          <w:kern w:val="2"/>
        </w:rPr>
        <w:t>Chapter 1.</w:t>
      </w:r>
      <w:r w:rsidRPr="00FC5566">
        <w:rPr>
          <w:b/>
          <w:kern w:val="2"/>
        </w:rPr>
        <w:tab/>
        <w:t>State Eligibility</w:t>
      </w:r>
      <w:bookmarkEnd w:id="152"/>
      <w:bookmarkEnd w:id="153"/>
    </w:p>
    <w:p w14:paraId="50799520"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Subchapter J.</w:t>
      </w:r>
      <w:r w:rsidRPr="00FC5566">
        <w:rPr>
          <w:b/>
          <w:kern w:val="2"/>
        </w:rPr>
        <w:tab/>
        <w:t>State Complaint Procedures</w:t>
      </w:r>
    </w:p>
    <w:p w14:paraId="635ACFAE"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54" w:name="_Toc217069348"/>
      <w:r w:rsidRPr="00FC5566">
        <w:rPr>
          <w:b/>
          <w:kern w:val="2"/>
        </w:rPr>
        <w:t>§151.</w:t>
      </w:r>
      <w:r w:rsidRPr="00FC5566">
        <w:rPr>
          <w:b/>
          <w:kern w:val="2"/>
        </w:rPr>
        <w:tab/>
        <w:t>Adoption of State Complaint Procedures and Early Resolution Program</w:t>
      </w:r>
      <w:bookmarkEnd w:id="154"/>
    </w:p>
    <w:p w14:paraId="2DDE24FF"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 xml:space="preserve">Complaint procedures shall be in accordance with LAC 28:LXI </w:t>
      </w:r>
      <w:r w:rsidRPr="00FC5566">
        <w:rPr>
          <w:i/>
          <w:kern w:val="2"/>
        </w:rPr>
        <w:t>Bulletin 1573.</w:t>
      </w:r>
    </w:p>
    <w:p w14:paraId="3E3E1BDC"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The purpose of resolving any complaint alleging that a public agency has violated a requirement of Part B of the Act, including a complaint filed by an organization or individual from another state in accordance with this Subpart by providing:</w:t>
      </w:r>
    </w:p>
    <w:p w14:paraId="6FBF9CDD" w14:textId="77777777" w:rsidR="00FC5566" w:rsidRPr="00FC5566" w:rsidRDefault="00FC5566" w:rsidP="00FC5566">
      <w:pPr>
        <w:tabs>
          <w:tab w:val="left" w:pos="907"/>
        </w:tabs>
        <w:ind w:firstLine="547"/>
        <w:jc w:val="both"/>
        <w:outlineLvl w:val="5"/>
        <w:rPr>
          <w:kern w:val="2"/>
        </w:rPr>
      </w:pPr>
      <w:r w:rsidRPr="00FC5566">
        <w:rPr>
          <w:kern w:val="2"/>
        </w:rPr>
        <w:t>a.</w:t>
      </w:r>
      <w:r w:rsidRPr="00FC5566">
        <w:rPr>
          <w:kern w:val="2"/>
        </w:rPr>
        <w:tab/>
        <w:t>for the implementation of a voluntary early resolution process (ERP) at the local level, which is separate from and not a prerequisite to filing a formal written complaint in accordance with this Subpart; and/or</w:t>
      </w:r>
    </w:p>
    <w:p w14:paraId="24F1B13D" w14:textId="77777777" w:rsidR="00FC5566" w:rsidRPr="00FC5566" w:rsidRDefault="00FC5566" w:rsidP="00FC5566">
      <w:pPr>
        <w:tabs>
          <w:tab w:val="left" w:pos="907"/>
        </w:tabs>
        <w:ind w:firstLine="547"/>
        <w:jc w:val="both"/>
        <w:outlineLvl w:val="5"/>
        <w:rPr>
          <w:kern w:val="2"/>
        </w:rPr>
      </w:pPr>
      <w:r w:rsidRPr="00FC5566">
        <w:rPr>
          <w:kern w:val="2"/>
        </w:rPr>
        <w:t>b.</w:t>
      </w:r>
      <w:r w:rsidRPr="00FC5566">
        <w:rPr>
          <w:kern w:val="2"/>
        </w:rPr>
        <w:tab/>
        <w:t>the filing of a formal written complaint with the LDOE.</w:t>
      </w:r>
    </w:p>
    <w:p w14:paraId="67293AD0"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The LDOE shall widely disseminate to parents and other interested individuals, including parent training and information centers, protection and advocacy agencies, independent living centers, and other appropriate entities:</w:t>
      </w:r>
    </w:p>
    <w:p w14:paraId="33C22C9B"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the state procedures in accordance with this Subpart</w:t>
      </w:r>
      <w:r w:rsidRPr="00FC5566">
        <w:rPr>
          <w:i/>
          <w:kern w:val="2"/>
        </w:rPr>
        <w:t xml:space="preserve"> </w:t>
      </w:r>
      <w:r w:rsidRPr="00FC5566">
        <w:rPr>
          <w:kern w:val="2"/>
        </w:rPr>
        <w:t xml:space="preserve">and LAC 28:LXI Bulletin 1573, and </w:t>
      </w:r>
    </w:p>
    <w:p w14:paraId="3B36177E"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w:t>
      </w:r>
    </w:p>
    <w:p w14:paraId="253006CE"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Informal Complaints</w:t>
      </w:r>
      <w:r w:rsidRPr="00FC5566">
        <w:rPr>
          <w:i/>
          <w:kern w:val="2"/>
        </w:rPr>
        <w:t>.</w:t>
      </w:r>
      <w:r w:rsidRPr="00FC5566">
        <w:rPr>
          <w:kern w:val="2"/>
        </w:rPr>
        <w:t xml:space="preserve"> The LDOE shall facilitate a collaborative administrative complaint resolution process to work cooperatively with parents and schools to achieve a shared goal of meeting the educational need of students with disabilities. The LDOE process shall promote dispute prevention and the timely resolution of disputes by implementing an early resolution process.</w:t>
      </w:r>
    </w:p>
    <w:p w14:paraId="3E81D1FF"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 - 3.</w:t>
      </w:r>
      <w:r w:rsidRPr="00FC5566">
        <w:rPr>
          <w:kern w:val="2"/>
        </w:rPr>
        <w:tab/>
        <w:t>…</w:t>
      </w:r>
    </w:p>
    <w:p w14:paraId="1561F037"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w:t>
      </w:r>
      <w:r w:rsidRPr="00FC5566">
        <w:rPr>
          <w:kern w:val="2"/>
        </w:rPr>
        <w:tab/>
        <w:t>An individual or organization may file a formal written complaint in accordance with this Subpart at any time. The filing of a formal written complaint shall not be contingent upon participation in ERP. Participation in ERP is voluntary and therefore complainants shall not be required to participate in ERP in response to filing a state complaint.</w:t>
      </w:r>
    </w:p>
    <w:p w14:paraId="694939E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D.</w:t>
      </w:r>
      <w:r w:rsidRPr="00FC5566">
        <w:rPr>
          <w:kern w:val="2"/>
        </w:rPr>
        <w:tab/>
        <w:t>...</w:t>
      </w:r>
    </w:p>
    <w:p w14:paraId="393E6D04"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R.S.17:1941 et seq.</w:t>
      </w:r>
    </w:p>
    <w:p w14:paraId="2AE90B18"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Board of Elementary and Secondary Education, LR 34:2046 (October 2008), amended LR 36:1499 (July 2010), LR 51:59 (January 2025), LR 52:1331 (August 2026).</w:t>
      </w:r>
    </w:p>
    <w:p w14:paraId="495B6CFD"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strike/>
          <w:kern w:val="2"/>
        </w:rPr>
      </w:pPr>
      <w:bookmarkStart w:id="155" w:name="_Toc217069350"/>
      <w:r w:rsidRPr="00FC5566">
        <w:rPr>
          <w:b/>
          <w:kern w:val="2"/>
        </w:rPr>
        <w:t>§153.</w:t>
      </w:r>
      <w:r w:rsidRPr="00FC5566">
        <w:rPr>
          <w:b/>
          <w:kern w:val="2"/>
        </w:rPr>
        <w:tab/>
        <w:t>Formal Written Complaint Procedures</w:t>
      </w:r>
      <w:bookmarkEnd w:id="155"/>
    </w:p>
    <w:p w14:paraId="5370F482"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Time Limit; Minimum Procedures. The time limits in this Section commence after LDOE receives a signed written complaint filed in accordance with §152 of this Chapter.</w:t>
      </w:r>
    </w:p>
    <w:p w14:paraId="2F610DD2"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br w:type="column"/>
      </w:r>
      <w:r w:rsidRPr="00FC5566">
        <w:rPr>
          <w:kern w:val="2"/>
        </w:rPr>
        <w:t>1.</w:t>
      </w:r>
      <w:r w:rsidRPr="00FC5566">
        <w:rPr>
          <w:kern w:val="2"/>
        </w:rPr>
        <w:tab/>
        <w:t>The LDOE will:</w:t>
      </w:r>
    </w:p>
    <w:p w14:paraId="395C0F06" w14:textId="77777777" w:rsidR="00FC5566" w:rsidRPr="00FC5566" w:rsidRDefault="00FC5566" w:rsidP="00FC5566">
      <w:pPr>
        <w:tabs>
          <w:tab w:val="left" w:pos="907"/>
        </w:tabs>
        <w:ind w:firstLine="547"/>
        <w:jc w:val="both"/>
        <w:outlineLvl w:val="5"/>
        <w:rPr>
          <w:strike/>
          <w:kern w:val="2"/>
        </w:rPr>
      </w:pPr>
      <w:r w:rsidRPr="00FC5566">
        <w:rPr>
          <w:kern w:val="2"/>
        </w:rPr>
        <w:t>a.</w:t>
      </w:r>
      <w:r w:rsidRPr="00FC5566">
        <w:rPr>
          <w:kern w:val="2"/>
        </w:rPr>
        <w:tab/>
        <w:t xml:space="preserve">initiate an independent investigation of the formal written complaint upon receipt; and </w:t>
      </w:r>
    </w:p>
    <w:p w14:paraId="1BB93BF0" w14:textId="77777777" w:rsidR="00FC5566" w:rsidRPr="00FC5566" w:rsidRDefault="00FC5566" w:rsidP="00FC5566">
      <w:pPr>
        <w:tabs>
          <w:tab w:val="left" w:pos="907"/>
        </w:tabs>
        <w:ind w:firstLine="547"/>
        <w:jc w:val="both"/>
        <w:outlineLvl w:val="5"/>
        <w:rPr>
          <w:kern w:val="2"/>
        </w:rPr>
      </w:pPr>
      <w:r w:rsidRPr="00FC5566">
        <w:rPr>
          <w:kern w:val="2"/>
        </w:rPr>
        <w:t>b.</w:t>
      </w:r>
      <w:r w:rsidRPr="00FC5566">
        <w:rPr>
          <w:kern w:val="2"/>
        </w:rPr>
        <w:tab/>
        <w:t>shall complete its investigation and issue a decision within 60 days of receipt of the complaint in accordance with this Section.</w:t>
      </w:r>
    </w:p>
    <w:p w14:paraId="2C3D291A"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Upon receipt of a signed written complaint, the LDOE shall review the allegations contained in the complaint and shall provide written notice to the LEA or public agency serving the student, including the following:</w:t>
      </w:r>
    </w:p>
    <w:p w14:paraId="415E85CA" w14:textId="77777777" w:rsidR="00FC5566" w:rsidRPr="00FC5566" w:rsidRDefault="00FC5566" w:rsidP="00FC5566">
      <w:pPr>
        <w:tabs>
          <w:tab w:val="left" w:pos="907"/>
        </w:tabs>
        <w:ind w:firstLine="547"/>
        <w:jc w:val="both"/>
        <w:outlineLvl w:val="5"/>
        <w:rPr>
          <w:kern w:val="2"/>
        </w:rPr>
      </w:pPr>
      <w:r w:rsidRPr="00FC5566">
        <w:rPr>
          <w:kern w:val="2"/>
        </w:rPr>
        <w:t>a. - c.i.</w:t>
      </w:r>
      <w:r w:rsidRPr="00FC5566">
        <w:rPr>
          <w:kern w:val="2"/>
        </w:rPr>
        <w:tab/>
        <w:t>…</w:t>
      </w:r>
    </w:p>
    <w:p w14:paraId="623F6AD3"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ii.</w:t>
      </w:r>
      <w:r w:rsidRPr="00FC5566">
        <w:rPr>
          <w:kern w:val="2"/>
        </w:rPr>
        <w:tab/>
        <w:t>the opportunity to offer to the complainant who has filed a complaint, mediation consistent with §506 or neutral IEP facilitation as available through the LDOE.</w:t>
      </w:r>
    </w:p>
    <w:p w14:paraId="35F215B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 - D.</w:t>
      </w:r>
      <w:r w:rsidRPr="00FC5566">
        <w:rPr>
          <w:kern w:val="2"/>
        </w:rPr>
        <w:tab/>
        <w:t>…</w:t>
      </w:r>
    </w:p>
    <w:p w14:paraId="2336F68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E.</w:t>
      </w:r>
      <w:r w:rsidRPr="00FC5566">
        <w:rPr>
          <w:kern w:val="2"/>
        </w:rPr>
        <w:tab/>
        <w:t>Decision. Within 60 days of receipt of the complaint, the LDOE shall issue a written decision to the complainant and the public agency that addresses each remaining allegation of the complaint and contains:</w:t>
      </w:r>
    </w:p>
    <w:p w14:paraId="0E9B661E"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E.1. - K.</w:t>
      </w:r>
      <w:r w:rsidRPr="00FC5566">
        <w:rPr>
          <w:kern w:val="2"/>
        </w:rPr>
        <w:tab/>
        <w:t>…</w:t>
      </w:r>
    </w:p>
    <w:p w14:paraId="7AA949A9"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The LDOE shall refer and recommend to BESE the delay or denial of funding or an offset of future funding for any LEA or public agency that, after due notice:</w:t>
      </w:r>
    </w:p>
    <w:p w14:paraId="4B7BE483"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K.1.a. - 2.</w:t>
      </w:r>
      <w:r w:rsidRPr="00FC5566">
        <w:rPr>
          <w:kern w:val="2"/>
        </w:rPr>
        <w:tab/>
        <w:t>…</w:t>
      </w:r>
    </w:p>
    <w:p w14:paraId="6AFA42D7"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17:6 and R.S.17:1941 et seq.</w:t>
      </w:r>
    </w:p>
    <w:p w14:paraId="1DE3165D"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Board of Elementary and Secondary Education, LR 34:2047 (October 2008), amended LR 36:1500 (July2010), LR 46:180 (February 2020), LR 52:1331 (August 2026).</w:t>
      </w:r>
    </w:p>
    <w:p w14:paraId="2BDDA2C3"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156" w:name="TOC_Chap36"/>
      <w:bookmarkStart w:id="157" w:name="_Toc217069454"/>
      <w:r w:rsidRPr="00FC5566">
        <w:rPr>
          <w:b/>
          <w:kern w:val="2"/>
        </w:rPr>
        <w:t>Chapter 5.</w:t>
      </w:r>
      <w:bookmarkEnd w:id="156"/>
      <w:r w:rsidRPr="00FC5566">
        <w:rPr>
          <w:b/>
          <w:kern w:val="2"/>
        </w:rPr>
        <w:tab/>
      </w:r>
      <w:bookmarkStart w:id="158" w:name="TOCT_Chap36"/>
      <w:r w:rsidRPr="00FC5566">
        <w:rPr>
          <w:b/>
          <w:kern w:val="2"/>
        </w:rPr>
        <w:t>Procedural Safeguards</w:t>
      </w:r>
      <w:bookmarkEnd w:id="157"/>
      <w:bookmarkEnd w:id="158"/>
    </w:p>
    <w:p w14:paraId="70B9D66C"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159" w:name="TOC_SubC37"/>
      <w:bookmarkStart w:id="160" w:name="_Toc217069455"/>
      <w:r w:rsidRPr="00FC5566">
        <w:rPr>
          <w:b/>
          <w:kern w:val="2"/>
        </w:rPr>
        <w:t>Subchapter A.</w:t>
      </w:r>
      <w:bookmarkEnd w:id="159"/>
      <w:r w:rsidRPr="00FC5566">
        <w:rPr>
          <w:b/>
          <w:kern w:val="2"/>
        </w:rPr>
        <w:tab/>
      </w:r>
      <w:bookmarkStart w:id="161" w:name="TOCT_SubC37"/>
      <w:r w:rsidRPr="00FC5566">
        <w:rPr>
          <w:b/>
          <w:kern w:val="2"/>
        </w:rPr>
        <w:t>Due Process Procedures for Parents and Students</w:t>
      </w:r>
      <w:bookmarkEnd w:id="160"/>
      <w:bookmarkEnd w:id="161"/>
    </w:p>
    <w:p w14:paraId="2463E74B"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i/>
          <w:kern w:val="2"/>
        </w:rPr>
      </w:pPr>
      <w:bookmarkStart w:id="162" w:name="_Toc217069464"/>
      <w:r w:rsidRPr="00FC5566">
        <w:rPr>
          <w:b/>
          <w:kern w:val="2"/>
        </w:rPr>
        <w:t>§509.</w:t>
      </w:r>
      <w:r w:rsidRPr="00FC5566">
        <w:rPr>
          <w:b/>
          <w:kern w:val="2"/>
        </w:rPr>
        <w:tab/>
        <w:t>Model Forms</w:t>
      </w:r>
      <w:bookmarkEnd w:id="162"/>
    </w:p>
    <w:p w14:paraId="27ACFE0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bCs/>
          <w:kern w:val="2"/>
        </w:rPr>
        <w:t>A.</w:t>
      </w:r>
      <w:r w:rsidRPr="00FC5566">
        <w:rPr>
          <w:bCs/>
          <w:kern w:val="2"/>
        </w:rPr>
        <w:tab/>
      </w:r>
      <w:r w:rsidRPr="00FC5566">
        <w:rPr>
          <w:kern w:val="2"/>
        </w:rPr>
        <w:t>The LDOE shall develop model forms to assist parents and public agencies in filing a request for due process hearing in accordance with this Subchapter and to assist parents and other parties in filing a state complaint in accordance with Subpart 1 of this Part. The use of the model forms shall not be required.</w:t>
      </w:r>
    </w:p>
    <w:p w14:paraId="329A9EA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w:t>
      </w:r>
    </w:p>
    <w:p w14:paraId="70C5180C"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R.S.17:1941 et seq.</w:t>
      </w:r>
    </w:p>
    <w:p w14:paraId="54388B14"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Board of Elementary and Secondary Education, LR 34:2072 (October 2008), amended LR 52:1331 (August 2026).</w:t>
      </w:r>
    </w:p>
    <w:p w14:paraId="183C6EE3" w14:textId="77777777" w:rsidR="00FC5566" w:rsidRPr="00FC5566" w:rsidRDefault="00FC5566" w:rsidP="00FC5566">
      <w:pPr>
        <w:keepNext/>
        <w:jc w:val="center"/>
        <w:rPr>
          <w:b/>
          <w:noProof/>
        </w:rPr>
      </w:pPr>
      <w:r w:rsidRPr="00FC5566">
        <w:rPr>
          <w:b/>
          <w:noProof/>
        </w:rPr>
        <w:t>Part LXI.  Bulletin 1573―Complaint Management Procedures</w:t>
      </w:r>
    </w:p>
    <w:p w14:paraId="6176AE2A"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163" w:name="_Toc191201539"/>
      <w:r w:rsidRPr="00FC5566">
        <w:rPr>
          <w:b/>
          <w:kern w:val="2"/>
        </w:rPr>
        <w:t>Chapter 1.</w:t>
      </w:r>
      <w:r w:rsidRPr="00FC5566">
        <w:rPr>
          <w:b/>
          <w:kern w:val="2"/>
        </w:rPr>
        <w:tab/>
        <w:t>Terms, Purpose and Mandates</w:t>
      </w:r>
      <w:bookmarkEnd w:id="163"/>
    </w:p>
    <w:p w14:paraId="210467D6"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64" w:name="_Toc191201540"/>
      <w:r w:rsidRPr="00FC5566">
        <w:rPr>
          <w:b/>
          <w:kern w:val="2"/>
        </w:rPr>
        <w:t>§101.</w:t>
      </w:r>
      <w:r w:rsidRPr="00FC5566">
        <w:rPr>
          <w:b/>
          <w:kern w:val="2"/>
        </w:rPr>
        <w:tab/>
        <w:t>Definitions</w:t>
      </w:r>
      <w:bookmarkEnd w:id="164"/>
    </w:p>
    <w:p w14:paraId="411049C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As used in this Chapter, the following words and phrases have the meaning ascribed to them in this Subsection unless a different meaning is plainly required by the context.</w:t>
      </w:r>
    </w:p>
    <w:p w14:paraId="28EAD9EB"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FC5566">
        <w:rPr>
          <w:kern w:val="2"/>
        </w:rPr>
        <w:t>* * *</w:t>
      </w:r>
    </w:p>
    <w:p w14:paraId="54B6CD8F" w14:textId="77777777" w:rsidR="00FC5566" w:rsidRPr="00FC5566" w:rsidRDefault="00FC5566" w:rsidP="00FC5566">
      <w:pPr>
        <w:tabs>
          <w:tab w:val="left" w:pos="720"/>
          <w:tab w:val="left" w:pos="979"/>
          <w:tab w:val="left" w:pos="1152"/>
        </w:tabs>
        <w:ind w:firstLine="360"/>
        <w:jc w:val="both"/>
        <w:outlineLvl w:val="4"/>
        <w:rPr>
          <w:i/>
          <w:iCs/>
          <w:kern w:val="2"/>
        </w:rPr>
      </w:pPr>
      <w:r w:rsidRPr="00FC5566">
        <w:rPr>
          <w:i/>
          <w:iCs/>
          <w:kern w:val="2"/>
        </w:rPr>
        <w:t>DSP</w:t>
      </w:r>
      <w:r w:rsidRPr="00FC5566">
        <w:rPr>
          <w:kern w:val="2"/>
        </w:rPr>
        <w:tab/>
        <w:t>Repealed.</w:t>
      </w:r>
    </w:p>
    <w:p w14:paraId="03F8C1D7" w14:textId="77777777" w:rsidR="00FC5566" w:rsidRPr="00FC5566" w:rsidRDefault="00FC5566" w:rsidP="00FC5566">
      <w:pPr>
        <w:tabs>
          <w:tab w:val="left" w:pos="720"/>
          <w:tab w:val="left" w:pos="979"/>
          <w:tab w:val="left" w:pos="1152"/>
        </w:tabs>
        <w:ind w:firstLine="360"/>
        <w:jc w:val="both"/>
        <w:outlineLvl w:val="4"/>
        <w:rPr>
          <w:kern w:val="2"/>
        </w:rPr>
      </w:pPr>
      <w:r w:rsidRPr="00FC5566">
        <w:rPr>
          <w:i/>
          <w:iCs/>
          <w:kern w:val="2"/>
        </w:rPr>
        <w:t>Local Educational Agency (LEA)—</w:t>
      </w:r>
      <w:r w:rsidRPr="00FC5566">
        <w:rPr>
          <w:kern w:val="2"/>
        </w:rPr>
        <w:t xml:space="preserve">a public board of education or other public authority legally constituted within a state for either administrative control or direction of, or to perform a service function for, public elementary or secondary schools in a city, county, township, school district, or other political subdivision of a state, or for such combination of school districts or counties as are recognized in a state as an administrative agency for its public elementary </w:t>
      </w:r>
      <w:r w:rsidRPr="00FC5566">
        <w:rPr>
          <w:kern w:val="2"/>
        </w:rPr>
        <w:lastRenderedPageBreak/>
        <w:t>or secondary schools including an educational service agency or other public institution or agency having administrative control and direction of a public elementary or secondary school, including a public charter school that is established as an LEA under the state law.</w:t>
      </w:r>
    </w:p>
    <w:p w14:paraId="7931153E" w14:textId="77777777" w:rsidR="00FC5566" w:rsidRPr="00FC5566" w:rsidRDefault="00FC5566" w:rsidP="00FC5566">
      <w:pPr>
        <w:tabs>
          <w:tab w:val="left" w:pos="720"/>
          <w:tab w:val="left" w:pos="979"/>
          <w:tab w:val="left" w:pos="1152"/>
        </w:tabs>
        <w:ind w:firstLine="360"/>
        <w:jc w:val="both"/>
        <w:outlineLvl w:val="4"/>
        <w:rPr>
          <w:kern w:val="2"/>
        </w:rPr>
      </w:pPr>
      <w:r w:rsidRPr="00FC5566">
        <w:rPr>
          <w:i/>
          <w:iCs/>
          <w:kern w:val="2"/>
        </w:rPr>
        <w:t>Louisiana Department of Education (LDOE)—</w:t>
      </w:r>
      <w:r w:rsidRPr="00FC5566">
        <w:rPr>
          <w:kern w:val="2"/>
        </w:rPr>
        <w:t>the State Department of Education or other agency or officer primarily responsible for the state supervision of public elementary and secondary schools; or, if there is no such officer or agency, an officer or agency designated by the Governor or by state law. Referred to in the Individuals with Disabilities Education Act (ACT) as State Educational Agency (SEA). May also be referenced as SDE, LDE, or DOE.</w:t>
      </w:r>
    </w:p>
    <w:p w14:paraId="6B08D7F1" w14:textId="77777777" w:rsidR="00FC5566" w:rsidRPr="00FC5566" w:rsidRDefault="00FC5566" w:rsidP="00FC5566">
      <w:pPr>
        <w:tabs>
          <w:tab w:val="left" w:pos="720"/>
          <w:tab w:val="left" w:pos="979"/>
          <w:tab w:val="left" w:pos="1152"/>
        </w:tabs>
        <w:ind w:firstLine="360"/>
        <w:jc w:val="both"/>
        <w:outlineLvl w:val="4"/>
        <w:rPr>
          <w:kern w:val="2"/>
        </w:rPr>
      </w:pPr>
      <w:r w:rsidRPr="00FC5566">
        <w:rPr>
          <w:i/>
          <w:iCs/>
          <w:kern w:val="2"/>
        </w:rPr>
        <w:t>Public Agency—</w:t>
      </w:r>
      <w:r w:rsidRPr="00FC5566">
        <w:rPr>
          <w:kern w:val="2"/>
        </w:rPr>
        <w:t>state and local education agencies and educational service agencies, including nonprofit public charter schools that are not otherwise included as an LEA or educational services agency (ESA) and are not a school of an LEA or ESA, and any other political subdivisions of the state that are responsible for providing education to children with disabilities.</w:t>
      </w:r>
    </w:p>
    <w:p w14:paraId="4D513275"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17:1941 et seq.</w:t>
      </w:r>
    </w:p>
    <w:p w14:paraId="3F09A0B9"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Board of Elementary and Secondary Education, LR 29:1081 (July 2003), amended LR 52:1331 (August 2026).</w:t>
      </w:r>
    </w:p>
    <w:p w14:paraId="6F67BA76"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165" w:name="TOC_Chap6"/>
      <w:bookmarkStart w:id="166" w:name="_Toc191201542"/>
      <w:r w:rsidRPr="00FC5566">
        <w:rPr>
          <w:b/>
          <w:kern w:val="2"/>
        </w:rPr>
        <w:t>Chapter 3.</w:t>
      </w:r>
      <w:bookmarkEnd w:id="165"/>
      <w:r w:rsidRPr="00FC5566">
        <w:rPr>
          <w:b/>
          <w:kern w:val="2"/>
        </w:rPr>
        <w:tab/>
      </w:r>
      <w:bookmarkStart w:id="167" w:name="TOCT_Chap6"/>
      <w:r w:rsidRPr="00FC5566">
        <w:rPr>
          <w:b/>
          <w:kern w:val="2"/>
        </w:rPr>
        <w:t>General Provisions</w:t>
      </w:r>
      <w:bookmarkEnd w:id="166"/>
      <w:bookmarkEnd w:id="167"/>
    </w:p>
    <w:p w14:paraId="7969383A"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68" w:name="_Toc191201546"/>
      <w:r w:rsidRPr="00FC5566">
        <w:rPr>
          <w:b/>
          <w:kern w:val="2"/>
        </w:rPr>
        <w:t>§307.</w:t>
      </w:r>
      <w:r w:rsidRPr="00FC5566">
        <w:rPr>
          <w:b/>
          <w:kern w:val="2"/>
        </w:rPr>
        <w:tab/>
        <w:t>Complaint Criteria</w:t>
      </w:r>
      <w:bookmarkEnd w:id="168"/>
    </w:p>
    <w:p w14:paraId="549EF08C"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w:t>
      </w:r>
    </w:p>
    <w:p w14:paraId="707EFEDA"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allege that a public agency which provides or is required to provide publicly funded special education is violating federal and/or state laws, regulations, policies, rights, procedural safeguards or program standards adopted by the BESE and administered by the SDE to assure FAPE to children with exceptionalities or children suspected of having exceptionalities;</w:t>
      </w:r>
    </w:p>
    <w:p w14:paraId="5303E2C9"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w:t>
      </w:r>
    </w:p>
    <w:p w14:paraId="572020F2"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17:1941 et seq.</w:t>
      </w:r>
    </w:p>
    <w:p w14:paraId="069CBB49"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Board of Elementary and Secondary Education, LR 29:1082 (July 2003), amended LR 52:1332 (August 2026).</w:t>
      </w:r>
    </w:p>
    <w:p w14:paraId="45C98B0E"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szCs w:val="22"/>
        </w:rPr>
      </w:pPr>
      <w:bookmarkStart w:id="169" w:name="TOC_Chap7"/>
      <w:bookmarkStart w:id="170" w:name="_Toc191201547"/>
      <w:r w:rsidRPr="00FC5566">
        <w:rPr>
          <w:b/>
          <w:kern w:val="2"/>
        </w:rPr>
        <w:t>Chapter 5.</w:t>
      </w:r>
      <w:bookmarkEnd w:id="169"/>
      <w:r w:rsidRPr="00FC5566">
        <w:rPr>
          <w:b/>
          <w:kern w:val="2"/>
        </w:rPr>
        <w:tab/>
      </w:r>
      <w:bookmarkStart w:id="171" w:name="TOCT_Chap7"/>
      <w:r w:rsidRPr="00FC5566">
        <w:rPr>
          <w:b/>
          <w:kern w:val="2"/>
        </w:rPr>
        <w:t>Complaint Intake and Investigative Procedures</w:t>
      </w:r>
      <w:bookmarkEnd w:id="170"/>
      <w:bookmarkEnd w:id="171"/>
    </w:p>
    <w:p w14:paraId="5FE86004"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72" w:name="_Toc191201548"/>
      <w:r w:rsidRPr="00FC5566">
        <w:rPr>
          <w:b/>
          <w:kern w:val="2"/>
        </w:rPr>
        <w:t>§501.</w:t>
      </w:r>
      <w:r w:rsidRPr="00FC5566">
        <w:rPr>
          <w:b/>
          <w:kern w:val="2"/>
        </w:rPr>
        <w:tab/>
        <w:t>Filing Complaints</w:t>
      </w:r>
      <w:bookmarkEnd w:id="172"/>
    </w:p>
    <w:p w14:paraId="70B861A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Complaints may be filed by parents, students, child advocates, surrogate parents, other individuals or organizations. Complaints may be filed in writing, by telephone call, by email, or in person. A complaint must include not only a statement that a public agency has violated a requirement of federal/state law or regulation but also the facts upon which the statement has been based.</w:t>
      </w:r>
    </w:p>
    <w:p w14:paraId="6C881D1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 - C.</w:t>
      </w:r>
      <w:r w:rsidRPr="00FC5566">
        <w:rPr>
          <w:kern w:val="2"/>
        </w:rPr>
        <w:tab/>
        <w:t>…</w:t>
      </w:r>
    </w:p>
    <w:p w14:paraId="3CD0BCEB"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17:1941 et seq.</w:t>
      </w:r>
    </w:p>
    <w:p w14:paraId="2EEC5AD0"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Board of Elementary and Secondary Education, LR 29:1083 (July 2003), amended LR 50:489 (April 2024), LR 52:1332 (August 2026).</w:t>
      </w:r>
    </w:p>
    <w:p w14:paraId="3C64B66E"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73" w:name="_Toc191201549"/>
      <w:r w:rsidRPr="00FC5566">
        <w:rPr>
          <w:b/>
          <w:kern w:val="2"/>
        </w:rPr>
        <w:t>§503.</w:t>
      </w:r>
      <w:r w:rsidRPr="00FC5566">
        <w:rPr>
          <w:b/>
          <w:kern w:val="2"/>
        </w:rPr>
        <w:tab/>
        <w:t>Treatment of Complaints</w:t>
      </w:r>
      <w:bookmarkEnd w:id="173"/>
    </w:p>
    <w:p w14:paraId="7EB75DC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C.</w:t>
      </w:r>
      <w:r w:rsidRPr="00FC5566">
        <w:rPr>
          <w:kern w:val="2"/>
        </w:rPr>
        <w:tab/>
        <w:t>…</w:t>
      </w:r>
    </w:p>
    <w:p w14:paraId="5B95372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D.</w:t>
      </w:r>
      <w:r w:rsidRPr="00FC5566">
        <w:rPr>
          <w:kern w:val="2"/>
        </w:rPr>
        <w:tab/>
        <w:t>All complaints must be resolved within 60 calendar days of receipt unless an extension is granted. Request for extensions may be made by the complainant, the public agency, or the LDOE.</w:t>
      </w:r>
    </w:p>
    <w:p w14:paraId="067235FB"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17:1941 et seq.</w:t>
      </w:r>
    </w:p>
    <w:p w14:paraId="668D8AFD"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Board of Elementary and Secondary Education, LR 29:1083 (July 2003), amended LR 52:1332 (August 2026).</w:t>
      </w:r>
    </w:p>
    <w:p w14:paraId="5F19FD93"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74" w:name="_Toc191201550"/>
      <w:r w:rsidRPr="00FC5566">
        <w:rPr>
          <w:b/>
          <w:kern w:val="2"/>
        </w:rPr>
        <w:t>§505.</w:t>
      </w:r>
      <w:r w:rsidRPr="00FC5566">
        <w:rPr>
          <w:b/>
          <w:kern w:val="2"/>
        </w:rPr>
        <w:tab/>
        <w:t>Complaint Intake Procedures Log (SCL)</w:t>
      </w:r>
      <w:bookmarkEnd w:id="174"/>
    </w:p>
    <w:p w14:paraId="0321DF4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When a complaint is received and accepted by the SDE, the complaint is recorded in the SDE Complaint Log (SCL). SCL includes, but is not limited to, documenting the date received, name of the complainant, public agency that is the subject of the complaint, school if applicable, allegation type, and outcome, including:</w:t>
      </w:r>
    </w:p>
    <w:p w14:paraId="458039DB"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the date the complaint was received;</w:t>
      </w:r>
    </w:p>
    <w:p w14:paraId="633858D5"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the name of the complainant;</w:t>
      </w:r>
    </w:p>
    <w:p w14:paraId="03B4BECC"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the public agency that is the subject of the complaint;</w:t>
      </w:r>
    </w:p>
    <w:p w14:paraId="48083C4D"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w:t>
      </w:r>
      <w:r w:rsidRPr="00FC5566">
        <w:rPr>
          <w:kern w:val="2"/>
        </w:rPr>
        <w:tab/>
        <w:t>the school, if applicable;</w:t>
      </w:r>
    </w:p>
    <w:p w14:paraId="7EFE258B"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5.</w:t>
      </w:r>
      <w:r w:rsidRPr="00FC5566">
        <w:rPr>
          <w:kern w:val="2"/>
        </w:rPr>
        <w:tab/>
        <w:t>the allegation type; and</w:t>
      </w:r>
    </w:p>
    <w:p w14:paraId="76F341F3"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6.</w:t>
      </w:r>
      <w:r w:rsidRPr="00FC5566">
        <w:rPr>
          <w:kern w:val="2"/>
        </w:rPr>
        <w:tab/>
        <w:t>the date on which the final written decision was issued and the final disposition of the complaint.</w:t>
      </w:r>
    </w:p>
    <w:p w14:paraId="6D35FC3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 - C.</w:t>
      </w:r>
      <w:r w:rsidRPr="00FC5566">
        <w:rPr>
          <w:kern w:val="2"/>
        </w:rPr>
        <w:tab/>
        <w:t>…</w:t>
      </w:r>
    </w:p>
    <w:p w14:paraId="4B1A9ED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D.</w:t>
      </w:r>
      <w:r w:rsidRPr="00FC5566">
        <w:rPr>
          <w:kern w:val="2"/>
        </w:rPr>
        <w:tab/>
        <w:t>The public agency is sent a letter within five business days of intake indicating receipt of the complaint, a statement of the issues involved, including the applicable statute and rule citation(s), the name of the LDOE representative handling the complaint, and the timeline by which the public agency must respond to the complaint.</w:t>
      </w:r>
    </w:p>
    <w:p w14:paraId="574C0FCB"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E.</w:t>
      </w:r>
      <w:r w:rsidRPr="00FC5566">
        <w:rPr>
          <w:kern w:val="2"/>
        </w:rPr>
        <w:tab/>
        <w:t xml:space="preserve">The response from the public agency should include either documentation to prove that the alleged violation did not take place </w:t>
      </w:r>
      <w:r w:rsidRPr="00FC5566">
        <w:rPr>
          <w:bCs/>
          <w:kern w:val="2"/>
        </w:rPr>
        <w:t>or</w:t>
      </w:r>
      <w:r w:rsidRPr="00FC5566">
        <w:rPr>
          <w:kern w:val="2"/>
        </w:rPr>
        <w:t xml:space="preserve"> a plan of action to correct the violation.</w:t>
      </w:r>
    </w:p>
    <w:p w14:paraId="1C06C45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F.</w:t>
      </w:r>
      <w:r w:rsidRPr="00FC5566">
        <w:rPr>
          <w:kern w:val="2"/>
        </w:rPr>
        <w:tab/>
        <w:t>When noncompliance is identified, the SCL shall include the corrective action required, the timeline for completion of corrective action, and the date on which the LDOE verifies and documents that corrective action has been completed and the matter closed.</w:t>
      </w:r>
    </w:p>
    <w:p w14:paraId="4AA76FDC"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17:1941 et seq.</w:t>
      </w:r>
    </w:p>
    <w:p w14:paraId="147B297C"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Board of Elementary and Secondary Education, LR 29:1083 (July 2003), amended LR 50:489 (April 2024), LR 52:1332 (August 2026).</w:t>
      </w:r>
    </w:p>
    <w:p w14:paraId="53F3365D"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75" w:name="_Toc191201551"/>
      <w:r w:rsidRPr="00FC5566">
        <w:rPr>
          <w:b/>
          <w:kern w:val="2"/>
        </w:rPr>
        <w:t>§507.</w:t>
      </w:r>
      <w:r w:rsidRPr="00FC5566">
        <w:rPr>
          <w:b/>
          <w:kern w:val="2"/>
        </w:rPr>
        <w:tab/>
        <w:t>Investigation Procedures</w:t>
      </w:r>
      <w:bookmarkEnd w:id="175"/>
    </w:p>
    <w:p w14:paraId="34797018"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w:t>
      </w:r>
    </w:p>
    <w:p w14:paraId="31CE082F"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If it is determined that an on-site investigation is necessary, an on-site investigation will be scheduled and conducted with technical assistance provided as necessary. Notice will be provided to the public agency or individual prior to the on-site investigation.</w:t>
      </w:r>
    </w:p>
    <w:p w14:paraId="481CC72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 - C.2.</w:t>
      </w:r>
      <w:r w:rsidRPr="00FC5566">
        <w:rPr>
          <w:kern w:val="2"/>
        </w:rPr>
        <w:tab/>
        <w:t>…</w:t>
      </w:r>
    </w:p>
    <w:p w14:paraId="1310A8A4"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17:1941 et seq.</w:t>
      </w:r>
    </w:p>
    <w:p w14:paraId="0122590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Board of Elementary and Secondary Education, LR 29:1083 (July 2003), amended LR 52:1332 (August 2026).</w:t>
      </w:r>
    </w:p>
    <w:p w14:paraId="1DBDEC8F"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76" w:name="_Toc191201552"/>
      <w:r w:rsidRPr="00FC5566">
        <w:rPr>
          <w:b/>
          <w:kern w:val="2"/>
        </w:rPr>
        <w:t>§509.</w:t>
      </w:r>
      <w:r w:rsidRPr="00FC5566">
        <w:rPr>
          <w:b/>
          <w:kern w:val="2"/>
        </w:rPr>
        <w:tab/>
        <w:t>Report of Findings</w:t>
      </w:r>
      <w:bookmarkEnd w:id="176"/>
    </w:p>
    <w:p w14:paraId="1A28F85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The LDOE reviews all relevant information and makes an independent determination as to whether the public agency has violated any federal or state law(s), rule(s) or standard(s).</w:t>
      </w:r>
    </w:p>
    <w:p w14:paraId="30CB6D58"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A written report of findings is sent to the public agency and the complainant. The report includes a statement of the complaint, the applicable statutes and rules, findings of fact, conclusions, technical assistance activities and corrective actions to achieve compliance.</w:t>
      </w:r>
    </w:p>
    <w:p w14:paraId="072E9B5B"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br w:type="page"/>
      </w:r>
    </w:p>
    <w:p w14:paraId="220AADBE"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lastRenderedPageBreak/>
        <w:t>C.</w:t>
      </w:r>
      <w:r w:rsidRPr="00FC5566">
        <w:rPr>
          <w:kern w:val="2"/>
        </w:rPr>
        <w:tab/>
        <w:t>If corrective action is necessary, the public agency must submit in writing to the LDOE, according to timelines indicated by the LDOE, a plan that includes the specific steps, material, personnel, and timelines required to resolve the complaint.</w:t>
      </w:r>
    </w:p>
    <w:p w14:paraId="0EB80C49"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D.</w:t>
      </w:r>
      <w:r w:rsidRPr="00FC5566">
        <w:rPr>
          <w:kern w:val="2"/>
        </w:rPr>
        <w:tab/>
        <w:t>...</w:t>
      </w:r>
    </w:p>
    <w:p w14:paraId="45BBF578"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E.</w:t>
      </w:r>
      <w:r w:rsidRPr="00FC5566">
        <w:rPr>
          <w:kern w:val="2"/>
        </w:rPr>
        <w:tab/>
        <w:t>When all appropriate documentation has been received by the LDOE, the public agency is sent written notification of complaint closure.</w:t>
      </w:r>
    </w:p>
    <w:p w14:paraId="56C4CD7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F. - I.</w:t>
      </w:r>
      <w:r w:rsidRPr="00FC5566">
        <w:rPr>
          <w:kern w:val="2"/>
        </w:rPr>
        <w:tab/>
        <w:t>…</w:t>
      </w:r>
    </w:p>
    <w:p w14:paraId="570BB169"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17:1941 et seq.</w:t>
      </w:r>
    </w:p>
    <w:p w14:paraId="76A1FF27"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Board of Elementary and Secondary Education, LR 29:1083 (July 2003), amended LR 50:489 (April 2024), LR 52:1332 (August 2026).</w:t>
      </w:r>
    </w:p>
    <w:p w14:paraId="3FC67E98"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77" w:name="_Toc191201553"/>
      <w:r w:rsidRPr="00FC5566">
        <w:rPr>
          <w:b/>
          <w:kern w:val="2"/>
        </w:rPr>
        <w:t>§511.</w:t>
      </w:r>
      <w:r w:rsidRPr="00FC5566">
        <w:rPr>
          <w:b/>
          <w:kern w:val="2"/>
        </w:rPr>
        <w:tab/>
        <w:t>Extension of Timelines</w:t>
      </w:r>
      <w:bookmarkEnd w:id="177"/>
    </w:p>
    <w:p w14:paraId="3CF357C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A.2.</w:t>
      </w:r>
      <w:r w:rsidRPr="00FC5566">
        <w:rPr>
          <w:kern w:val="2"/>
        </w:rPr>
        <w:tab/>
        <w:t>Repealed.</w:t>
      </w:r>
    </w:p>
    <w:p w14:paraId="5E7B168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The 60-day timeline for issuance of a written decision on a formal state complaint may only be extended under the following circumstances:</w:t>
      </w:r>
    </w:p>
    <w:p w14:paraId="331B28F5"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Exceptional circumstances exist with respect to a particular complaint; or</w:t>
      </w:r>
    </w:p>
    <w:p w14:paraId="33FF0D88"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The parent, individual, or organization and the public agency involved agree, in writing, to extend the time to engage in mediation or other alternative means of dispute resolution available under state procedures.</w:t>
      </w:r>
    </w:p>
    <w:p w14:paraId="5AB6DBAB"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Any extension of the decision timeline shall be determined on a case-by-case basis and documented in writing. The complainant and the public agency shall be notified in writing of the basis for and duration of the extension.</w:t>
      </w:r>
    </w:p>
    <w:p w14:paraId="341610FA"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17:1941 et seq.</w:t>
      </w:r>
    </w:p>
    <w:p w14:paraId="4D962933"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Board of Elementary and Secondary Education, LR 29:1084 (July 2003), amended LR 52:1333 (August 2026).</w:t>
      </w:r>
    </w:p>
    <w:p w14:paraId="14B77654"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78" w:name="_Toc191201554"/>
      <w:r w:rsidRPr="00FC5566">
        <w:rPr>
          <w:b/>
          <w:kern w:val="2"/>
        </w:rPr>
        <w:t>§513.</w:t>
      </w:r>
      <w:r w:rsidRPr="00FC5566">
        <w:rPr>
          <w:b/>
          <w:kern w:val="2"/>
        </w:rPr>
        <w:tab/>
        <w:t>Enforcement Procedures</w:t>
      </w:r>
      <w:bookmarkEnd w:id="178"/>
    </w:p>
    <w:p w14:paraId="5D431E19"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 xml:space="preserve">The public agency shall implement the corrective action plan as determined by the LDOE. Upon failure to comply, the State Superintendent may, barring an appeal of the findings by the affected public agency, recommend that a petition to withhold the public agency’s funds be made to BESE. </w:t>
      </w:r>
    </w:p>
    <w:p w14:paraId="72E69E03"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 - B.2.</w:t>
      </w:r>
      <w:r w:rsidRPr="00FC5566">
        <w:rPr>
          <w:kern w:val="2"/>
        </w:rPr>
        <w:tab/>
        <w:t>…</w:t>
      </w:r>
    </w:p>
    <w:p w14:paraId="1448DFBD"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17:1941 et seq.</w:t>
      </w:r>
    </w:p>
    <w:p w14:paraId="4ABC18DF"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Board of Elementary and Secondary Education, LR 29:1084 (July 2003), amended LR 52:1333 (August 2026)</w:t>
      </w:r>
    </w:p>
    <w:p w14:paraId="2D12FA3B" w14:textId="77777777" w:rsidR="00FC5566" w:rsidRPr="00FC5566" w:rsidRDefault="00FC5566" w:rsidP="00FC5566">
      <w:pPr>
        <w:keepNext/>
        <w:jc w:val="center"/>
        <w:rPr>
          <w:b/>
          <w:noProof/>
        </w:rPr>
      </w:pPr>
      <w:r w:rsidRPr="00FC5566">
        <w:rPr>
          <w:b/>
          <w:noProof/>
        </w:rPr>
        <w:t>Part XCVII.  Bulletin 1530―Louisiana's IEP Handbook for Students with Exceptionalities</w:t>
      </w:r>
    </w:p>
    <w:p w14:paraId="4C166D65"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179" w:name="_Toc406576247"/>
      <w:r w:rsidRPr="00FC5566">
        <w:rPr>
          <w:b/>
          <w:kern w:val="2"/>
        </w:rPr>
        <w:t>Chapter 1.</w:t>
      </w:r>
      <w:r w:rsidRPr="00FC5566">
        <w:rPr>
          <w:b/>
          <w:kern w:val="2"/>
        </w:rPr>
        <w:tab/>
        <w:t>Individualized Education Program (IEP)</w:t>
      </w:r>
      <w:bookmarkEnd w:id="179"/>
    </w:p>
    <w:p w14:paraId="136F8BDE"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80" w:name="_Toc406576260"/>
      <w:r w:rsidRPr="00FC5566">
        <w:rPr>
          <w:b/>
          <w:kern w:val="2"/>
        </w:rPr>
        <w:t>§125.</w:t>
      </w:r>
      <w:r w:rsidRPr="00FC5566">
        <w:rPr>
          <w:b/>
          <w:kern w:val="2"/>
        </w:rPr>
        <w:tab/>
        <w:t>Dispute Resolution Options</w:t>
      </w:r>
      <w:bookmarkEnd w:id="180"/>
    </w:p>
    <w:p w14:paraId="395584C3" w14:textId="77777777" w:rsidR="00FC5566" w:rsidRPr="00FC5566" w:rsidRDefault="00FC5566" w:rsidP="00FC5566">
      <w:pPr>
        <w:tabs>
          <w:tab w:val="left" w:pos="144"/>
          <w:tab w:val="left" w:pos="187"/>
          <w:tab w:val="left" w:pos="540"/>
          <w:tab w:val="left" w:pos="907"/>
          <w:tab w:val="left" w:pos="1080"/>
        </w:tabs>
        <w:ind w:firstLine="187"/>
        <w:jc w:val="both"/>
        <w:outlineLvl w:val="3"/>
        <w:rPr>
          <w:bCs/>
          <w:strike/>
          <w:kern w:val="2"/>
        </w:rPr>
      </w:pPr>
      <w:r w:rsidRPr="00FC5566">
        <w:rPr>
          <w:bCs/>
          <w:kern w:val="2"/>
        </w:rPr>
        <w:t>A.</w:t>
      </w:r>
      <w:r w:rsidRPr="00FC5566">
        <w:rPr>
          <w:bCs/>
          <w:kern w:val="2"/>
        </w:rPr>
        <w:tab/>
      </w:r>
      <w:r w:rsidRPr="00FC5566">
        <w:rPr>
          <w:kern w:val="2"/>
        </w:rPr>
        <w:t>The LDOE has adopted written procedures regarding the resolution of any complaint related to the identification, evaluation, educational placement, the level of services or placement, the provision of a free appropriate public education (FAPE) or payment for services that the parent has obtained for a student with a disability.</w:t>
      </w:r>
    </w:p>
    <w:p w14:paraId="20D300C3"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w:t>
      </w:r>
    </w:p>
    <w:p w14:paraId="59D0FD19"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 xml:space="preserve">The LDOE shall facilitate a collaborative administrative complaint resolution process to work cooperatively with parents and schools to achieve a shared </w:t>
      </w:r>
      <w:r w:rsidRPr="00FC5566">
        <w:rPr>
          <w:kern w:val="2"/>
        </w:rPr>
        <w:t>goal of meeting the educational need of students with disabilities.</w:t>
      </w:r>
    </w:p>
    <w:p w14:paraId="418A9421"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Formal administrative complaints are procedures developed under the supervisory jurisdiction of LDOE to address allegations that a public agency is violating a requirement of Part B of the Act.</w:t>
      </w:r>
    </w:p>
    <w:p w14:paraId="7C618CFA"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Participation in ERP is voluntary, and a parent or complainant is not required to participate in ERP after filing a state complaint.</w:t>
      </w:r>
    </w:p>
    <w:p w14:paraId="456A4E9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iCs/>
          <w:kern w:val="2"/>
        </w:rPr>
        <w:t>D.</w:t>
      </w:r>
      <w:r w:rsidRPr="00FC5566">
        <w:rPr>
          <w:iCs/>
          <w:kern w:val="2"/>
        </w:rPr>
        <w:tab/>
      </w:r>
      <w:r w:rsidRPr="00FC5566">
        <w:rPr>
          <w:i/>
          <w:kern w:val="2"/>
        </w:rPr>
        <w:t>Mediation</w:t>
      </w:r>
      <w:r w:rsidRPr="00FC5566">
        <w:rPr>
          <w:kern w:val="2"/>
        </w:rPr>
        <w:t xml:space="preserve"> is an informal, voluntary process by which the parent and the public agency are given an opportunity, through the help of a trained mediator, to resolve their differences and find solutions to enhance the overall learning environment for the student.</w:t>
      </w:r>
    </w:p>
    <w:p w14:paraId="1A56467C"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E.</w:t>
      </w:r>
      <w:r w:rsidRPr="00FC5566">
        <w:rPr>
          <w:kern w:val="2"/>
        </w:rPr>
        <w:tab/>
        <w:t xml:space="preserve">The parents and the public agency both have the right to an "impartial due process hearing" when disagreements arise between the parent and the public agency, relative to initiating or changing the identification, evaluation, or educational services and placement of a student with an exceptionality. Due process hearings may be initiated by the parent or the public agency. </w:t>
      </w:r>
    </w:p>
    <w:p w14:paraId="7ADAC308"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17:1941 et seq.</w:t>
      </w:r>
    </w:p>
    <w:p w14:paraId="35790EC1"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Board of Elementary and Secondary Education, LR 35:2337 (November 2009), amended LR 52:1333 (August 2026).</w:t>
      </w:r>
    </w:p>
    <w:p w14:paraId="0037DDE8" w14:textId="77777777" w:rsidR="00FC5566" w:rsidRPr="00FC5566" w:rsidRDefault="00FC5566" w:rsidP="00FC5566">
      <w:pPr>
        <w:keepNext/>
        <w:rPr>
          <w:b/>
          <w:noProof/>
        </w:rPr>
      </w:pPr>
      <w:r w:rsidRPr="00FC5566">
        <w:rPr>
          <w:b/>
          <w:noProof/>
        </w:rPr>
        <w:t>Part CI.  Bulletin 1508—Pupil Appraisal Handbook</w:t>
      </w:r>
      <w:bookmarkEnd w:id="139"/>
      <w:bookmarkEnd w:id="140"/>
      <w:bookmarkEnd w:id="141"/>
    </w:p>
    <w:p w14:paraId="7A48ADF2"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181" w:name="TOC_Chap8"/>
      <w:bookmarkStart w:id="182" w:name="_Toc501545241"/>
      <w:bookmarkStart w:id="183" w:name="TOC_Chap11"/>
      <w:bookmarkStart w:id="184" w:name="_Toc501545251"/>
      <w:bookmarkStart w:id="185" w:name="_Toc501545255"/>
      <w:r w:rsidRPr="00FC5566">
        <w:rPr>
          <w:b/>
          <w:kern w:val="2"/>
        </w:rPr>
        <w:t>Chapter 5.</w:t>
      </w:r>
      <w:bookmarkEnd w:id="181"/>
      <w:r w:rsidRPr="00FC5566">
        <w:rPr>
          <w:b/>
          <w:kern w:val="2"/>
        </w:rPr>
        <w:tab/>
        <w:t>Evaluation Responsibilities</w:t>
      </w:r>
      <w:bookmarkEnd w:id="182"/>
    </w:p>
    <w:p w14:paraId="5146249C"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86" w:name="_Toc501545242"/>
      <w:r w:rsidRPr="00FC5566">
        <w:rPr>
          <w:b/>
          <w:kern w:val="2"/>
        </w:rPr>
        <w:t>§501.</w:t>
      </w:r>
      <w:r w:rsidRPr="00FC5566">
        <w:rPr>
          <w:b/>
          <w:kern w:val="2"/>
        </w:rPr>
        <w:tab/>
        <w:t>Evaluation Coordination</w:t>
      </w:r>
      <w:bookmarkEnd w:id="186"/>
    </w:p>
    <w:p w14:paraId="0AF75B1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A.3.a.</w:t>
      </w:r>
      <w:r w:rsidRPr="00FC5566">
        <w:rPr>
          <w:kern w:val="2"/>
        </w:rPr>
        <w:tab/>
        <w:t>…</w:t>
      </w:r>
    </w:p>
    <w:p w14:paraId="4E6EB389" w14:textId="77777777" w:rsidR="00FC5566" w:rsidRPr="00FC5566" w:rsidRDefault="00FC5566" w:rsidP="00FC5566">
      <w:pPr>
        <w:tabs>
          <w:tab w:val="left" w:pos="907"/>
        </w:tabs>
        <w:ind w:firstLine="547"/>
        <w:jc w:val="both"/>
        <w:outlineLvl w:val="5"/>
        <w:rPr>
          <w:kern w:val="2"/>
        </w:rPr>
      </w:pPr>
      <w:r w:rsidRPr="00FC5566">
        <w:rPr>
          <w:kern w:val="2"/>
        </w:rPr>
        <w:t>b.</w:t>
      </w:r>
      <w:r w:rsidRPr="00FC5566">
        <w:rPr>
          <w:kern w:val="2"/>
        </w:rPr>
        <w:tab/>
        <w:t>certified school psychologist, licensed specialist in school psychology, or licensed psychologist with a school specialty;</w:t>
      </w:r>
    </w:p>
    <w:p w14:paraId="07EA665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A.3.c. - B.1.d.</w:t>
      </w:r>
      <w:r w:rsidRPr="00FC5566">
        <w:rPr>
          <w:kern w:val="2"/>
        </w:rPr>
        <w:tab/>
        <w:t>…</w:t>
      </w:r>
    </w:p>
    <w:p w14:paraId="4665BE39"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17:1941 et seq.</w:t>
      </w:r>
    </w:p>
    <w:p w14:paraId="483F72A3"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Board of Elementary and Secondary Education, LR 35:900 (May 2009), effective July 1, 2009, amended LR 51:2040 (December 2025), LR 52:1333 (August 2026).</w:t>
      </w:r>
    </w:p>
    <w:bookmarkEnd w:id="183"/>
    <w:bookmarkEnd w:id="184"/>
    <w:p w14:paraId="451DC090"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Chapter 7.</w:t>
      </w:r>
      <w:bookmarkStart w:id="187" w:name="TOCT_Chap11"/>
      <w:r w:rsidRPr="00FC5566">
        <w:rPr>
          <w:b/>
          <w:kern w:val="2"/>
        </w:rPr>
        <w:tab/>
        <w:t>Disabilities</w:t>
      </w:r>
      <w:bookmarkEnd w:id="187"/>
    </w:p>
    <w:p w14:paraId="21713CFD"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88" w:name="_Toc217055078"/>
      <w:r w:rsidRPr="00FC5566">
        <w:rPr>
          <w:b/>
          <w:kern w:val="2"/>
        </w:rPr>
        <w:t>§703.</w:t>
      </w:r>
      <w:r w:rsidRPr="00FC5566">
        <w:rPr>
          <w:b/>
          <w:kern w:val="2"/>
        </w:rPr>
        <w:tab/>
      </w:r>
      <w:bookmarkStart w:id="189" w:name="DeafBlind"/>
      <w:r w:rsidRPr="00FC5566">
        <w:rPr>
          <w:b/>
          <w:kern w:val="2"/>
        </w:rPr>
        <w:t>Deaf-Blindness</w:t>
      </w:r>
      <w:bookmarkEnd w:id="188"/>
      <w:bookmarkEnd w:id="189"/>
    </w:p>
    <w:p w14:paraId="103D863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D.2.</w:t>
      </w:r>
      <w:r w:rsidRPr="00FC5566">
        <w:rPr>
          <w:kern w:val="2"/>
        </w:rPr>
        <w:tab/>
        <w:t>…</w:t>
      </w:r>
    </w:p>
    <w:p w14:paraId="23537AD9"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an orientation and mobility screening conducted to assess the student's ability to travel around in his or her environment. Based on the results of the screening, an assessment conducted by a qualified orientation and mobility instructor may be warranted;</w:t>
      </w:r>
    </w:p>
    <w:p w14:paraId="549CA282"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 - 6.</w:t>
      </w:r>
      <w:r w:rsidRPr="00FC5566">
        <w:rPr>
          <w:kern w:val="2"/>
        </w:rPr>
        <w:tab/>
        <w:t>…</w:t>
      </w:r>
    </w:p>
    <w:p w14:paraId="1813409A"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17:1941 et seq.</w:t>
      </w:r>
    </w:p>
    <w:p w14:paraId="35A2129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Board of Elementary and Secondary Education, LR 35:905 (May 2009), effective July 1, 2009, amended LR 43:2493 (December 2017), LR 49:1210 (July 2023), LR 51:2041 (December 2025), LR 52:1333 (August 2026).</w:t>
      </w:r>
    </w:p>
    <w:p w14:paraId="25AFD8A3"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90" w:name="_Toc217055081"/>
      <w:bookmarkStart w:id="191" w:name="_Toc501545261"/>
      <w:bookmarkEnd w:id="185"/>
      <w:r w:rsidRPr="00FC5566">
        <w:rPr>
          <w:b/>
          <w:kern w:val="2"/>
        </w:rPr>
        <w:t>§709.</w:t>
      </w:r>
      <w:r w:rsidRPr="00FC5566">
        <w:rPr>
          <w:b/>
          <w:kern w:val="2"/>
        </w:rPr>
        <w:tab/>
        <w:t>Deaf and/or Hard of Hearing</w:t>
      </w:r>
      <w:bookmarkEnd w:id="190"/>
    </w:p>
    <w:p w14:paraId="6616BE6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A.2.</w:t>
      </w:r>
      <w:r w:rsidRPr="00FC5566">
        <w:rPr>
          <w:kern w:val="2"/>
        </w:rPr>
        <w:tab/>
        <w:t>…</w:t>
      </w:r>
    </w:p>
    <w:p w14:paraId="11926EED" w14:textId="77777777" w:rsidR="00FC5566" w:rsidRPr="00FC5566" w:rsidRDefault="00FC5566" w:rsidP="00FC5566">
      <w:pPr>
        <w:tabs>
          <w:tab w:val="left" w:pos="907"/>
        </w:tabs>
        <w:ind w:firstLine="547"/>
        <w:jc w:val="both"/>
        <w:outlineLvl w:val="5"/>
        <w:rPr>
          <w:kern w:val="2"/>
        </w:rPr>
      </w:pPr>
      <w:r w:rsidRPr="00FC5566">
        <w:rPr>
          <w:kern w:val="2"/>
        </w:rPr>
        <w:t>a.</w:t>
      </w:r>
      <w:r w:rsidRPr="00FC5566">
        <w:rPr>
          <w:kern w:val="2"/>
        </w:rPr>
        <w:tab/>
      </w:r>
      <w:r w:rsidRPr="00FC5566">
        <w:rPr>
          <w:i/>
          <w:kern w:val="2"/>
        </w:rPr>
        <w:t>Bilateral Hearing Loss</w:t>
      </w:r>
      <w:r w:rsidRPr="00FC5566">
        <w:rPr>
          <w:kern w:val="2"/>
        </w:rPr>
        <w:t>—a permanent hearing loss with an unaided pure tone average in the better ear at 500, 1000, and 2000 Hz between 25 and 70 dB (ANSI). The hearing loss is severe enough to be considered educationally significant, as it will to varying degrees impact the normal development of speech and language skills and/or interfere with learning new information through the auditory modality.</w:t>
      </w:r>
    </w:p>
    <w:p w14:paraId="39B62BD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lastRenderedPageBreak/>
        <w:t>A.2.b. - E.2.b.</w:t>
      </w:r>
      <w:r w:rsidRPr="00FC5566">
        <w:rPr>
          <w:kern w:val="2"/>
        </w:rPr>
        <w:tab/>
        <w:t>…</w:t>
      </w:r>
    </w:p>
    <w:p w14:paraId="1CBD150D"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17:1941 et seq.</w:t>
      </w:r>
    </w:p>
    <w:p w14:paraId="1CDD58CF"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Board of Elementary and Secondary Education, LR 35:908 (May 2009), effective July 1, 2009, amended LR 43:2493 (December 2017), LR 51:2042 (December 2025), LR 52:1333 (August 2026).</w:t>
      </w:r>
    </w:p>
    <w:p w14:paraId="72A4C2CE"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§719.</w:t>
      </w:r>
      <w:r w:rsidRPr="00FC5566">
        <w:rPr>
          <w:b/>
          <w:kern w:val="2"/>
        </w:rPr>
        <w:tab/>
      </w:r>
      <w:bookmarkStart w:id="192" w:name="SLD"/>
      <w:r w:rsidRPr="00FC5566">
        <w:rPr>
          <w:b/>
          <w:kern w:val="2"/>
        </w:rPr>
        <w:t>Specific Learning Disability</w:t>
      </w:r>
      <w:bookmarkEnd w:id="191"/>
      <w:bookmarkEnd w:id="192"/>
    </w:p>
    <w:p w14:paraId="35D24F39" w14:textId="77777777" w:rsidR="00FC5566" w:rsidRPr="00FC5566" w:rsidRDefault="00FC5566" w:rsidP="00FC5566">
      <w:pPr>
        <w:tabs>
          <w:tab w:val="left" w:pos="144"/>
          <w:tab w:val="left" w:pos="187"/>
          <w:tab w:val="left" w:pos="540"/>
          <w:tab w:val="left" w:pos="990"/>
          <w:tab w:val="left" w:pos="1080"/>
        </w:tabs>
        <w:ind w:firstLine="187"/>
        <w:jc w:val="both"/>
        <w:outlineLvl w:val="3"/>
        <w:rPr>
          <w:kern w:val="2"/>
        </w:rPr>
      </w:pPr>
      <w:r w:rsidRPr="00FC5566">
        <w:rPr>
          <w:kern w:val="2"/>
        </w:rPr>
        <w:t>A. - D.4.</w:t>
      </w:r>
      <w:r w:rsidRPr="00FC5566">
        <w:rPr>
          <w:kern w:val="2"/>
        </w:rPr>
        <w:tab/>
        <w:t>…</w:t>
      </w:r>
    </w:p>
    <w:p w14:paraId="6036173F"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5.</w:t>
      </w:r>
      <w:r w:rsidRPr="00FC5566">
        <w:rPr>
          <w:kern w:val="2"/>
        </w:rPr>
        <w:tab/>
        <w:t>a psychological assessment shall be conducted, when necessary, by a certified school psychologist, licensed specialist in school psychology, or licensed psychologist with a school specialty to rule out an intellectual disability;</w:t>
      </w:r>
    </w:p>
    <w:p w14:paraId="1626A80D"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6. - 8.</w:t>
      </w:r>
      <w:r w:rsidRPr="00FC5566">
        <w:rPr>
          <w:kern w:val="2"/>
        </w:rPr>
        <w:tab/>
        <w:t>…</w:t>
      </w:r>
    </w:p>
    <w:p w14:paraId="6409BE3B"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17:1941 et seq.</w:t>
      </w:r>
    </w:p>
    <w:p w14:paraId="64D3D08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Board of Elementary and Secondary Education, LR 35:911 (May 2009), effective July 1, 2009, amended LR 42:401 (March 2016), LR 52:1334 (August 2026).</w:t>
      </w:r>
    </w:p>
    <w:p w14:paraId="2CF37E85"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§725.</w:t>
      </w:r>
      <w:r w:rsidRPr="00FC5566">
        <w:rPr>
          <w:b/>
          <w:kern w:val="2"/>
        </w:rPr>
        <w:tab/>
      </w:r>
      <w:bookmarkStart w:id="193" w:name="VI"/>
      <w:r w:rsidRPr="00FC5566">
        <w:rPr>
          <w:b/>
          <w:kern w:val="2"/>
        </w:rPr>
        <w:t>Visual Impairment</w:t>
      </w:r>
      <w:bookmarkEnd w:id="193"/>
    </w:p>
    <w:p w14:paraId="144985FE"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C.</w:t>
      </w:r>
      <w:r w:rsidRPr="00FC5566">
        <w:rPr>
          <w:kern w:val="2"/>
        </w:rPr>
        <w:tab/>
        <w:t>…</w:t>
      </w:r>
    </w:p>
    <w:p w14:paraId="63A6144C" w14:textId="77777777" w:rsidR="00FC5566" w:rsidRPr="00FC5566" w:rsidRDefault="00FC5566" w:rsidP="00FC5566">
      <w:pPr>
        <w:tabs>
          <w:tab w:val="left" w:pos="720"/>
          <w:tab w:val="left" w:pos="979"/>
          <w:tab w:val="left" w:pos="1152"/>
        </w:tabs>
        <w:ind w:firstLine="360"/>
        <w:jc w:val="both"/>
        <w:outlineLvl w:val="4"/>
        <w:rPr>
          <w:strike/>
          <w:kern w:val="2"/>
        </w:rPr>
      </w:pPr>
      <w:r w:rsidRPr="00FC5566">
        <w:rPr>
          <w:kern w:val="2"/>
        </w:rPr>
        <w:t>1.</w:t>
      </w:r>
      <w:r w:rsidRPr="00FC5566">
        <w:rPr>
          <w:kern w:val="2"/>
        </w:rPr>
        <w:tab/>
        <w:t>Orientation and mobility screening will be conducted to screen the student's ability to travel around in his or her environment.</w:t>
      </w:r>
    </w:p>
    <w:p w14:paraId="75659C32"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D. - F.</w:t>
      </w:r>
      <w:r w:rsidRPr="00FC5566">
        <w:rPr>
          <w:kern w:val="2"/>
        </w:rPr>
        <w:tab/>
        <w:t>…</w:t>
      </w:r>
    </w:p>
    <w:p w14:paraId="56261C47"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17:1941 et seq.</w:t>
      </w:r>
    </w:p>
    <w:p w14:paraId="0F17C23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Board of Elementary and Secondary Education, LR 35:914 (May 2009), effective July 1, 2009, amended LR 43:2493 (December 2017), LR 49:1211 (July 2023), LR 51:2045 (December 2025), LR 52:1334 (August 2026).</w:t>
      </w:r>
    </w:p>
    <w:p w14:paraId="1D82531B"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194" w:name="TOC_Chap12"/>
      <w:bookmarkStart w:id="195" w:name="_Toc501545265"/>
      <w:bookmarkStart w:id="196" w:name="_Toc501545266"/>
      <w:bookmarkStart w:id="197" w:name="TOC_Chap15"/>
      <w:bookmarkStart w:id="198" w:name="_Toc501545272"/>
      <w:r w:rsidRPr="00FC5566">
        <w:rPr>
          <w:b/>
          <w:kern w:val="2"/>
        </w:rPr>
        <w:t>Chapter 9.</w:t>
      </w:r>
      <w:bookmarkStart w:id="199" w:name="TOCT_Chap12"/>
      <w:bookmarkEnd w:id="194"/>
      <w:r w:rsidRPr="00FC5566">
        <w:rPr>
          <w:b/>
          <w:kern w:val="2"/>
        </w:rPr>
        <w:tab/>
        <w:t>Gifted and Talented</w:t>
      </w:r>
      <w:bookmarkEnd w:id="195"/>
      <w:bookmarkEnd w:id="199"/>
    </w:p>
    <w:p w14:paraId="2BBB0335"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§901.</w:t>
      </w:r>
      <w:r w:rsidRPr="00FC5566">
        <w:rPr>
          <w:b/>
          <w:kern w:val="2"/>
        </w:rPr>
        <w:tab/>
      </w:r>
      <w:bookmarkStart w:id="200" w:name="Gifted"/>
      <w:r w:rsidRPr="00FC5566">
        <w:rPr>
          <w:b/>
          <w:kern w:val="2"/>
        </w:rPr>
        <w:t>Gifted</w:t>
      </w:r>
      <w:bookmarkEnd w:id="196"/>
      <w:bookmarkEnd w:id="200"/>
    </w:p>
    <w:p w14:paraId="4076DE4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D.2.</w:t>
      </w:r>
      <w:r w:rsidRPr="00FC5566">
        <w:rPr>
          <w:kern w:val="2"/>
        </w:rPr>
        <w:tab/>
        <w:t>…</w:t>
      </w:r>
    </w:p>
    <w:p w14:paraId="2B39EAFD" w14:textId="77777777" w:rsidR="00FC5566" w:rsidRPr="00FC5566" w:rsidRDefault="00FC5566" w:rsidP="00FC5566">
      <w:pPr>
        <w:tabs>
          <w:tab w:val="left" w:pos="907"/>
        </w:tabs>
        <w:ind w:firstLine="547"/>
        <w:jc w:val="both"/>
        <w:outlineLvl w:val="5"/>
        <w:rPr>
          <w:kern w:val="2"/>
        </w:rPr>
      </w:pPr>
      <w:r w:rsidRPr="00FC5566">
        <w:rPr>
          <w:kern w:val="2"/>
        </w:rPr>
        <w:t>a.</w:t>
      </w:r>
      <w:r w:rsidRPr="00FC5566">
        <w:rPr>
          <w:kern w:val="2"/>
        </w:rPr>
        <w:tab/>
        <w:t>an assessment of intellectual abilities, individually or group administered, by a certified school psychologist, licensed specialist in school psychology, or licensed psychologist with a school specialty using nondiscriminatory assessment procedures;</w:t>
      </w:r>
    </w:p>
    <w:p w14:paraId="67F8B14B"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D.2.b. - E.2.d.</w:t>
      </w:r>
      <w:r w:rsidRPr="00FC5566">
        <w:rPr>
          <w:kern w:val="2"/>
        </w:rPr>
        <w:tab/>
        <w:t>…</w:t>
      </w:r>
    </w:p>
    <w:p w14:paraId="4AB66BBA"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17:1941 et seq.</w:t>
      </w:r>
    </w:p>
    <w:p w14:paraId="534FA479"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Board of Elementary and Secondary Education, LR 35:914 (May 2009), effective July 1, 2009, amended LR 51:2045 (December 2025), LR 52:1334 (August 2026).</w:t>
      </w:r>
    </w:p>
    <w:p w14:paraId="316590FF"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201" w:name="_Toc217055093"/>
      <w:bookmarkStart w:id="202" w:name="_Toc217055100"/>
      <w:bookmarkEnd w:id="197"/>
      <w:bookmarkEnd w:id="198"/>
      <w:r w:rsidRPr="00FC5566">
        <w:rPr>
          <w:b/>
          <w:kern w:val="2"/>
        </w:rPr>
        <w:t>Chapter 11.</w:t>
      </w:r>
      <w:r w:rsidRPr="00FC5566">
        <w:rPr>
          <w:b/>
          <w:kern w:val="2"/>
        </w:rPr>
        <w:tab/>
        <w:t>Reevaluation Information</w:t>
      </w:r>
      <w:bookmarkEnd w:id="201"/>
    </w:p>
    <w:p w14:paraId="207854B7"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03" w:name="_Toc217055094"/>
      <w:r w:rsidRPr="00FC5566">
        <w:rPr>
          <w:b/>
          <w:kern w:val="2"/>
        </w:rPr>
        <w:t>§1101.</w:t>
      </w:r>
      <w:r w:rsidRPr="00FC5566">
        <w:rPr>
          <w:b/>
          <w:kern w:val="2"/>
        </w:rPr>
        <w:tab/>
        <w:t>Required Reevaluations</w:t>
      </w:r>
      <w:bookmarkEnd w:id="203"/>
    </w:p>
    <w:p w14:paraId="4356AE4C"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A.4.</w:t>
      </w:r>
      <w:r w:rsidRPr="00FC5566">
        <w:rPr>
          <w:kern w:val="2"/>
        </w:rPr>
        <w:tab/>
        <w:t>…</w:t>
      </w:r>
    </w:p>
    <w:p w14:paraId="6F696DD4"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5.</w:t>
      </w:r>
      <w:r w:rsidRPr="00FC5566">
        <w:rPr>
          <w:kern w:val="2"/>
        </w:rPr>
        <w:tab/>
        <w:t>when a student is no longer suspected of requiring a related service, including but not limited to speech or language therapy, occupational therapy, physical therapy, or is no longer in need of adapted physical education services.</w:t>
      </w:r>
    </w:p>
    <w:p w14:paraId="3AA73E2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 - E.</w:t>
      </w:r>
      <w:r w:rsidRPr="00FC5566">
        <w:rPr>
          <w:kern w:val="2"/>
        </w:rPr>
        <w:tab/>
        <w:t>…</w:t>
      </w:r>
    </w:p>
    <w:p w14:paraId="3D081371"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17:1941 et seq.</w:t>
      </w:r>
    </w:p>
    <w:p w14:paraId="79DEB582"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Board of Elementary and Secondary Education, LR 35:916 (May 2009), effective July 1, 2009, amended LR 43:2494 (December 2017), LR 51:2045 (December 2025), LR 52:1334 (August 2026).</w:t>
      </w:r>
    </w:p>
    <w:p w14:paraId="6FE625CC"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Chapter 15. Related Services</w:t>
      </w:r>
      <w:bookmarkEnd w:id="202"/>
    </w:p>
    <w:p w14:paraId="6B4500C3"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04" w:name="_Toc217055107"/>
      <w:r w:rsidRPr="00FC5566">
        <w:rPr>
          <w:b/>
          <w:kern w:val="2"/>
        </w:rPr>
        <w:t>§1513.</w:t>
      </w:r>
      <w:r w:rsidRPr="00FC5566">
        <w:rPr>
          <w:b/>
          <w:kern w:val="2"/>
        </w:rPr>
        <w:tab/>
        <w:t>School Social Work Services</w:t>
      </w:r>
      <w:bookmarkEnd w:id="204"/>
    </w:p>
    <w:p w14:paraId="513B2A3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C.</w:t>
      </w:r>
      <w:r w:rsidRPr="00FC5566">
        <w:rPr>
          <w:kern w:val="2"/>
        </w:rPr>
        <w:tab/>
        <w:t>…</w:t>
      </w:r>
    </w:p>
    <w:p w14:paraId="65CF0659"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The assessment shall be conducted by a qualified school social worker and shall include the supporting documentation of the psycho-social stressors being experienced by the student and/or his family and will include at a minimum the following procedures:</w:t>
      </w:r>
    </w:p>
    <w:p w14:paraId="52336F07"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C.1.a. - C.2.</w:t>
      </w:r>
      <w:r w:rsidRPr="00FC5566">
        <w:rPr>
          <w:kern w:val="2"/>
        </w:rPr>
        <w:tab/>
        <w:t>…</w:t>
      </w:r>
    </w:p>
    <w:p w14:paraId="1A37528F"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9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17:1941 et seq.</w:t>
      </w:r>
    </w:p>
    <w:p w14:paraId="57670AD2"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Board of Elementary and Secondary Education, LR 35:923 (May 2009), effective July 1, 2009, amended LR 52:1334 (August 2026).</w:t>
      </w:r>
    </w:p>
    <w:bookmarkEnd w:id="137"/>
    <w:bookmarkEnd w:id="138"/>
    <w:p w14:paraId="2716F01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p w14:paraId="36052EA5" w14:textId="77777777" w:rsidR="00FC5566" w:rsidRPr="00FC5566" w:rsidRDefault="00FC5566" w:rsidP="00FC5566">
      <w:pPr>
        <w:keepNext/>
        <w:ind w:left="2160"/>
        <w:jc w:val="both"/>
      </w:pPr>
      <w:r w:rsidRPr="00FC5566">
        <w:t>Tavares A. Walker</w:t>
      </w:r>
    </w:p>
    <w:p w14:paraId="7FDB41AF" w14:textId="77777777" w:rsidR="00FC5566" w:rsidRPr="00FC5566" w:rsidRDefault="00FC5566" w:rsidP="00FC5566">
      <w:pPr>
        <w:keepNext/>
        <w:ind w:left="2160"/>
        <w:jc w:val="both"/>
      </w:pPr>
      <w:r w:rsidRPr="00FC5566">
        <w:t>Executive Director</w:t>
      </w:r>
    </w:p>
    <w:p w14:paraId="1973DD4C" w14:textId="77777777" w:rsidR="00FC5566" w:rsidRPr="00FC5566" w:rsidRDefault="00FC5566" w:rsidP="00FC5566">
      <w:pPr>
        <w:rPr>
          <w:noProof/>
          <w:sz w:val="16"/>
        </w:rPr>
      </w:pPr>
      <w:r w:rsidRPr="00FC5566">
        <w:rPr>
          <w:noProof/>
          <w:sz w:val="16"/>
        </w:rPr>
        <w:t>2608#046</w:t>
      </w:r>
    </w:p>
    <w:p w14:paraId="0CFD76DE" w14:textId="77777777" w:rsidR="00FC5566" w:rsidRPr="00FC5566" w:rsidRDefault="00FC5566" w:rsidP="00FC5566"/>
    <w:p w14:paraId="72C5D659" w14:textId="77777777" w:rsidR="00FC5566" w:rsidRPr="00FC5566" w:rsidRDefault="00FC5566" w:rsidP="00FC5566">
      <w:pPr>
        <w:keepNext/>
        <w:tabs>
          <w:tab w:val="left" w:pos="-1440"/>
        </w:tabs>
        <w:spacing w:after="120"/>
        <w:jc w:val="center"/>
        <w:rPr>
          <w:b/>
          <w:noProof/>
        </w:rPr>
      </w:pPr>
      <w:bookmarkStart w:id="205" w:name="TOC_Chap82"/>
      <w:r w:rsidRPr="00FC5566">
        <w:rPr>
          <w:b/>
          <w:noProof/>
        </w:rPr>
        <w:t>RULE</w:t>
      </w:r>
    </w:p>
    <w:p w14:paraId="2ABCFAE9" w14:textId="77777777" w:rsidR="00FC5566" w:rsidRPr="00FC5566" w:rsidRDefault="00FC5566" w:rsidP="00FC5566">
      <w:pPr>
        <w:keepNext/>
        <w:jc w:val="center"/>
        <w:rPr>
          <w:b/>
          <w:noProof/>
        </w:rPr>
      </w:pPr>
      <w:r w:rsidRPr="00FC5566">
        <w:rPr>
          <w:b/>
          <w:noProof/>
        </w:rPr>
        <w:t>Department of Environmental Quality</w:t>
      </w:r>
    </w:p>
    <w:p w14:paraId="2EF289BF" w14:textId="77777777" w:rsidR="00FC5566" w:rsidRPr="00FC5566" w:rsidRDefault="00FC5566" w:rsidP="00FC5566">
      <w:pPr>
        <w:keepNext/>
        <w:jc w:val="center"/>
        <w:rPr>
          <w:b/>
          <w:noProof/>
        </w:rPr>
      </w:pPr>
      <w:r w:rsidRPr="00FC5566">
        <w:rPr>
          <w:b/>
          <w:noProof/>
        </w:rPr>
        <w:t>Office of the Secretary</w:t>
      </w:r>
    </w:p>
    <w:p w14:paraId="299B3AB5" w14:textId="77777777" w:rsidR="00FC5566" w:rsidRPr="00FC5566" w:rsidRDefault="00FC5566" w:rsidP="00FC5566">
      <w:pPr>
        <w:keepNext/>
        <w:jc w:val="center"/>
        <w:rPr>
          <w:b/>
          <w:noProof/>
        </w:rPr>
      </w:pPr>
      <w:r w:rsidRPr="00FC5566">
        <w:rPr>
          <w:b/>
          <w:noProof/>
        </w:rPr>
        <w:t>Legal Affairs Division</w:t>
      </w:r>
    </w:p>
    <w:p w14:paraId="4327EED2" w14:textId="77777777" w:rsidR="00FC5566" w:rsidRPr="00FC5566" w:rsidRDefault="00FC5566" w:rsidP="00FC5566">
      <w:pPr>
        <w:keepNext/>
        <w:spacing w:before="240" w:after="240"/>
        <w:jc w:val="center"/>
        <w:rPr>
          <w:noProof/>
        </w:rPr>
      </w:pPr>
      <w:r w:rsidRPr="00FC5566">
        <w:rPr>
          <w:noProof/>
        </w:rPr>
        <w:t>Notification and Permit Transfer Procedures for Changes to Company/Facility Name and Ownership/Operator</w:t>
      </w:r>
      <w:r w:rsidRPr="00FC5566">
        <w:rPr>
          <w:noProof/>
        </w:rPr>
        <w:br/>
        <w:t>(LAC 33:I.Chapter 19)</w:t>
      </w:r>
    </w:p>
    <w:p w14:paraId="6E01C98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 xml:space="preserve">Under the authority of the Louisiana Environmental Quality Act, R.S. 30:2001 et seq., and in accordance with the provisions of the Administrative Procedure Act, R.S. 49:950 et seq., the secretary has amended the </w:t>
      </w:r>
      <w:r w:rsidRPr="00FC5566">
        <w:rPr>
          <w:noProof/>
          <w:kern w:val="2"/>
        </w:rPr>
        <w:t>Office of the Secretary</w:t>
      </w:r>
      <w:r w:rsidRPr="00FC5566">
        <w:rPr>
          <w:kern w:val="2"/>
        </w:rPr>
        <w:t xml:space="preserve"> regulations, </w:t>
      </w:r>
      <w:r w:rsidRPr="00FC5566">
        <w:rPr>
          <w:noProof/>
          <w:kern w:val="2"/>
        </w:rPr>
        <w:t>LAC 33:I.Chapter 19</w:t>
      </w:r>
      <w:r w:rsidRPr="00FC5566">
        <w:rPr>
          <w:kern w:val="2"/>
        </w:rPr>
        <w:t xml:space="preserve"> (</w:t>
      </w:r>
      <w:r w:rsidRPr="00FC5566">
        <w:rPr>
          <w:noProof/>
          <w:kern w:val="2"/>
        </w:rPr>
        <w:t>OS099</w:t>
      </w:r>
      <w:r w:rsidRPr="00FC5566">
        <w:rPr>
          <w:kern w:val="2"/>
        </w:rPr>
        <w:t>).</w:t>
      </w:r>
    </w:p>
    <w:p w14:paraId="559E0934" w14:textId="77777777" w:rsidR="00FC5566" w:rsidRPr="00FC5566" w:rsidRDefault="00FC5566" w:rsidP="00FC5566">
      <w:pPr>
        <w:tabs>
          <w:tab w:val="left" w:pos="144"/>
          <w:tab w:val="left" w:pos="187"/>
          <w:tab w:val="left" w:pos="540"/>
          <w:tab w:val="left" w:pos="907"/>
          <w:tab w:val="left" w:pos="1080"/>
        </w:tabs>
        <w:ind w:firstLine="187"/>
        <w:jc w:val="both"/>
        <w:outlineLvl w:val="3"/>
        <w:rPr>
          <w:noProof/>
          <w:kern w:val="2"/>
        </w:rPr>
      </w:pPr>
      <w:r w:rsidRPr="00FC5566">
        <w:rPr>
          <w:noProof/>
          <w:kern w:val="2"/>
        </w:rPr>
        <w:t>The Rule modifies exisiting regulations by clarifying the applicability and addressing other items in order to minimize the number of deficient or incomplete forms submitted to the department.</w:t>
      </w:r>
    </w:p>
    <w:p w14:paraId="2AD3E7C8"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noProof/>
          <w:kern w:val="2"/>
        </w:rPr>
        <w:t>The Permit Application and Administrative Review group (PAAR) with the Public Particiaption and Permit Support Division is responsible for processing Notification of Change forms according to LAC 33:I.Chapter 19. Due to the lack of specificity in the current regulation, many applicants submit applications that are incomplete or request action on activities not covered in the regulation. This results in a high percentage of applications requiring deficiency letters or additional clarification. The Rule addresses these issues.</w:t>
      </w:r>
      <w:r w:rsidRPr="00FC5566">
        <w:rPr>
          <w:kern w:val="2"/>
        </w:rPr>
        <w:t xml:space="preserve"> </w:t>
      </w:r>
      <w:r w:rsidRPr="00FC5566">
        <w:rPr>
          <w:noProof/>
          <w:kern w:val="2"/>
        </w:rPr>
        <w:t>The basis and rationale for this Rule are to provide clarification and better customer service, clarify expectations, and provide these services more effectively and efficiently.</w:t>
      </w:r>
      <w:r w:rsidRPr="00FC5566">
        <w:rPr>
          <w:kern w:val="2"/>
        </w:rPr>
        <w:t xml:space="preserve"> This Rule meets an exception listed in R.S. 30:2019(D)(2) and R.S. 49:963.B(3); therefore, no report regarding environmental/health benefits and social/economic costs is required. This Rule is hereby adopted on the day of promulgation. </w:t>
      </w:r>
    </w:p>
    <w:p w14:paraId="1E6FBFF8" w14:textId="77777777" w:rsidR="00FC5566" w:rsidRPr="00FC5566" w:rsidRDefault="00FC5566" w:rsidP="00FC5566">
      <w:pPr>
        <w:keepNext/>
        <w:jc w:val="center"/>
        <w:rPr>
          <w:b/>
          <w:kern w:val="28"/>
        </w:rPr>
      </w:pPr>
      <w:r w:rsidRPr="00FC5566">
        <w:rPr>
          <w:b/>
          <w:kern w:val="28"/>
        </w:rPr>
        <w:t>Title 33</w:t>
      </w:r>
    </w:p>
    <w:p w14:paraId="40245E8B" w14:textId="77777777" w:rsidR="00FC5566" w:rsidRPr="00FC5566" w:rsidRDefault="00FC5566" w:rsidP="00FC5566">
      <w:pPr>
        <w:keepNext/>
        <w:jc w:val="center"/>
        <w:rPr>
          <w:b/>
          <w:kern w:val="28"/>
        </w:rPr>
      </w:pPr>
      <w:r w:rsidRPr="00FC5566">
        <w:rPr>
          <w:b/>
          <w:kern w:val="28"/>
        </w:rPr>
        <w:t>ENVIRONMENTAL QUALITY</w:t>
      </w:r>
    </w:p>
    <w:p w14:paraId="4E4BBEFB" w14:textId="77777777" w:rsidR="00FC5566" w:rsidRPr="00FC5566" w:rsidRDefault="00FC5566" w:rsidP="00FC5566">
      <w:pPr>
        <w:keepNext/>
        <w:jc w:val="center"/>
        <w:rPr>
          <w:b/>
          <w:noProof/>
        </w:rPr>
      </w:pPr>
      <w:r w:rsidRPr="00FC5566">
        <w:rPr>
          <w:b/>
          <w:noProof/>
        </w:rPr>
        <w:t>Part I.  Office of the Secretary</w:t>
      </w:r>
    </w:p>
    <w:p w14:paraId="4AEA7DC6" w14:textId="77777777" w:rsidR="00FC5566" w:rsidRPr="00FC5566" w:rsidRDefault="00FC5566" w:rsidP="00FC5566">
      <w:pPr>
        <w:keepNext/>
        <w:jc w:val="center"/>
        <w:rPr>
          <w:b/>
          <w:noProof/>
        </w:rPr>
      </w:pPr>
      <w:r w:rsidRPr="00FC5566">
        <w:rPr>
          <w:b/>
          <w:noProof/>
        </w:rPr>
        <w:t>Subpart 1.  Departmental Administrative Procedures</w:t>
      </w:r>
    </w:p>
    <w:p w14:paraId="20E7DF8F"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Chapter 19</w:t>
      </w:r>
      <w:bookmarkEnd w:id="205"/>
      <w:r w:rsidRPr="00FC5566">
        <w:rPr>
          <w:b/>
          <w:kern w:val="2"/>
        </w:rPr>
        <w:tab/>
      </w:r>
      <w:bookmarkStart w:id="206" w:name="TOCT_Chap82"/>
      <w:r w:rsidRPr="00FC5566">
        <w:rPr>
          <w:b/>
          <w:kern w:val="2"/>
        </w:rPr>
        <w:t>Notification and Permit Transfer Procedures for Changes to Company/Facility Name and Ownership/Operator</w:t>
      </w:r>
      <w:bookmarkEnd w:id="206"/>
    </w:p>
    <w:p w14:paraId="7A78477D"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07" w:name="TOC_Sect277"/>
      <w:r w:rsidRPr="00FC5566">
        <w:rPr>
          <w:b/>
          <w:kern w:val="2"/>
        </w:rPr>
        <w:t>§1901.</w:t>
      </w:r>
      <w:r w:rsidRPr="00FC5566">
        <w:rPr>
          <w:b/>
          <w:kern w:val="2"/>
        </w:rPr>
        <w:tab/>
        <w:t>Applicability</w:t>
      </w:r>
      <w:bookmarkEnd w:id="207"/>
    </w:p>
    <w:p w14:paraId="735B7EBE"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 xml:space="preserve">This Chapter applies to changes at a facility for a company/facility name change or an ownership/operator change for certain effective permits issued under the air, </w:t>
      </w:r>
      <w:r w:rsidRPr="00FC5566">
        <w:rPr>
          <w:kern w:val="2"/>
        </w:rPr>
        <w:lastRenderedPageBreak/>
        <w:t>water, hazardous waste, and solid waste regulatory programs. The new owner/operator shall comply with the financial assurance requirements in accordance with LAC 33:I.1907 or 1909.</w:t>
      </w:r>
    </w:p>
    <w:p w14:paraId="181A3470"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Notifications of changes shall be submitted by the new owner/operator to the department on the most current version of the Notification of Change Form (NOC-1 Form) approved by the department. This form may be found on the department’s website. Notification of changes shall be made for or holding any air permits, Louisiana Pollutant Discharge Elimination System (LPDES) permits, hazardous waste permits, and/or solid waste permits as indicated below:</w:t>
      </w:r>
    </w:p>
    <w:p w14:paraId="405A7871" w14:textId="77777777" w:rsidR="00FC5566" w:rsidRPr="00FC5566" w:rsidRDefault="00FC5566" w:rsidP="00FC5566">
      <w:pPr>
        <w:tabs>
          <w:tab w:val="left" w:pos="907"/>
        </w:tabs>
        <w:ind w:firstLine="547"/>
        <w:jc w:val="both"/>
        <w:outlineLvl w:val="5"/>
        <w:rPr>
          <w:kern w:val="2"/>
        </w:rPr>
      </w:pPr>
      <w:r w:rsidRPr="00FC5566">
        <w:rPr>
          <w:kern w:val="2"/>
        </w:rPr>
        <w:t>a.</w:t>
      </w:r>
      <w:r w:rsidRPr="00FC5566">
        <w:rPr>
          <w:kern w:val="2"/>
        </w:rPr>
        <w:tab/>
        <w:t>air quality permits, including, but not limited to:</w:t>
      </w:r>
    </w:p>
    <w:p w14:paraId="69CB5307"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w:t>
      </w:r>
      <w:r w:rsidRPr="00FC5566">
        <w:rPr>
          <w:kern w:val="2"/>
        </w:rPr>
        <w:tab/>
        <w:t>regulatory permits;</w:t>
      </w:r>
    </w:p>
    <w:p w14:paraId="383D146D"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ii.</w:t>
      </w:r>
      <w:r w:rsidRPr="00FC5566">
        <w:rPr>
          <w:kern w:val="2"/>
        </w:rPr>
        <w:tab/>
        <w:t>minor source permits;</w:t>
      </w:r>
    </w:p>
    <w:p w14:paraId="1A456E1F"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iii.</w:t>
      </w:r>
      <w:r w:rsidRPr="00FC5566">
        <w:rPr>
          <w:kern w:val="2"/>
        </w:rPr>
        <w:tab/>
        <w:t>Title V permits;</w:t>
      </w:r>
    </w:p>
    <w:p w14:paraId="749E4A8A"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iv.</w:t>
      </w:r>
      <w:r w:rsidRPr="00FC5566">
        <w:rPr>
          <w:kern w:val="2"/>
        </w:rPr>
        <w:tab/>
        <w:t>acid rain permits;</w:t>
      </w:r>
    </w:p>
    <w:p w14:paraId="779E8192"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v.</w:t>
      </w:r>
      <w:r w:rsidRPr="00FC5566">
        <w:rPr>
          <w:kern w:val="2"/>
        </w:rPr>
        <w:tab/>
        <w:t xml:space="preserve">prevention of significant deterioration (PSD) permits; </w:t>
      </w:r>
    </w:p>
    <w:p w14:paraId="16DDBE8B"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vi.</w:t>
      </w:r>
      <w:r w:rsidRPr="00FC5566">
        <w:rPr>
          <w:kern w:val="2"/>
        </w:rPr>
        <w:tab/>
        <w:t>exemptions granted under LAC 33:III.501.B.4;</w:t>
      </w:r>
    </w:p>
    <w:p w14:paraId="53E3A1C1"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vii.</w:t>
      </w:r>
      <w:r w:rsidRPr="00FC5566">
        <w:rPr>
          <w:kern w:val="2"/>
        </w:rPr>
        <w:tab/>
        <w:t>exemptions to test granted under LAC 33:III.523.B. may be transferred at the discretion of the administrative authority; and</w:t>
      </w:r>
    </w:p>
    <w:p w14:paraId="5EC138FC"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viii.</w:t>
      </w:r>
      <w:r w:rsidRPr="00FC5566">
        <w:rPr>
          <w:kern w:val="2"/>
        </w:rPr>
        <w:tab/>
        <w:t>variances granted under LAC 33:III.917 or 2119, may be transferred at the discretion of the administrative authority:</w:t>
      </w:r>
    </w:p>
    <w:p w14:paraId="35B40D84" w14:textId="77777777" w:rsidR="00FC5566" w:rsidRPr="00FC5566" w:rsidRDefault="00FC5566" w:rsidP="00FC5566">
      <w:pPr>
        <w:tabs>
          <w:tab w:val="left" w:pos="907"/>
        </w:tabs>
        <w:ind w:firstLine="547"/>
        <w:jc w:val="both"/>
        <w:outlineLvl w:val="5"/>
        <w:rPr>
          <w:kern w:val="2"/>
        </w:rPr>
      </w:pPr>
      <w:r w:rsidRPr="00FC5566">
        <w:rPr>
          <w:kern w:val="2"/>
        </w:rPr>
        <w:t>b.</w:t>
      </w:r>
      <w:r w:rsidRPr="00FC5566">
        <w:rPr>
          <w:kern w:val="2"/>
        </w:rPr>
        <w:tab/>
        <w:t>solid waste permits;</w:t>
      </w:r>
    </w:p>
    <w:p w14:paraId="57773EFE" w14:textId="77777777" w:rsidR="00FC5566" w:rsidRPr="00FC5566" w:rsidRDefault="00FC5566" w:rsidP="00FC5566">
      <w:pPr>
        <w:tabs>
          <w:tab w:val="left" w:pos="907"/>
        </w:tabs>
        <w:ind w:firstLine="547"/>
        <w:jc w:val="both"/>
        <w:outlineLvl w:val="5"/>
        <w:rPr>
          <w:kern w:val="2"/>
        </w:rPr>
      </w:pPr>
      <w:r w:rsidRPr="00FC5566">
        <w:rPr>
          <w:kern w:val="2"/>
        </w:rPr>
        <w:t>c.</w:t>
      </w:r>
      <w:r w:rsidRPr="00FC5566">
        <w:rPr>
          <w:kern w:val="2"/>
        </w:rPr>
        <w:tab/>
        <w:t>hazardous waste permits;</w:t>
      </w:r>
    </w:p>
    <w:p w14:paraId="14B87F67" w14:textId="77777777" w:rsidR="00FC5566" w:rsidRPr="00FC5566" w:rsidRDefault="00FC5566" w:rsidP="00FC5566">
      <w:pPr>
        <w:tabs>
          <w:tab w:val="left" w:pos="907"/>
        </w:tabs>
        <w:ind w:firstLine="547"/>
        <w:jc w:val="both"/>
        <w:outlineLvl w:val="5"/>
        <w:rPr>
          <w:kern w:val="2"/>
        </w:rPr>
      </w:pPr>
      <w:r w:rsidRPr="00FC5566">
        <w:rPr>
          <w:kern w:val="2"/>
        </w:rPr>
        <w:t>d.</w:t>
      </w:r>
      <w:r w:rsidRPr="00FC5566">
        <w:rPr>
          <w:kern w:val="2"/>
        </w:rPr>
        <w:tab/>
        <w:t>LPDES permits, except as noted in Subsection A.5 and C of this Section; and</w:t>
      </w:r>
    </w:p>
    <w:p w14:paraId="04FC3FD4" w14:textId="77777777" w:rsidR="00FC5566" w:rsidRPr="00FC5566" w:rsidRDefault="00FC5566" w:rsidP="00FC5566">
      <w:pPr>
        <w:tabs>
          <w:tab w:val="left" w:pos="907"/>
        </w:tabs>
        <w:ind w:firstLine="547"/>
        <w:jc w:val="both"/>
        <w:outlineLvl w:val="5"/>
        <w:rPr>
          <w:kern w:val="2"/>
        </w:rPr>
      </w:pPr>
      <w:r w:rsidRPr="00FC5566">
        <w:rPr>
          <w:kern w:val="2"/>
        </w:rPr>
        <w:t>e.</w:t>
      </w:r>
      <w:r w:rsidRPr="00FC5566">
        <w:rPr>
          <w:kern w:val="2"/>
        </w:rPr>
        <w:tab/>
        <w:t>biosolids permits.</w:t>
      </w:r>
    </w:p>
    <w:p w14:paraId="5C295E56"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Administratively extended permits may be transferred under this Chapter at the discretion of the administrative authority.</w:t>
      </w:r>
    </w:p>
    <w:p w14:paraId="3A14FD88"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The NOC-1 Form shall not be used to make name changes, or to transfer authorization to a new owner or operator for:</w:t>
      </w:r>
    </w:p>
    <w:p w14:paraId="524F20A6" w14:textId="77777777" w:rsidR="00FC5566" w:rsidRPr="00FC5566" w:rsidRDefault="00FC5566" w:rsidP="00FC5566">
      <w:pPr>
        <w:tabs>
          <w:tab w:val="left" w:pos="907"/>
        </w:tabs>
        <w:ind w:firstLine="547"/>
        <w:jc w:val="both"/>
        <w:outlineLvl w:val="5"/>
        <w:rPr>
          <w:kern w:val="2"/>
        </w:rPr>
      </w:pPr>
      <w:r w:rsidRPr="00FC5566">
        <w:rPr>
          <w:kern w:val="2"/>
        </w:rPr>
        <w:t>a.</w:t>
      </w:r>
      <w:r w:rsidRPr="00FC5566">
        <w:rPr>
          <w:kern w:val="2"/>
        </w:rPr>
        <w:tab/>
        <w:t>radiation permits and licenses;</w:t>
      </w:r>
    </w:p>
    <w:p w14:paraId="40A45CC4" w14:textId="77777777" w:rsidR="00FC5566" w:rsidRPr="00FC5566" w:rsidRDefault="00FC5566" w:rsidP="00FC5566">
      <w:pPr>
        <w:tabs>
          <w:tab w:val="left" w:pos="907"/>
        </w:tabs>
        <w:ind w:firstLine="547"/>
        <w:jc w:val="both"/>
        <w:outlineLvl w:val="5"/>
        <w:rPr>
          <w:kern w:val="2"/>
        </w:rPr>
      </w:pPr>
      <w:r w:rsidRPr="00FC5566">
        <w:rPr>
          <w:kern w:val="2"/>
        </w:rPr>
        <w:t>b.</w:t>
      </w:r>
      <w:r w:rsidRPr="00FC5566">
        <w:rPr>
          <w:kern w:val="2"/>
        </w:rPr>
        <w:tab/>
        <w:t>UST registrations and certifications;</w:t>
      </w:r>
    </w:p>
    <w:p w14:paraId="7C87AA95" w14:textId="77777777" w:rsidR="00FC5566" w:rsidRPr="00FC5566" w:rsidRDefault="00FC5566" w:rsidP="00FC5566">
      <w:pPr>
        <w:tabs>
          <w:tab w:val="left" w:pos="907"/>
        </w:tabs>
        <w:ind w:firstLine="547"/>
        <w:jc w:val="both"/>
        <w:outlineLvl w:val="5"/>
        <w:rPr>
          <w:kern w:val="2"/>
        </w:rPr>
      </w:pPr>
      <w:r w:rsidRPr="00FC5566">
        <w:rPr>
          <w:kern w:val="2"/>
        </w:rPr>
        <w:t>c.</w:t>
      </w:r>
      <w:r w:rsidRPr="00FC5566">
        <w:rPr>
          <w:kern w:val="2"/>
        </w:rPr>
        <w:tab/>
        <w:t>water quality certifications;</w:t>
      </w:r>
    </w:p>
    <w:p w14:paraId="7BA81F18" w14:textId="77777777" w:rsidR="00FC5566" w:rsidRPr="00FC5566" w:rsidRDefault="00FC5566" w:rsidP="00FC5566">
      <w:pPr>
        <w:tabs>
          <w:tab w:val="left" w:pos="907"/>
        </w:tabs>
        <w:ind w:firstLine="547"/>
        <w:jc w:val="both"/>
        <w:outlineLvl w:val="5"/>
        <w:rPr>
          <w:kern w:val="2"/>
        </w:rPr>
      </w:pPr>
      <w:r w:rsidRPr="00FC5566">
        <w:rPr>
          <w:kern w:val="2"/>
        </w:rPr>
        <w:t>d.</w:t>
      </w:r>
      <w:r w:rsidRPr="00FC5566">
        <w:rPr>
          <w:kern w:val="2"/>
        </w:rPr>
        <w:tab/>
        <w:t>certifications, registrations, and accreditations related to the asbestos program;</w:t>
      </w:r>
    </w:p>
    <w:p w14:paraId="7BBDDD6B" w14:textId="77777777" w:rsidR="00FC5566" w:rsidRPr="00FC5566" w:rsidRDefault="00FC5566" w:rsidP="00FC5566">
      <w:pPr>
        <w:tabs>
          <w:tab w:val="left" w:pos="907"/>
        </w:tabs>
        <w:ind w:firstLine="547"/>
        <w:jc w:val="both"/>
        <w:outlineLvl w:val="5"/>
        <w:rPr>
          <w:kern w:val="2"/>
        </w:rPr>
      </w:pPr>
      <w:r w:rsidRPr="00FC5566">
        <w:rPr>
          <w:kern w:val="2"/>
        </w:rPr>
        <w:t>e.</w:t>
      </w:r>
      <w:r w:rsidRPr="00FC5566">
        <w:rPr>
          <w:kern w:val="2"/>
        </w:rPr>
        <w:tab/>
        <w:t>certifications, registrations, and accreditations related to the lead based paint program;</w:t>
      </w:r>
    </w:p>
    <w:p w14:paraId="3DE43BE5" w14:textId="77777777" w:rsidR="00FC5566" w:rsidRPr="00FC5566" w:rsidRDefault="00FC5566" w:rsidP="00FC5566">
      <w:pPr>
        <w:tabs>
          <w:tab w:val="left" w:pos="907"/>
        </w:tabs>
        <w:ind w:firstLine="547"/>
        <w:jc w:val="both"/>
        <w:outlineLvl w:val="5"/>
        <w:rPr>
          <w:kern w:val="2"/>
        </w:rPr>
      </w:pPr>
      <w:r w:rsidRPr="00FC5566">
        <w:rPr>
          <w:kern w:val="2"/>
        </w:rPr>
        <w:t>f.</w:t>
      </w:r>
      <w:r w:rsidRPr="00FC5566">
        <w:rPr>
          <w:kern w:val="2"/>
        </w:rPr>
        <w:tab/>
        <w:t>transporter ID numbers and authorizations under the hazardous waste program (see Subsection D of this Section);</w:t>
      </w:r>
    </w:p>
    <w:p w14:paraId="77DA9AED" w14:textId="77777777" w:rsidR="00FC5566" w:rsidRPr="00FC5566" w:rsidRDefault="00FC5566" w:rsidP="00FC5566">
      <w:pPr>
        <w:tabs>
          <w:tab w:val="left" w:pos="907"/>
        </w:tabs>
        <w:ind w:firstLine="547"/>
        <w:jc w:val="both"/>
        <w:outlineLvl w:val="5"/>
        <w:rPr>
          <w:kern w:val="2"/>
        </w:rPr>
      </w:pPr>
      <w:r w:rsidRPr="00FC5566">
        <w:rPr>
          <w:kern w:val="2"/>
        </w:rPr>
        <w:t>g.</w:t>
      </w:r>
      <w:r w:rsidRPr="00FC5566">
        <w:rPr>
          <w:kern w:val="2"/>
        </w:rPr>
        <w:tab/>
        <w:t>transporter ID numbers and authorizations under the solid waste and sewage sludge programs;</w:t>
      </w:r>
    </w:p>
    <w:p w14:paraId="18767507" w14:textId="77777777" w:rsidR="00FC5566" w:rsidRPr="00FC5566" w:rsidRDefault="00FC5566" w:rsidP="00FC5566">
      <w:pPr>
        <w:tabs>
          <w:tab w:val="left" w:pos="907"/>
        </w:tabs>
        <w:ind w:firstLine="547"/>
        <w:jc w:val="both"/>
        <w:outlineLvl w:val="5"/>
        <w:rPr>
          <w:kern w:val="2"/>
        </w:rPr>
      </w:pPr>
      <w:r w:rsidRPr="00FC5566">
        <w:rPr>
          <w:kern w:val="2"/>
        </w:rPr>
        <w:t>h.</w:t>
      </w:r>
      <w:r w:rsidRPr="00FC5566">
        <w:rPr>
          <w:kern w:val="2"/>
        </w:rPr>
        <w:tab/>
        <w:t xml:space="preserve"> accreditations under the Louisiana Environmental Laboratory Accreditation Program; and</w:t>
      </w:r>
    </w:p>
    <w:p w14:paraId="13745BFF" w14:textId="77777777" w:rsidR="00FC5566" w:rsidRPr="00FC5566" w:rsidRDefault="00FC5566" w:rsidP="00FC5566">
      <w:pPr>
        <w:tabs>
          <w:tab w:val="left" w:pos="907"/>
        </w:tabs>
        <w:ind w:firstLine="547"/>
        <w:jc w:val="both"/>
        <w:outlineLvl w:val="5"/>
        <w:rPr>
          <w:kern w:val="2"/>
        </w:rPr>
      </w:pPr>
      <w:r w:rsidRPr="00FC5566">
        <w:rPr>
          <w:kern w:val="2"/>
        </w:rPr>
        <w:t>i.</w:t>
      </w:r>
      <w:r w:rsidRPr="00FC5566">
        <w:rPr>
          <w:kern w:val="2"/>
        </w:rPr>
        <w:tab/>
        <w:t>name and ownership/operator changes for sites undergoing remediation, other than for the transfer of effective permits associated with the site(s).</w:t>
      </w:r>
    </w:p>
    <w:p w14:paraId="71F9FFEE"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w:t>
      </w:r>
      <w:r w:rsidRPr="00FC5566">
        <w:rPr>
          <w:kern w:val="2"/>
        </w:rPr>
        <w:tab/>
        <w:t>The following do not qualify for company/facility name or ownership/operator changes by the department through the NOC-1 Form:</w:t>
      </w:r>
    </w:p>
    <w:p w14:paraId="1EDC3371" w14:textId="77777777" w:rsidR="00FC5566" w:rsidRPr="00FC5566" w:rsidRDefault="00FC5566" w:rsidP="00FC5566">
      <w:pPr>
        <w:tabs>
          <w:tab w:val="left" w:pos="907"/>
        </w:tabs>
        <w:ind w:firstLine="547"/>
        <w:jc w:val="both"/>
        <w:outlineLvl w:val="5"/>
        <w:rPr>
          <w:kern w:val="2"/>
        </w:rPr>
      </w:pPr>
      <w:r w:rsidRPr="00FC5566">
        <w:rPr>
          <w:kern w:val="2"/>
        </w:rPr>
        <w:t>a.</w:t>
      </w:r>
      <w:r w:rsidRPr="00FC5566">
        <w:rPr>
          <w:kern w:val="2"/>
        </w:rPr>
        <w:tab/>
        <w:t>LPDES general permits, which specifically include language prohibiting transfer of permit coverage;</w:t>
      </w:r>
    </w:p>
    <w:p w14:paraId="00AE31C6" w14:textId="77777777" w:rsidR="00FC5566" w:rsidRPr="00FC5566" w:rsidRDefault="00FC5566" w:rsidP="00FC5566">
      <w:pPr>
        <w:tabs>
          <w:tab w:val="left" w:pos="907"/>
        </w:tabs>
        <w:ind w:firstLine="547"/>
        <w:jc w:val="both"/>
        <w:outlineLvl w:val="5"/>
        <w:rPr>
          <w:kern w:val="2"/>
        </w:rPr>
      </w:pPr>
      <w:r w:rsidRPr="00FC5566">
        <w:rPr>
          <w:kern w:val="2"/>
        </w:rPr>
        <w:t>b.</w:t>
      </w:r>
      <w:r w:rsidRPr="00FC5566">
        <w:rPr>
          <w:kern w:val="2"/>
        </w:rPr>
        <w:tab/>
        <w:t>any hazardous waste variances requested or updated in accordance with LAC 33:V.105.K;</w:t>
      </w:r>
    </w:p>
    <w:p w14:paraId="35B8237D" w14:textId="77777777" w:rsidR="00FC5566" w:rsidRPr="00FC5566" w:rsidRDefault="00FC5566" w:rsidP="00FC5566">
      <w:pPr>
        <w:tabs>
          <w:tab w:val="left" w:pos="907"/>
        </w:tabs>
        <w:ind w:firstLine="547"/>
        <w:jc w:val="both"/>
        <w:outlineLvl w:val="5"/>
        <w:rPr>
          <w:kern w:val="2"/>
        </w:rPr>
      </w:pPr>
      <w:r w:rsidRPr="00FC5566">
        <w:rPr>
          <w:kern w:val="2"/>
        </w:rPr>
        <w:t>c.</w:t>
      </w:r>
      <w:r w:rsidRPr="00FC5566">
        <w:rPr>
          <w:kern w:val="2"/>
        </w:rPr>
        <w:tab/>
        <w:t>any permit that is expired, terminated, or rescinded (except that administratively continued permits pending renewal may be transferred at the discretion of the permitting authority); and</w:t>
      </w:r>
    </w:p>
    <w:p w14:paraId="743652D7" w14:textId="77777777" w:rsidR="00FC5566" w:rsidRPr="00FC5566" w:rsidRDefault="00FC5566" w:rsidP="00FC5566">
      <w:pPr>
        <w:tabs>
          <w:tab w:val="left" w:pos="907"/>
        </w:tabs>
        <w:ind w:firstLine="547"/>
        <w:jc w:val="both"/>
        <w:outlineLvl w:val="5"/>
        <w:rPr>
          <w:kern w:val="2"/>
        </w:rPr>
      </w:pPr>
      <w:r w:rsidRPr="00FC5566">
        <w:rPr>
          <w:kern w:val="2"/>
        </w:rPr>
        <w:t>d.</w:t>
      </w:r>
      <w:r w:rsidRPr="00FC5566">
        <w:rPr>
          <w:kern w:val="2"/>
        </w:rPr>
        <w:tab/>
        <w:t>administrative orders, settlement agreements, orders on consent, orders to close, orders to upgrade, or any other such mechanism.</w:t>
      </w:r>
    </w:p>
    <w:p w14:paraId="6315050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A name or ownership/operator change processed in accordance with this Chapter will be considered a minor permitting action or administrative amendment. Name or ownership/operator change requests shall be processed in accordance with this Chapter, unless the administrative authority determines the name or ownership/operator change shall be processed pursuant to the requirements for a minor permit modification or administrative amendment in lieu of the procedures contained in this Chapter.</w:t>
      </w:r>
    </w:p>
    <w:p w14:paraId="386DDDCB"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When the ownership of a facility holding an LPDES permit changes and there is no change to the operator of that facility, a LPDES permit transfer is not required. A NOC-1 Form shall be submitted for a change in the name of a facility or a change in the name of the company, in accordance with LAC 33:I.1905.</w:t>
      </w:r>
    </w:p>
    <w:p w14:paraId="69E273D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D.</w:t>
      </w:r>
      <w:r w:rsidRPr="00FC5566">
        <w:rPr>
          <w:kern w:val="2"/>
        </w:rPr>
        <w:tab/>
        <w:t>EPA Hazardous Waste Identification (ID) Numbers</w:t>
      </w:r>
    </w:p>
    <w:p w14:paraId="2F82B056"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EPA hazardous waste ID numbers are not transferable.</w:t>
      </w:r>
    </w:p>
    <w:p w14:paraId="43B393AE"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For facilities with a hazardous waste permit, the new applicant shall submit both an accurate and complete NOC-1 Form to transfer the permit and an accurate and complete Notification of Hazardous Waste Activity Form (HW-1 Form), or a RCRA Subtitle C Site Identification Form (EPA Form 8700-12) for changes to the EPA hazardous waste ID number in accordance with LAC 33:V.1017. The applicant shall use the most current versions of the NOC-1 and HW-1 forms approved by the department.</w:t>
      </w:r>
    </w:p>
    <w:p w14:paraId="5B355C24"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For facilities with an EPA hazardous waste ID number that do not have a hazardous waste permit, and that have other permits subject to these regulations, the applicant shall submit an accurate and complete NOC-1 Form for the transfer of the permit(s) and an accurate and complete HW-1 (or EPA Form 8700-12) for changes to the EPA hazardous waste ID number in accordance with LAC 33:V.1017. The applicant shall use the most current versions of the NOC-1 and HW-1 forms approved by the department.</w:t>
      </w:r>
    </w:p>
    <w:p w14:paraId="291CBA6E"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w:t>
      </w:r>
      <w:r w:rsidRPr="00FC5566">
        <w:rPr>
          <w:kern w:val="2"/>
        </w:rPr>
        <w:tab/>
        <w:t>For facilities with only an EPA hazardous waste ID number and no permits subject to transfer, the applicant need only submit an accurate and complete HW-1 Form (or EPA Form 8700-12) in accordance with LAC 33:V.1017. The applicant shall use the most current version of the HW-1 Form approved by the department.</w:t>
      </w:r>
    </w:p>
    <w:p w14:paraId="4E28D04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E.</w:t>
      </w:r>
      <w:r w:rsidRPr="00FC5566">
        <w:rPr>
          <w:kern w:val="2"/>
        </w:rPr>
        <w:tab/>
        <w:t xml:space="preserve">The terms </w:t>
      </w:r>
      <w:r w:rsidRPr="00FC5566">
        <w:rPr>
          <w:i/>
          <w:kern w:val="2"/>
        </w:rPr>
        <w:t>administratively complete</w:t>
      </w:r>
      <w:r w:rsidRPr="00FC5566">
        <w:rPr>
          <w:kern w:val="2"/>
        </w:rPr>
        <w:t xml:space="preserve">, </w:t>
      </w:r>
      <w:r w:rsidRPr="00FC5566">
        <w:rPr>
          <w:i/>
          <w:kern w:val="2"/>
        </w:rPr>
        <w:t>administrative amendment</w:t>
      </w:r>
      <w:r w:rsidRPr="00FC5566">
        <w:rPr>
          <w:kern w:val="2"/>
        </w:rPr>
        <w:t xml:space="preserve">, </w:t>
      </w:r>
      <w:r w:rsidRPr="00FC5566">
        <w:rPr>
          <w:i/>
          <w:kern w:val="2"/>
        </w:rPr>
        <w:t>financial assurance</w:t>
      </w:r>
      <w:r w:rsidRPr="00FC5566">
        <w:rPr>
          <w:kern w:val="2"/>
        </w:rPr>
        <w:t xml:space="preserve">, and </w:t>
      </w:r>
      <w:r w:rsidRPr="00FC5566">
        <w:rPr>
          <w:i/>
          <w:kern w:val="2"/>
        </w:rPr>
        <w:t>minor modification</w:t>
      </w:r>
      <w:r w:rsidRPr="00FC5566">
        <w:rPr>
          <w:kern w:val="2"/>
        </w:rPr>
        <w:t xml:space="preserve"> as used in this Chapter shall have the same meaning and intent as when used in LAC 33:Parts III, V, VII, and IX. The term operational control shall consist of having custody, care, or concern over a thing subject to regulation by the Louisiana Environmental Quality Act or the Louisiana Administrative Code when the custodian has the right to direct or control it, and has a duty to prevent harm occasioned by the violation of the Louisiana Environmental Quality Act or other environmental regulations.</w:t>
      </w:r>
    </w:p>
    <w:p w14:paraId="0ECADDC2"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br w:type="page"/>
      </w:r>
    </w:p>
    <w:p w14:paraId="17AA042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lastRenderedPageBreak/>
        <w:t>F.</w:t>
      </w:r>
      <w:r w:rsidRPr="00FC5566">
        <w:rPr>
          <w:kern w:val="2"/>
        </w:rPr>
        <w:tab/>
        <w:t>This Chapter does not supersede an otherwise applicable requirement addressing administrative amendments or modifications in the air, LPDES, hazardous waste, and solid waste programs, in particular, applicable regulations promulgated under 40 CFR part 63 (MACT standards), or acid rain program requirements.</w:t>
      </w:r>
    </w:p>
    <w:p w14:paraId="706E8AEF"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30:2001 et seq.</w:t>
      </w:r>
    </w:p>
    <w:p w14:paraId="5BD4DE32"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Environmental Quality, Office of the Secretary, Legal Affairs Division, LR 31:2428 (October 2005</w:t>
      </w:r>
      <w:bookmarkStart w:id="208" w:name="_Hlk74301885"/>
      <w:r w:rsidRPr="00FC5566">
        <w:rPr>
          <w:kern w:val="2"/>
          <w:sz w:val="18"/>
        </w:rPr>
        <w:t>), amended LR 52:1334 (August 2026).</w:t>
      </w:r>
      <w:bookmarkEnd w:id="208"/>
    </w:p>
    <w:p w14:paraId="105D093F"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09" w:name="TOC_Sect278"/>
      <w:r w:rsidRPr="00FC5566">
        <w:rPr>
          <w:b/>
          <w:kern w:val="2"/>
        </w:rPr>
        <w:t>§1903.</w:t>
      </w:r>
      <w:r w:rsidRPr="00FC5566">
        <w:rPr>
          <w:b/>
          <w:kern w:val="2"/>
        </w:rPr>
        <w:tab/>
        <w:t>Liability</w:t>
      </w:r>
      <w:bookmarkEnd w:id="209"/>
    </w:p>
    <w:p w14:paraId="5C386AA3"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The previous owner or operator retains responsibility for compliance with all permit terms and conditions until the effective date of the permit transfer, as determined by the administrative authority in accordance with this Chapter.</w:t>
      </w:r>
    </w:p>
    <w:p w14:paraId="7B5FC44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 xml:space="preserve">The previous owner or operator retains responsibility for the compliance with the financial assurance regulations until the new owner or operator has demonstrated that he or she is complying with the specified financial assurance regulations of Title 33 of the </w:t>
      </w:r>
      <w:r w:rsidRPr="00FC5566">
        <w:rPr>
          <w:i/>
          <w:kern w:val="2"/>
        </w:rPr>
        <w:t>Louisiana Administrative Code</w:t>
      </w:r>
      <w:r w:rsidRPr="00FC5566">
        <w:rPr>
          <w:kern w:val="2"/>
        </w:rPr>
        <w:t xml:space="preserve"> (e.g., LAC 33:V.Chapter 37, LAC 33.VII.Chapter 13, and LAC 33:IX.Chapter 67 and Section 7307).</w:t>
      </w:r>
    </w:p>
    <w:p w14:paraId="23F8F809"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30:2001 et seq.</w:t>
      </w:r>
    </w:p>
    <w:p w14:paraId="21504604"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Environmental Quality, Office of the Secretary, Legal Affairs Division, LR 31:2428 (October 2005), amended LR 36:2552 (November 2010), LR 52:1336 (August 2026).</w:t>
      </w:r>
    </w:p>
    <w:p w14:paraId="1F9ACBA4"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10" w:name="TOC_Sect279"/>
      <w:r w:rsidRPr="00FC5566">
        <w:rPr>
          <w:b/>
          <w:kern w:val="2"/>
        </w:rPr>
        <w:t>§1905.</w:t>
      </w:r>
      <w:r w:rsidRPr="00FC5566">
        <w:rPr>
          <w:b/>
          <w:kern w:val="2"/>
        </w:rPr>
        <w:tab/>
        <w:t>Name Change</w:t>
      </w:r>
      <w:bookmarkEnd w:id="210"/>
    </w:p>
    <w:p w14:paraId="1083114C"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For a change in a permit resulting only due to a change in the name of a facility or change in the name of the company, written notification shall be made to the Office of Environmental Services. The owner or operator shall submit a complete Notification of Change Form (NOC-1 Form), using the most current version of the form approved by the department, prior to or no later than 45 days after the change. This form may be found on the department’s website.</w:t>
      </w:r>
    </w:p>
    <w:p w14:paraId="0F3B455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No later than 30 days after receipt of a complete notification of a name change for a facility or change in the name of the company, the administrative authority shall notify the owner/operator that the department has received and processed the name change</w:t>
      </w:r>
    </w:p>
    <w:p w14:paraId="6FE0AF76"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For notifications submitted prior to or no later than 45 days after the change, the effective date of the name change shall be the date indicated on the NOC-1 Form unless the administrative authority determines that a different date is appropriate, in which case the Office of Environmental Services shall notify the permit applicant of the actual effective date.</w:t>
      </w:r>
    </w:p>
    <w:p w14:paraId="19B8484B"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For notifications submitted later than 45 days after the change, the effective date of the name change shall be the date the change is approved by the administrative authority, unless the administrative authority determines that a different date is appropriate, in which case the Office of Environmental Services shall notify the permit applicant of the actual effective date.</w:t>
      </w:r>
    </w:p>
    <w:p w14:paraId="4DBA13A0"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 xml:space="preserve">For permitted hazardous waste facilities, the permittee shall send a notice of the name change to all persons on the facility mailing list maintained by the administrative authority, and to the appropriate units of state and local government, as specified in LAC 33:V.717. This notification </w:t>
      </w:r>
      <w:r w:rsidRPr="00FC5566">
        <w:rPr>
          <w:kern w:val="2"/>
        </w:rPr>
        <w:t>shall be made no later than 90 calendar days after the change is effective.</w:t>
      </w:r>
    </w:p>
    <w:p w14:paraId="768FCBAC"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30:2001 et seq.</w:t>
      </w:r>
    </w:p>
    <w:p w14:paraId="05856A91"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Environmental Quality, Office of the Secretary, Legal Affairs Division, LR 31:2428 (October 2005), amended LR 36:2552 (November 2010), LR 52:1336 (August 2026).</w:t>
      </w:r>
    </w:p>
    <w:p w14:paraId="6A55F17F"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§1907.</w:t>
      </w:r>
      <w:r w:rsidRPr="00FC5566">
        <w:rPr>
          <w:b/>
          <w:kern w:val="2"/>
        </w:rPr>
        <w:tab/>
        <w:t>Change of Ownership/Operator—No Financial Assurance Required</w:t>
      </w:r>
    </w:p>
    <w:p w14:paraId="7E1E9782"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The administrative authority may approve the transfer of a permit to a new owner or operator where no financial assurance is required when an accurate and complete NOC-1 Form and the following information has been received:</w:t>
      </w:r>
    </w:p>
    <w:p w14:paraId="76A75886"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documentation clearly identifying the party who will be responsible for existing violations; and</w:t>
      </w:r>
    </w:p>
    <w:p w14:paraId="0CFC0817"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evidence of permit qualifications and requirements on the part of the new owner or operator in accordance with LAC 33:I.1701.</w:t>
      </w:r>
    </w:p>
    <w:p w14:paraId="3BCF1420"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Changes in the ownership or operational control of a facility shall be made with written notification to the Office of Environmental Services and shall include the following.</w:t>
      </w:r>
    </w:p>
    <w:p w14:paraId="1243EB31"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The new owner or operator shall submit a complete Notification of Change Form (NOC-1 Form), using the most current version of the form approved by the department, prior to or no later than 45 days after the change.</w:t>
      </w:r>
    </w:p>
    <w:p w14:paraId="52A268ED"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A written agreement containing a specific date for transfer of permit responsibility, coverage, and liability between the previous and new permittees shall also be submitted to the administrative authority. The agreement shall be attached to and submitted with a completed NOC-1 Form.</w:t>
      </w:r>
    </w:p>
    <w:p w14:paraId="3BA039CB"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No later than 30 days after the receipt of a complete notification of a change of the ownership or operational control of a facility, the administrative authority shall notify the previous and new owners/operators of the department’s approval or disapproval of the transfer of the permit to the new owner or operator based on its evaluation of the factors set forth in Subsection A of this Section. The department will also notify EPA of changes in Title V permits within the same timeframe.</w:t>
      </w:r>
    </w:p>
    <w:p w14:paraId="0CD5F797"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For notifications submitted prior to, or no later than, 45 days after the change, the effective date of the permit transfer and change of ownership or operational control shall be the date indicated on the NOC-1 Form, unless the administrative authority determines that a different date is appropriate, in which case the Office of Environmental Services shall notify the permit applicant of the actual effective date.</w:t>
      </w:r>
    </w:p>
    <w:p w14:paraId="07882357"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For notifications submitted later than 45 days after the change, the effective date of the permit transfer and change of ownership or operational control shall be the date the change is approved by the administrative authority, unless the administrative authority determines that a different date is appropriate, in which case the Office of Environmental Services shall notify the permit applicant of the actual effective date.</w:t>
      </w:r>
    </w:p>
    <w:p w14:paraId="0CC07F0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D.</w:t>
      </w:r>
      <w:r w:rsidRPr="00FC5566">
        <w:rPr>
          <w:kern w:val="2"/>
        </w:rPr>
        <w:tab/>
        <w:t>The department may initiate action to terminate or revoke, and reissue an existing permit for a failure to disclose a change of ownership or operational control within 45 days after the change or for failure to submit an accurate, complete NOC-1 Form.</w:t>
      </w:r>
    </w:p>
    <w:p w14:paraId="4FD5C86B"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30:2001 et seq.</w:t>
      </w:r>
    </w:p>
    <w:p w14:paraId="5776966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lastRenderedPageBreak/>
        <w:t>HISTORICAL NOTE:</w:t>
      </w:r>
      <w:r w:rsidRPr="00FC5566">
        <w:rPr>
          <w:kern w:val="2"/>
          <w:sz w:val="18"/>
        </w:rPr>
        <w:tab/>
        <w:t>Promulgated by the Department of Environmental Quality, Office of the Secretary, Legal Affairs Division, LR 31:2428 (October 2005), amended LR 52:1336 (August 2026).</w:t>
      </w:r>
    </w:p>
    <w:p w14:paraId="7B74A59C"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11" w:name="TOC_Sect281"/>
      <w:r w:rsidRPr="00FC5566">
        <w:rPr>
          <w:b/>
          <w:kern w:val="2"/>
        </w:rPr>
        <w:t>§1909.</w:t>
      </w:r>
      <w:r w:rsidRPr="00FC5566">
        <w:rPr>
          <w:b/>
          <w:kern w:val="2"/>
        </w:rPr>
        <w:tab/>
        <w:t>Change of Ownership/Operator—Financial Assurance Required</w:t>
      </w:r>
      <w:bookmarkEnd w:id="211"/>
    </w:p>
    <w:p w14:paraId="45025AB7"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The administrative authority may approve the transfer of a permit to a new owner or operator where financial assurance is required, based on the following factors:</w:t>
      </w:r>
    </w:p>
    <w:p w14:paraId="065F00DD"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assumption by the new owner or operator of liability for existing violations;</w:t>
      </w:r>
    </w:p>
    <w:p w14:paraId="05B0E4B9"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demonstration of compliance with financial responsibility requirements by the new owner or operator;</w:t>
      </w:r>
    </w:p>
    <w:p w14:paraId="6E4336CA"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a description of the financial structure of the operating unit including capital structure, principal ownership, and insurance coverage for personal injury and property damage (Upon review, supporting information may be requested including, but not limited to, financial reports and financial statements.); and</w:t>
      </w:r>
    </w:p>
    <w:p w14:paraId="2399DC52"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w:t>
      </w:r>
      <w:r w:rsidRPr="00FC5566">
        <w:rPr>
          <w:kern w:val="2"/>
        </w:rPr>
        <w:tab/>
        <w:t>evidence of permit qualifications and requirements on the part of the new owner or operator in accordance with LAC 33:I.1701.</w:t>
      </w:r>
    </w:p>
    <w:p w14:paraId="60A5EFDB"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Changes in the ownership or operational control of a facility shall be made with written notification to the Office of Environmental Services. The new owner or operator shall submit a complete Notification of Change (NOC-1 Form), using the most current version of the form approved by the department, prior to or no later than 45 days after the change. The following actions are also required to be completed in conjunction with the change of ownership/operator notification.</w:t>
      </w:r>
    </w:p>
    <w:p w14:paraId="58EF9BFE"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A written agreement containing a specific date for transfer of permit responsibility, coverage, and liability between the previous and new permittees shall be submitted to the administrative authority. The agreement shall be attached to and submitted with a completed NOC-1 Form.</w:t>
      </w:r>
    </w:p>
    <w:p w14:paraId="7B404DA4"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A written agreement containing specific information regarding the implementation of a financial assurance mechanism meeting the applicable requirements of LAC 33:V.Chapter 37 (hazardous waste financial requirements), LAC 33:VII.Chapter 13 (solid waste financial assurance requirements), LAC 33:IX.Chapter 67 (water financial security requirements), and Section 7307 (sewage sludge financial assurance requirements). The agreements shall be attached to and submitted with a completed NOC-1 Form. The term of the implementation schedule shall not exceed six months, as indicated in Subsection C of this Section.</w:t>
      </w:r>
    </w:p>
    <w:p w14:paraId="6CEF7BC5"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Permitted and interim status hazardous waste facilities shall also submit a revised Part I (i.e., Hazardous Waste Permit Part A Form) permit application and Hazardous Waste Notification Form (HW-1 Form) with the NOC-1 Form.</w:t>
      </w:r>
    </w:p>
    <w:p w14:paraId="3A6C23B0"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w:t>
      </w:r>
      <w:r w:rsidRPr="00FC5566">
        <w:rPr>
          <w:kern w:val="2"/>
        </w:rPr>
        <w:tab/>
        <w:t>When a transfer of ownership or operational control occurs, the previous owner or operator shall comply with the applicable requirements of LAC 33:V.Chapter 37 (hazardous waste financial requirements), LAC 33:VII.Chapter 13 (solid waste financial assurance requirements), and LAC 33:IX.Chapter 67 (water financial security requirements) and Section 7307 (sewage sludge financial assurance requirements) until the new owner or operator has demonstrated that he or she is complying with the applicable requirements of LAC 33:V.Chapter 37, LAC 33:VII.Chapter 13, and LAC 33:IX.Chapter 67 and Section 7307.</w:t>
      </w:r>
    </w:p>
    <w:p w14:paraId="61A1D8CC"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The new owner or operator shall demonstrate compliance with the applicable requirements of LAC 33:V.Chapter 37, LAC 33:VII.Chapter 13, and LAC 33:IX.Chapter 67 and Section 7307 no later than six months after the date of the change of ownership or operational control of the facility. Upon adequate demonstration to the administrative authority by the new owner or operator of compliance with these financial assurance requirements, the administrative authority shall notify the previous owner or operator that he or she no longer needs to comply with the financial assurance requirements as of the date of demonstration.</w:t>
      </w:r>
    </w:p>
    <w:p w14:paraId="1906FD5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D.</w:t>
      </w:r>
      <w:r w:rsidRPr="00FC5566">
        <w:rPr>
          <w:kern w:val="2"/>
        </w:rPr>
        <w:tab/>
        <w:t>Within 45 days after the receipt of a complete notification of a change of ownership or operational control of a facility, the administrative authority shall notify the previous and new owners/operators of the department’s approval or disapproval of the transfer of the permit to the new owner or operator based on its evaluation of the factors set forth in Subsection A of this Section.</w:t>
      </w:r>
    </w:p>
    <w:p w14:paraId="3C32271C"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For notifications submitted prior to, or no later than, 45 days after the change, the effective date of the permit transfer shall be the date indicated on the NOC-1 Form unless the administrative authority determines that a different date is appropriate, in which case the Office of Environmental Services shall notify the permit applicant of the actual effective date.</w:t>
      </w:r>
    </w:p>
    <w:p w14:paraId="6B132699"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For notifications submitted later than 45 days after the change, the effective date of the permit transfer and change of ownership or operational control shall be the date the change is approved by the administrative authority, unless the administrative authority determines that a different date is appropriate, in which case the Office of Environmental Services shall notify the permit applicant of the actual effective date.</w:t>
      </w:r>
    </w:p>
    <w:p w14:paraId="58BCBC1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E.</w:t>
      </w:r>
      <w:r w:rsidRPr="00FC5566">
        <w:rPr>
          <w:kern w:val="2"/>
        </w:rPr>
        <w:tab/>
        <w:t>For permitted hazardous waste facilities, the new permittee shall send a notice of the change of ownership or operational control to all persons on the facility mailing list maintained by the administrative authority, and to the appropriate units of state and local government, as specified in LAC 33:V.717. This notification shall be made no later than 90 calendar days after the administrative authority has provided a written response approving the transfer of the permit and the change has been put into effect.</w:t>
      </w:r>
    </w:p>
    <w:p w14:paraId="5B885F3F"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F.</w:t>
      </w:r>
      <w:r w:rsidRPr="00FC5566">
        <w:rPr>
          <w:kern w:val="2"/>
        </w:rPr>
        <w:tab/>
        <w:t>The department may initiate action to terminate or revoke and reissue an existing permit for a failure to disclose a change of ownership or operational control within 45 days after the change or a failure to submit an accurate and complete NOC-1 Form.</w:t>
      </w:r>
    </w:p>
    <w:p w14:paraId="19BAEA20"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30:2001 et seq.</w:t>
      </w:r>
    </w:p>
    <w:p w14:paraId="32B4993B"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Environmental Quality, Office of the Secretary, Legal Affairs Division, LR 31:2429 (October 2005), amended LR 36:2552 (November 2010), LR 52:1337 (August 2026).</w:t>
      </w:r>
    </w:p>
    <w:p w14:paraId="55672A79"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§1911.</w:t>
      </w:r>
      <w:r w:rsidRPr="00FC5566">
        <w:rPr>
          <w:b/>
          <w:kern w:val="2"/>
        </w:rPr>
        <w:tab/>
        <w:t>Fees for Name and Ownership/Operator Changes</w:t>
      </w:r>
    </w:p>
    <w:p w14:paraId="71D54D1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 xml:space="preserve">Notifications of name or ownership/operator changes at a facility shall be submitted by the new owner or operator on the appropriate Notification of Change (NOC-1 Form) accompanied with the appropriate fees. The fees listed below cover the cost of reviewing, evaluating, and processing a name or ownership/operator change that has occurred at the </w:t>
      </w:r>
      <w:r w:rsidRPr="00FC5566">
        <w:rPr>
          <w:kern w:val="2"/>
        </w:rPr>
        <w:lastRenderedPageBreak/>
        <w:t>facility. The notification shall not be considered complete if the appropriate fees are not submitted.</w:t>
      </w:r>
    </w:p>
    <w:p w14:paraId="1EFAF267"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FC5566">
        <w:rPr>
          <w:kern w:val="2"/>
        </w:rPr>
        <w:t>* * *</w:t>
      </w:r>
    </w:p>
    <w:p w14:paraId="1C320FE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Methods of Payment</w:t>
      </w:r>
    </w:p>
    <w:p w14:paraId="479879B1"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All payments made by check, draft, or money order shall be made payable to the Department of Environmental Quality and mailed or hand delivered to the department at the address provided on the NOC-1 Form.</w:t>
      </w:r>
    </w:p>
    <w:p w14:paraId="3F81494D"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 - 3.</w:t>
      </w:r>
      <w:r w:rsidRPr="00FC5566">
        <w:rPr>
          <w:kern w:val="2"/>
        </w:rPr>
        <w:tab/>
        <w:t>…</w:t>
      </w:r>
    </w:p>
    <w:p w14:paraId="5DE5EC2F"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Failure to Pay. Failure to pay the prescribed name change or ownership/operator change fee as provided herein shall result in denial of the change request and may subject the owner/operator to enforcement actions under the Louisiana Environmental Quality Act including, but not limited to, revocation or suspension of the permit, license, registration, or variance for the failure to pay fees and for any resulting noncompliance.</w:t>
      </w:r>
    </w:p>
    <w:p w14:paraId="58A29F6A"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30:2001 et seq., and R.S. 49:316.1(A)(2)(a) and (c).</w:t>
      </w:r>
    </w:p>
    <w:p w14:paraId="71CA8543"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Environmental Quality, Office of the Secretary, Legal Affairs Division, LR 31:2429 (October 2005), amended LR 35:2178 (October 2009), LR 36:2552 (November 2010), amended by the Office of the Secretary, Legal Affairs and Criminal Investigations Division, LR 44:1238 (July 2018), amended by the Office of the Secretary, Legal Affairs Division, LR 52:1337 (August 2026).</w:t>
      </w:r>
    </w:p>
    <w:p w14:paraId="016760CB"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p w14:paraId="75F8EC30" w14:textId="77777777" w:rsidR="00FC5566" w:rsidRPr="00FC5566" w:rsidRDefault="00FC5566" w:rsidP="00FC5566">
      <w:pPr>
        <w:keepNext/>
        <w:ind w:left="2160"/>
        <w:jc w:val="both"/>
      </w:pPr>
      <w:r w:rsidRPr="00FC5566">
        <w:t>Jill C. Clark</w:t>
      </w:r>
    </w:p>
    <w:p w14:paraId="6989E03A" w14:textId="77777777" w:rsidR="00FC5566" w:rsidRPr="00FC5566" w:rsidRDefault="00FC5566" w:rsidP="00FC5566">
      <w:pPr>
        <w:keepNext/>
        <w:ind w:left="2160"/>
        <w:jc w:val="both"/>
      </w:pPr>
      <w:r w:rsidRPr="00FC5566">
        <w:t>General Counsel</w:t>
      </w:r>
    </w:p>
    <w:p w14:paraId="696C00F0" w14:textId="77777777" w:rsidR="00FC5566" w:rsidRPr="00FC5566" w:rsidRDefault="00FC5566" w:rsidP="00FC5566">
      <w:pPr>
        <w:rPr>
          <w:noProof/>
          <w:sz w:val="16"/>
        </w:rPr>
      </w:pPr>
      <w:r w:rsidRPr="00FC5566">
        <w:rPr>
          <w:noProof/>
          <w:sz w:val="16"/>
        </w:rPr>
        <w:t>2608#044</w:t>
      </w:r>
    </w:p>
    <w:p w14:paraId="6F6CD84B" w14:textId="77777777" w:rsidR="00FC5566" w:rsidRPr="00FC5566" w:rsidRDefault="00FC5566" w:rsidP="00FC5566"/>
    <w:p w14:paraId="3DB29EAC" w14:textId="77777777" w:rsidR="00FC5566" w:rsidRPr="00FC5566" w:rsidRDefault="00FC5566" w:rsidP="00FC5566">
      <w:pPr>
        <w:keepNext/>
        <w:tabs>
          <w:tab w:val="left" w:pos="-1440"/>
        </w:tabs>
        <w:spacing w:after="120"/>
        <w:jc w:val="center"/>
        <w:rPr>
          <w:b/>
          <w:noProof/>
        </w:rPr>
      </w:pPr>
      <w:r w:rsidRPr="00FC5566">
        <w:rPr>
          <w:b/>
          <w:noProof/>
        </w:rPr>
        <w:t>RULE</w:t>
      </w:r>
    </w:p>
    <w:p w14:paraId="087DF5D8" w14:textId="77777777" w:rsidR="00FC5566" w:rsidRPr="00FC5566" w:rsidRDefault="00FC5566" w:rsidP="00FC5566">
      <w:pPr>
        <w:keepNext/>
        <w:jc w:val="center"/>
        <w:rPr>
          <w:b/>
          <w:noProof/>
        </w:rPr>
      </w:pPr>
      <w:r w:rsidRPr="00FC5566">
        <w:rPr>
          <w:b/>
          <w:noProof/>
        </w:rPr>
        <w:t>Office of the Governor</w:t>
      </w:r>
    </w:p>
    <w:p w14:paraId="634D0C46" w14:textId="77777777" w:rsidR="00FC5566" w:rsidRPr="00FC5566" w:rsidRDefault="00FC5566" w:rsidP="00FC5566">
      <w:pPr>
        <w:keepNext/>
        <w:jc w:val="center"/>
        <w:rPr>
          <w:b/>
          <w:noProof/>
        </w:rPr>
      </w:pPr>
      <w:r w:rsidRPr="00FC5566">
        <w:rPr>
          <w:b/>
          <w:noProof/>
        </w:rPr>
        <w:t xml:space="preserve">Board of Pardons and Committee on Parole </w:t>
      </w:r>
    </w:p>
    <w:p w14:paraId="1DDCCB19" w14:textId="77777777" w:rsidR="00FC5566" w:rsidRPr="00FC5566" w:rsidRDefault="00FC5566" w:rsidP="00FC5566">
      <w:pPr>
        <w:keepNext/>
        <w:spacing w:before="240" w:after="240"/>
        <w:jc w:val="center"/>
        <w:rPr>
          <w:noProof/>
        </w:rPr>
      </w:pPr>
      <w:r w:rsidRPr="00FC5566">
        <w:rPr>
          <w:noProof/>
        </w:rPr>
        <w:t>Medical Marijuana Usage While Under Parole Supervision</w:t>
      </w:r>
      <w:r w:rsidRPr="00FC5566">
        <w:rPr>
          <w:noProof/>
        </w:rPr>
        <w:br/>
        <w:t>(LAC 22:XI.902)</w:t>
      </w:r>
    </w:p>
    <w:p w14:paraId="3A68469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 xml:space="preserve">In accordance with the provisions of the Administrative Procedure ACT (R.S. 49:950) and pursuant to R.S. 15:573.1, the Committee on Parole has amended LAC XI Chapter 9 by creating a new section titled §902 Medical Marijuana Usage While under Parole Supervision. The creation of §902 is to explain the process a parolee must complete and submit to the committee to determine if they are able to use medical marijuana while under parole supervision. This Rule is hereby adopted on the day of promulgation. </w:t>
      </w:r>
    </w:p>
    <w:p w14:paraId="4D69C848" w14:textId="77777777" w:rsidR="00FC5566" w:rsidRPr="00FC5566" w:rsidRDefault="00FC5566" w:rsidP="00FC5566">
      <w:pPr>
        <w:keepNext/>
        <w:jc w:val="center"/>
        <w:rPr>
          <w:rFonts w:eastAsia="Calibri"/>
          <w:b/>
          <w:kern w:val="28"/>
        </w:rPr>
      </w:pPr>
      <w:r w:rsidRPr="00FC5566">
        <w:rPr>
          <w:rFonts w:eastAsia="Calibri"/>
          <w:b/>
          <w:kern w:val="28"/>
        </w:rPr>
        <w:t>Title 22</w:t>
      </w:r>
    </w:p>
    <w:p w14:paraId="6E35446D" w14:textId="77777777" w:rsidR="00FC5566" w:rsidRPr="00FC5566" w:rsidRDefault="00FC5566" w:rsidP="00FC5566">
      <w:pPr>
        <w:keepNext/>
        <w:jc w:val="center"/>
        <w:rPr>
          <w:rFonts w:eastAsia="Calibri"/>
          <w:b/>
          <w:kern w:val="28"/>
        </w:rPr>
      </w:pPr>
      <w:r w:rsidRPr="00FC5566">
        <w:rPr>
          <w:rFonts w:eastAsia="Calibri"/>
          <w:b/>
          <w:kern w:val="28"/>
        </w:rPr>
        <w:t>CORRECTIONS, CRIMINAL JUSTICE AND LAW ENFORCEMENT</w:t>
      </w:r>
    </w:p>
    <w:p w14:paraId="0C8EF460" w14:textId="77777777" w:rsidR="00FC5566" w:rsidRPr="00FC5566" w:rsidRDefault="00FC5566" w:rsidP="00FC5566">
      <w:pPr>
        <w:keepNext/>
        <w:jc w:val="center"/>
        <w:rPr>
          <w:rFonts w:eastAsia="Calibri"/>
          <w:b/>
          <w:noProof/>
        </w:rPr>
      </w:pPr>
      <w:r w:rsidRPr="00FC5566">
        <w:rPr>
          <w:rFonts w:eastAsia="Calibri"/>
          <w:b/>
          <w:noProof/>
        </w:rPr>
        <w:t>Part XI.  Committee on Parole</w:t>
      </w:r>
    </w:p>
    <w:p w14:paraId="6341B434"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Chapter 9.</w:t>
      </w:r>
      <w:r w:rsidRPr="00FC5566">
        <w:rPr>
          <w:b/>
          <w:kern w:val="2"/>
        </w:rPr>
        <w:tab/>
        <w:t>Conditions of Parole</w:t>
      </w:r>
    </w:p>
    <w:p w14:paraId="6AAB2AF8"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§902.</w:t>
      </w:r>
      <w:r w:rsidRPr="00FC5566">
        <w:rPr>
          <w:b/>
          <w:kern w:val="2"/>
        </w:rPr>
        <w:tab/>
        <w:t>Medical Marijuana Usage While Under Parole Supervision</w:t>
      </w:r>
    </w:p>
    <w:p w14:paraId="439C648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r>
      <w:r w:rsidRPr="00FC5566">
        <w:rPr>
          <w:i/>
          <w:kern w:val="2"/>
        </w:rPr>
        <w:t>Medical Marijuana</w:t>
      </w:r>
      <w:r w:rsidRPr="00FC5566">
        <w:rPr>
          <w:kern w:val="2"/>
        </w:rPr>
        <w:t>—marijuana given legally through a state-approved pharmacy.</w:t>
      </w:r>
    </w:p>
    <w:p w14:paraId="61C87EBB"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r>
      <w:r w:rsidRPr="00FC5566">
        <w:rPr>
          <w:i/>
          <w:kern w:val="2"/>
        </w:rPr>
        <w:t>Valid Medical Recommendation</w:t>
      </w:r>
      <w:r w:rsidRPr="00FC5566">
        <w:rPr>
          <w:kern w:val="2"/>
        </w:rPr>
        <w:t xml:space="preserve">—a current written recommendation from an authorized clinician licensed in Louisiana. </w:t>
      </w:r>
    </w:p>
    <w:p w14:paraId="63B2ABE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br w:type="column"/>
      </w:r>
      <w:r w:rsidRPr="00FC5566">
        <w:rPr>
          <w:kern w:val="2"/>
        </w:rPr>
        <w:t>C.</w:t>
      </w:r>
      <w:r w:rsidRPr="00FC5566">
        <w:rPr>
          <w:kern w:val="2"/>
        </w:rPr>
        <w:tab/>
        <w:t xml:space="preserve">Under R.S. 40:1046, individuals with specific medical needs are allowed to use marijuana if a Louisiana-licensed clinician recommends it. Although marijuana is legal in Louisiana, it remains illegal under federal law. The Committee on Parole has the power to approve or deny its use for parolees. </w:t>
      </w:r>
    </w:p>
    <w:p w14:paraId="587A23FF"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To determine eligibility, the parolee must provide their supervising officer with the following information:</w:t>
      </w:r>
    </w:p>
    <w:p w14:paraId="60C3CE5E" w14:textId="77777777" w:rsidR="00FC5566" w:rsidRPr="00FC5566" w:rsidRDefault="00FC5566" w:rsidP="00FC5566">
      <w:pPr>
        <w:tabs>
          <w:tab w:val="left" w:pos="907"/>
        </w:tabs>
        <w:ind w:firstLine="547"/>
        <w:jc w:val="both"/>
        <w:outlineLvl w:val="5"/>
        <w:rPr>
          <w:kern w:val="2"/>
        </w:rPr>
      </w:pPr>
      <w:r w:rsidRPr="00FC5566">
        <w:rPr>
          <w:kern w:val="2"/>
        </w:rPr>
        <w:t>a.</w:t>
      </w:r>
      <w:r w:rsidRPr="00FC5566">
        <w:rPr>
          <w:kern w:val="2"/>
        </w:rPr>
        <w:tab/>
        <w:t>a copy of the clinician’s recommendation;</w:t>
      </w:r>
    </w:p>
    <w:p w14:paraId="52D0D918" w14:textId="77777777" w:rsidR="00FC5566" w:rsidRPr="00FC5566" w:rsidRDefault="00FC5566" w:rsidP="00FC5566">
      <w:pPr>
        <w:tabs>
          <w:tab w:val="left" w:pos="907"/>
        </w:tabs>
        <w:ind w:firstLine="547"/>
        <w:jc w:val="both"/>
        <w:outlineLvl w:val="5"/>
        <w:rPr>
          <w:kern w:val="2"/>
        </w:rPr>
      </w:pPr>
      <w:r w:rsidRPr="00FC5566">
        <w:rPr>
          <w:kern w:val="2"/>
        </w:rPr>
        <w:t>b.</w:t>
      </w:r>
      <w:r w:rsidRPr="00FC5566">
        <w:rPr>
          <w:kern w:val="2"/>
        </w:rPr>
        <w:tab/>
        <w:t>a receipt or printout showing they are signed up with a Louisiana dispensary; and</w:t>
      </w:r>
    </w:p>
    <w:p w14:paraId="31254B9B" w14:textId="77777777" w:rsidR="00FC5566" w:rsidRPr="00FC5566" w:rsidRDefault="00FC5566" w:rsidP="00FC5566">
      <w:pPr>
        <w:tabs>
          <w:tab w:val="left" w:pos="907"/>
        </w:tabs>
        <w:ind w:firstLine="547"/>
        <w:jc w:val="both"/>
        <w:outlineLvl w:val="5"/>
        <w:rPr>
          <w:kern w:val="2"/>
        </w:rPr>
      </w:pPr>
      <w:r w:rsidRPr="00FC5566">
        <w:rPr>
          <w:kern w:val="2"/>
        </w:rPr>
        <w:t>c.</w:t>
      </w:r>
      <w:r w:rsidRPr="00FC5566">
        <w:rPr>
          <w:kern w:val="2"/>
        </w:rPr>
        <w:tab/>
        <w:t xml:space="preserve">an advanced written notice to their supervising officer of their intention to use medical marijuana. </w:t>
      </w:r>
    </w:p>
    <w:p w14:paraId="7ED243A2"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 xml:space="preserve">Once the required documentation is verified, the supervising officer will submit the information to the committee for review. </w:t>
      </w:r>
    </w:p>
    <w:p w14:paraId="6379A53F"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The committee will base its decision on the following reasons:</w:t>
      </w:r>
    </w:p>
    <w:p w14:paraId="4CC5446B" w14:textId="77777777" w:rsidR="00FC5566" w:rsidRPr="00FC5566" w:rsidRDefault="00FC5566" w:rsidP="00FC5566">
      <w:pPr>
        <w:tabs>
          <w:tab w:val="left" w:pos="907"/>
        </w:tabs>
        <w:ind w:firstLine="547"/>
        <w:jc w:val="both"/>
        <w:outlineLvl w:val="5"/>
        <w:rPr>
          <w:kern w:val="2"/>
        </w:rPr>
      </w:pPr>
      <w:r w:rsidRPr="00FC5566">
        <w:rPr>
          <w:kern w:val="2"/>
        </w:rPr>
        <w:t>a.</w:t>
      </w:r>
      <w:r w:rsidRPr="00FC5566">
        <w:rPr>
          <w:kern w:val="2"/>
        </w:rPr>
        <w:tab/>
        <w:t>the crime(s) the individual is on parole for;</w:t>
      </w:r>
    </w:p>
    <w:p w14:paraId="46DE913E" w14:textId="77777777" w:rsidR="00FC5566" w:rsidRPr="00FC5566" w:rsidRDefault="00FC5566" w:rsidP="00FC5566">
      <w:pPr>
        <w:tabs>
          <w:tab w:val="left" w:pos="907"/>
        </w:tabs>
        <w:ind w:firstLine="547"/>
        <w:jc w:val="both"/>
        <w:outlineLvl w:val="5"/>
        <w:rPr>
          <w:kern w:val="2"/>
        </w:rPr>
      </w:pPr>
      <w:r w:rsidRPr="00FC5566">
        <w:rPr>
          <w:kern w:val="2"/>
        </w:rPr>
        <w:t>b.</w:t>
      </w:r>
      <w:r w:rsidRPr="00FC5566">
        <w:rPr>
          <w:kern w:val="2"/>
        </w:rPr>
        <w:tab/>
        <w:t>public safety concerns;</w:t>
      </w:r>
    </w:p>
    <w:p w14:paraId="6376BF3A" w14:textId="77777777" w:rsidR="00FC5566" w:rsidRPr="00FC5566" w:rsidRDefault="00FC5566" w:rsidP="00FC5566">
      <w:pPr>
        <w:tabs>
          <w:tab w:val="left" w:pos="907"/>
        </w:tabs>
        <w:ind w:firstLine="547"/>
        <w:jc w:val="both"/>
        <w:outlineLvl w:val="5"/>
        <w:rPr>
          <w:kern w:val="2"/>
        </w:rPr>
      </w:pPr>
      <w:r w:rsidRPr="00FC5566">
        <w:rPr>
          <w:kern w:val="2"/>
        </w:rPr>
        <w:t>c.</w:t>
      </w:r>
      <w:r w:rsidRPr="00FC5566">
        <w:rPr>
          <w:kern w:val="2"/>
        </w:rPr>
        <w:tab/>
        <w:t>the safety concerns of the parolee; and</w:t>
      </w:r>
    </w:p>
    <w:p w14:paraId="5D930DC1" w14:textId="77777777" w:rsidR="00FC5566" w:rsidRPr="00FC5566" w:rsidRDefault="00FC5566" w:rsidP="00FC5566">
      <w:pPr>
        <w:tabs>
          <w:tab w:val="left" w:pos="907"/>
        </w:tabs>
        <w:ind w:firstLine="547"/>
        <w:jc w:val="both"/>
        <w:outlineLvl w:val="5"/>
        <w:rPr>
          <w:kern w:val="2"/>
        </w:rPr>
      </w:pPr>
      <w:r w:rsidRPr="00FC5566">
        <w:rPr>
          <w:kern w:val="2"/>
        </w:rPr>
        <w:t>d.</w:t>
      </w:r>
      <w:r w:rsidRPr="00FC5566">
        <w:rPr>
          <w:kern w:val="2"/>
        </w:rPr>
        <w:tab/>
        <w:t xml:space="preserve">the rules and regulations of the parolee's treatment program, if applicable. </w:t>
      </w:r>
    </w:p>
    <w:p w14:paraId="6D837E5A"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w:t>
      </w:r>
      <w:r w:rsidRPr="00FC5566">
        <w:rPr>
          <w:kern w:val="2"/>
        </w:rPr>
        <w:tab/>
        <w:t xml:space="preserve">If approved, the parolee will be exempt from THC detection on routine drug screens but will still be screened for other illegal drugs. </w:t>
      </w:r>
    </w:p>
    <w:p w14:paraId="68932958"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D.</w:t>
      </w:r>
      <w:r w:rsidRPr="00FC5566">
        <w:rPr>
          <w:kern w:val="2"/>
        </w:rPr>
        <w:tab/>
        <w:t xml:space="preserve">A positive drug test for THC alone will not result in a revocation if medical use is approved and properly documented. </w:t>
      </w:r>
    </w:p>
    <w:p w14:paraId="70A60F79"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 xml:space="preserve">Evidence of non-compliance, diversion, or unauthorized use shall be grounds for sanctions, up to and including revocation of parole. </w:t>
      </w:r>
    </w:p>
    <w:p w14:paraId="2DAC947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E.</w:t>
      </w:r>
      <w:r w:rsidRPr="00FC5566">
        <w:rPr>
          <w:kern w:val="2"/>
        </w:rPr>
        <w:tab/>
        <w:t xml:space="preserve">The parolee must keep their clinician’s recommendations and dispensary records current, as they may be required to show updates during check-ins or when requested by their supervising officer. </w:t>
      </w:r>
    </w:p>
    <w:p w14:paraId="50C938E1"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15:574.2 et seq., R.S. 15:535 et seq., R.S. 15:540 et seq., and R.S. 40:1046.</w:t>
      </w:r>
    </w:p>
    <w:p w14:paraId="5297F5CA"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Promulgation by the Office of the Governor, Board of Pardons and Committee on Parole, LR 52:1338 (August 2026).</w:t>
      </w:r>
    </w:p>
    <w:p w14:paraId="2ABD2F5C"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p w14:paraId="36CEA242" w14:textId="77777777" w:rsidR="00FC5566" w:rsidRPr="00FC5566" w:rsidRDefault="00FC5566" w:rsidP="00FC5566">
      <w:pPr>
        <w:keepNext/>
        <w:ind w:left="2160"/>
        <w:jc w:val="both"/>
      </w:pPr>
      <w:r w:rsidRPr="00FC5566">
        <w:t>Sheryl M. Ranatza</w:t>
      </w:r>
    </w:p>
    <w:p w14:paraId="30337C8B" w14:textId="77777777" w:rsidR="00FC5566" w:rsidRPr="00FC5566" w:rsidRDefault="00FC5566" w:rsidP="00FC5566">
      <w:pPr>
        <w:keepNext/>
        <w:ind w:left="2160"/>
        <w:jc w:val="both"/>
      </w:pPr>
      <w:r w:rsidRPr="00FC5566">
        <w:t>Board Chair</w:t>
      </w:r>
    </w:p>
    <w:p w14:paraId="423DADAC" w14:textId="77777777" w:rsidR="00FC5566" w:rsidRPr="00FC5566" w:rsidRDefault="00FC5566" w:rsidP="00FC5566">
      <w:pPr>
        <w:rPr>
          <w:rFonts w:eastAsia="Calibri"/>
          <w:noProof/>
          <w:sz w:val="16"/>
        </w:rPr>
      </w:pPr>
      <w:r w:rsidRPr="00FC5566">
        <w:rPr>
          <w:rFonts w:eastAsia="Calibri"/>
          <w:noProof/>
          <w:sz w:val="16"/>
        </w:rPr>
        <w:t>2608#018</w:t>
      </w:r>
    </w:p>
    <w:p w14:paraId="533C7CC5" w14:textId="77777777" w:rsidR="00FC5566" w:rsidRPr="00FC5566" w:rsidRDefault="00FC5566" w:rsidP="00FC5566"/>
    <w:p w14:paraId="528B70E0" w14:textId="77777777" w:rsidR="00FC5566" w:rsidRPr="00FC5566" w:rsidRDefault="00FC5566" w:rsidP="00FC5566">
      <w:pPr>
        <w:keepNext/>
        <w:tabs>
          <w:tab w:val="left" w:pos="-1440"/>
        </w:tabs>
        <w:spacing w:after="120"/>
        <w:jc w:val="center"/>
        <w:rPr>
          <w:b/>
          <w:noProof/>
        </w:rPr>
      </w:pPr>
      <w:bookmarkStart w:id="212" w:name="_Toc239566962"/>
      <w:bookmarkStart w:id="213" w:name="_Toc257182178"/>
      <w:bookmarkStart w:id="214" w:name="_Toc418162670"/>
      <w:bookmarkStart w:id="215" w:name="_Toc428780991"/>
      <w:bookmarkStart w:id="216" w:name="_Toc428781639"/>
      <w:bookmarkStart w:id="217" w:name="_Toc528759981"/>
      <w:r w:rsidRPr="00FC5566">
        <w:rPr>
          <w:b/>
          <w:noProof/>
        </w:rPr>
        <w:t>RULE</w:t>
      </w:r>
    </w:p>
    <w:p w14:paraId="4A761D03" w14:textId="77777777" w:rsidR="00FC5566" w:rsidRPr="00FC5566" w:rsidRDefault="00FC5566" w:rsidP="00FC5566">
      <w:pPr>
        <w:keepNext/>
        <w:jc w:val="center"/>
        <w:rPr>
          <w:b/>
          <w:noProof/>
        </w:rPr>
      </w:pPr>
      <w:r w:rsidRPr="00FC5566">
        <w:rPr>
          <w:b/>
          <w:noProof/>
        </w:rPr>
        <w:t>Office of the Governor</w:t>
      </w:r>
    </w:p>
    <w:p w14:paraId="3043DB8D" w14:textId="77777777" w:rsidR="00FC5566" w:rsidRPr="00FC5566" w:rsidRDefault="00FC5566" w:rsidP="00FC5566">
      <w:pPr>
        <w:keepNext/>
        <w:jc w:val="center"/>
        <w:rPr>
          <w:b/>
          <w:noProof/>
        </w:rPr>
      </w:pPr>
      <w:r w:rsidRPr="00FC5566">
        <w:rPr>
          <w:b/>
          <w:noProof/>
        </w:rPr>
        <w:t>Division of Administration</w:t>
      </w:r>
    </w:p>
    <w:p w14:paraId="364A736F" w14:textId="77777777" w:rsidR="00FC5566" w:rsidRPr="00FC5566" w:rsidRDefault="00FC5566" w:rsidP="00FC5566">
      <w:pPr>
        <w:keepNext/>
        <w:spacing w:before="240" w:after="240"/>
        <w:jc w:val="center"/>
        <w:rPr>
          <w:bCs/>
          <w:noProof/>
        </w:rPr>
      </w:pPr>
      <w:r w:rsidRPr="00FC5566">
        <w:rPr>
          <w:noProof/>
        </w:rPr>
        <w:t xml:space="preserve">Louisiana Charter School Start-Up and </w:t>
      </w:r>
      <w:r w:rsidRPr="00FC5566">
        <w:rPr>
          <w:noProof/>
        </w:rPr>
        <w:br/>
        <w:t xml:space="preserve">Expansion Loan Fund </w:t>
      </w:r>
      <w:r w:rsidRPr="00FC5566">
        <w:rPr>
          <w:bCs/>
          <w:noProof/>
        </w:rPr>
        <w:t>(LAC 4:XXV.Chapter 1)</w:t>
      </w:r>
    </w:p>
    <w:p w14:paraId="613B408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 xml:space="preserve">The Division of Administration has adopted Louisiana Charter School Start-Up Loan Fund (R.S. 17:4001 et seq.). This rulemaking adds Title 4, Part XXV, Chapter 1: Louisiana Charter School Start-Up Loan Fund Program rules to implement provisions of the Act 413 of the Louisiana 2025 Regular Session. This Rule is hereby adopted on the day of promulgation. </w:t>
      </w:r>
    </w:p>
    <w:p w14:paraId="3927D875" w14:textId="77777777" w:rsidR="00FC5566" w:rsidRPr="00FC5566" w:rsidRDefault="00FC5566" w:rsidP="00FC5566">
      <w:pPr>
        <w:keepNext/>
        <w:jc w:val="center"/>
        <w:rPr>
          <w:b/>
          <w:kern w:val="28"/>
        </w:rPr>
      </w:pPr>
      <w:r w:rsidRPr="00FC5566">
        <w:rPr>
          <w:b/>
          <w:kern w:val="28"/>
        </w:rPr>
        <w:lastRenderedPageBreak/>
        <w:t>Title 4</w:t>
      </w:r>
    </w:p>
    <w:p w14:paraId="48A7D0AD" w14:textId="77777777" w:rsidR="00FC5566" w:rsidRPr="00FC5566" w:rsidRDefault="00FC5566" w:rsidP="00FC5566">
      <w:pPr>
        <w:keepNext/>
        <w:jc w:val="center"/>
        <w:rPr>
          <w:b/>
          <w:kern w:val="28"/>
        </w:rPr>
      </w:pPr>
      <w:r w:rsidRPr="00FC5566">
        <w:rPr>
          <w:b/>
          <w:kern w:val="28"/>
        </w:rPr>
        <w:t>ADMINISTRATION</w:t>
      </w:r>
    </w:p>
    <w:p w14:paraId="68FD6452" w14:textId="77777777" w:rsidR="00FC5566" w:rsidRPr="00FC5566" w:rsidRDefault="00FC5566" w:rsidP="00FC5566">
      <w:pPr>
        <w:keepNext/>
        <w:jc w:val="center"/>
        <w:rPr>
          <w:b/>
          <w:noProof/>
        </w:rPr>
      </w:pPr>
      <w:r w:rsidRPr="00FC5566">
        <w:rPr>
          <w:b/>
          <w:noProof/>
        </w:rPr>
        <w:t>Part XXV.  Louisiana Charter School Start-Up and Expansion Loan Fund</w:t>
      </w:r>
    </w:p>
    <w:p w14:paraId="5BFE9812"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218" w:name="_Toc162423221"/>
      <w:r w:rsidRPr="00FC5566">
        <w:rPr>
          <w:b/>
          <w:kern w:val="2"/>
        </w:rPr>
        <w:t>Chapter 1.</w:t>
      </w:r>
      <w:r w:rsidRPr="00FC5566">
        <w:rPr>
          <w:b/>
          <w:kern w:val="2"/>
        </w:rPr>
        <w:tab/>
        <w:t>Louisiana Charter School Start-Up and Expansion Loan Fund</w:t>
      </w:r>
    </w:p>
    <w:p w14:paraId="511CD529"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w:t>
      </w:r>
      <w:bookmarkEnd w:id="218"/>
      <w:r w:rsidRPr="00FC5566">
        <w:rPr>
          <w:b/>
          <w:kern w:val="2"/>
        </w:rPr>
        <w:t>101.</w:t>
      </w:r>
      <w:r w:rsidRPr="00FC5566">
        <w:rPr>
          <w:b/>
          <w:kern w:val="2"/>
        </w:rPr>
        <w:tab/>
        <w:t>Definitions</w:t>
      </w:r>
    </w:p>
    <w:p w14:paraId="5A2A71F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 xml:space="preserve">For the purpose of this Chapter, the following shall mean: </w:t>
      </w:r>
    </w:p>
    <w:p w14:paraId="2962018B" w14:textId="77777777" w:rsidR="00FC5566" w:rsidRPr="00FC5566" w:rsidRDefault="00FC5566" w:rsidP="00FC5566">
      <w:pPr>
        <w:tabs>
          <w:tab w:val="left" w:pos="720"/>
          <w:tab w:val="left" w:pos="979"/>
          <w:tab w:val="left" w:pos="1152"/>
        </w:tabs>
        <w:ind w:firstLine="360"/>
        <w:jc w:val="both"/>
        <w:outlineLvl w:val="4"/>
        <w:rPr>
          <w:i/>
          <w:kern w:val="2"/>
        </w:rPr>
      </w:pPr>
      <w:r w:rsidRPr="00FC5566">
        <w:rPr>
          <w:i/>
          <w:kern w:val="2"/>
        </w:rPr>
        <w:t>Annual Report</w:t>
      </w:r>
      <w:r w:rsidRPr="00FC5566">
        <w:rPr>
          <w:kern w:val="2"/>
        </w:rPr>
        <w:t>—submitted to the Louisiana legislature by the division of administration describing fund activities of the prior fiscal year.</w:t>
      </w:r>
    </w:p>
    <w:p w14:paraId="2FE206EA" w14:textId="77777777" w:rsidR="00FC5566" w:rsidRPr="00FC5566" w:rsidRDefault="00FC5566" w:rsidP="00FC5566">
      <w:pPr>
        <w:tabs>
          <w:tab w:val="left" w:pos="720"/>
          <w:tab w:val="left" w:pos="979"/>
          <w:tab w:val="left" w:pos="1152"/>
        </w:tabs>
        <w:ind w:firstLine="360"/>
        <w:jc w:val="both"/>
        <w:outlineLvl w:val="4"/>
        <w:rPr>
          <w:kern w:val="2"/>
        </w:rPr>
      </w:pPr>
      <w:r w:rsidRPr="00FC5566">
        <w:rPr>
          <w:i/>
          <w:kern w:val="2"/>
        </w:rPr>
        <w:t>Applicant</w:t>
      </w:r>
      <w:r w:rsidRPr="00FC5566">
        <w:rPr>
          <w:kern w:val="2"/>
        </w:rPr>
        <w:t>—eligible charter school, or an affiliated supporting organization of an eligible charter school as defined in Section 509(a)(3) of the Internal Revenue Code, or an eligible charter school’s wholly owned, nonprofit corporation real estate entity applying for a loan for the benefit of an eligible charter school who is not already a loan recipient as defined in this chapter.</w:t>
      </w:r>
    </w:p>
    <w:p w14:paraId="0D301B8C" w14:textId="77777777" w:rsidR="00FC5566" w:rsidRPr="00FC5566" w:rsidRDefault="00FC5566" w:rsidP="00FC5566">
      <w:pPr>
        <w:tabs>
          <w:tab w:val="left" w:pos="720"/>
          <w:tab w:val="left" w:pos="979"/>
          <w:tab w:val="left" w:pos="1152"/>
        </w:tabs>
        <w:ind w:firstLine="360"/>
        <w:jc w:val="both"/>
        <w:outlineLvl w:val="4"/>
        <w:rPr>
          <w:kern w:val="2"/>
        </w:rPr>
      </w:pPr>
      <w:r w:rsidRPr="00FC5566">
        <w:rPr>
          <w:i/>
          <w:kern w:val="2"/>
        </w:rPr>
        <w:t>Application</w:t>
      </w:r>
      <w:r w:rsidRPr="00FC5566">
        <w:rPr>
          <w:kern w:val="2"/>
        </w:rPr>
        <w:t>—completed Louisiana Charter School Start-Up and Expansion Loan Fund application incorporated herein by reference, as defined and developed by the fund administrator, and all other documents required to be submitted to the administrator.</w:t>
      </w:r>
    </w:p>
    <w:p w14:paraId="099D89DA" w14:textId="77777777" w:rsidR="00FC5566" w:rsidRPr="00FC5566" w:rsidRDefault="00FC5566" w:rsidP="00FC5566">
      <w:pPr>
        <w:tabs>
          <w:tab w:val="left" w:pos="720"/>
          <w:tab w:val="left" w:pos="979"/>
          <w:tab w:val="left" w:pos="1152"/>
        </w:tabs>
        <w:ind w:firstLine="360"/>
        <w:jc w:val="both"/>
        <w:outlineLvl w:val="4"/>
        <w:rPr>
          <w:kern w:val="2"/>
        </w:rPr>
      </w:pPr>
      <w:r w:rsidRPr="00FC5566">
        <w:rPr>
          <w:i/>
          <w:kern w:val="2"/>
        </w:rPr>
        <w:t>Eligible Charter School</w:t>
      </w:r>
      <w:r w:rsidRPr="00FC5566">
        <w:rPr>
          <w:kern w:val="2"/>
        </w:rPr>
        <w:t xml:space="preserve">—existing or new Louisiana public charter school authorized by either a local school board or the State Board of Elementary and Secondary Education pursuant to R.S. 17:3971 et seq. </w:t>
      </w:r>
    </w:p>
    <w:p w14:paraId="7BBE2850" w14:textId="77777777" w:rsidR="00FC5566" w:rsidRPr="00FC5566" w:rsidRDefault="00FC5566" w:rsidP="00FC5566">
      <w:pPr>
        <w:tabs>
          <w:tab w:val="left" w:pos="720"/>
          <w:tab w:val="left" w:pos="979"/>
          <w:tab w:val="left" w:pos="1152"/>
        </w:tabs>
        <w:ind w:firstLine="360"/>
        <w:jc w:val="both"/>
        <w:outlineLvl w:val="4"/>
        <w:rPr>
          <w:kern w:val="2"/>
        </w:rPr>
      </w:pPr>
      <w:r w:rsidRPr="00FC5566">
        <w:rPr>
          <w:i/>
          <w:kern w:val="2"/>
        </w:rPr>
        <w:t>Eligible Costs</w:t>
      </w:r>
      <w:r w:rsidRPr="00FC5566">
        <w:rPr>
          <w:kern w:val="2"/>
        </w:rPr>
        <w:t>—predevelopment and development costs, including, but not limited to, property or site acquisition, feasibility and site studies, design and engineering fees, legal costs, permitting, review, and inspection fees, surveys, utility assessments, financing costs, costs of construction, labor and materials, construction administration, financing, equipment, demolition, infrastructure, required off-site improvements, and other related project costs as determined by the division of administration.</w:t>
      </w:r>
    </w:p>
    <w:p w14:paraId="491D8723" w14:textId="77777777" w:rsidR="00FC5566" w:rsidRPr="00FC5566" w:rsidRDefault="00FC5566" w:rsidP="00FC5566">
      <w:pPr>
        <w:tabs>
          <w:tab w:val="left" w:pos="720"/>
          <w:tab w:val="left" w:pos="979"/>
          <w:tab w:val="left" w:pos="1152"/>
        </w:tabs>
        <w:ind w:firstLine="360"/>
        <w:jc w:val="both"/>
        <w:outlineLvl w:val="4"/>
        <w:rPr>
          <w:i/>
          <w:kern w:val="2"/>
        </w:rPr>
      </w:pPr>
      <w:r w:rsidRPr="00FC5566">
        <w:rPr>
          <w:i/>
          <w:kern w:val="2"/>
        </w:rPr>
        <w:t>Fund</w:t>
      </w:r>
      <w:r w:rsidRPr="00FC5566">
        <w:rPr>
          <w:kern w:val="2"/>
        </w:rPr>
        <w:t>—the Louisiana Charter School Start-Up and Expansion Loan Fund established in R.S. 17:4001.</w:t>
      </w:r>
    </w:p>
    <w:p w14:paraId="0CD63025" w14:textId="77777777" w:rsidR="00FC5566" w:rsidRPr="00FC5566" w:rsidRDefault="00FC5566" w:rsidP="00FC5566">
      <w:pPr>
        <w:tabs>
          <w:tab w:val="left" w:pos="720"/>
          <w:tab w:val="left" w:pos="979"/>
          <w:tab w:val="left" w:pos="1152"/>
        </w:tabs>
        <w:ind w:firstLine="360"/>
        <w:jc w:val="both"/>
        <w:outlineLvl w:val="4"/>
        <w:rPr>
          <w:kern w:val="2"/>
        </w:rPr>
      </w:pPr>
      <w:r w:rsidRPr="00FC5566">
        <w:rPr>
          <w:i/>
          <w:iCs/>
          <w:kern w:val="2"/>
        </w:rPr>
        <w:t>Fund Administrative Costs</w:t>
      </w:r>
      <w:r w:rsidRPr="00FC5566">
        <w:rPr>
          <w:kern w:val="2"/>
        </w:rPr>
        <w:t>—the actual costs and expenses associated with the Division of Administration.</w:t>
      </w:r>
    </w:p>
    <w:p w14:paraId="1001BA89" w14:textId="77777777" w:rsidR="00FC5566" w:rsidRPr="00FC5566" w:rsidRDefault="00FC5566" w:rsidP="00FC5566">
      <w:pPr>
        <w:tabs>
          <w:tab w:val="left" w:pos="720"/>
          <w:tab w:val="left" w:pos="979"/>
          <w:tab w:val="left" w:pos="1152"/>
        </w:tabs>
        <w:ind w:firstLine="360"/>
        <w:jc w:val="both"/>
        <w:outlineLvl w:val="4"/>
        <w:rPr>
          <w:kern w:val="2"/>
        </w:rPr>
      </w:pPr>
      <w:r w:rsidRPr="00FC5566">
        <w:rPr>
          <w:i/>
          <w:kern w:val="2"/>
        </w:rPr>
        <w:t>Fund Administrator</w:t>
      </w:r>
      <w:r w:rsidRPr="00FC5566">
        <w:rPr>
          <w:kern w:val="2"/>
        </w:rPr>
        <w:t>—The Division of Administration pursuant to R.S. 17:4001.</w:t>
      </w:r>
    </w:p>
    <w:p w14:paraId="2D5DCB00" w14:textId="77777777" w:rsidR="00FC5566" w:rsidRPr="00FC5566" w:rsidRDefault="00FC5566" w:rsidP="00FC5566">
      <w:pPr>
        <w:tabs>
          <w:tab w:val="left" w:pos="720"/>
          <w:tab w:val="left" w:pos="979"/>
          <w:tab w:val="left" w:pos="1152"/>
        </w:tabs>
        <w:ind w:firstLine="360"/>
        <w:jc w:val="both"/>
        <w:outlineLvl w:val="4"/>
        <w:rPr>
          <w:kern w:val="2"/>
        </w:rPr>
      </w:pPr>
      <w:r w:rsidRPr="00FC5566">
        <w:rPr>
          <w:i/>
          <w:kern w:val="2"/>
        </w:rPr>
        <w:t>Fund Manager</w:t>
      </w:r>
      <w:r w:rsidRPr="00FC5566">
        <w:rPr>
          <w:kern w:val="2"/>
        </w:rPr>
        <w:t>—organization that may be selected by the fund administrator to manage activities of the fund as may be described by a cooperative endeavor agreement between the two parties.</w:t>
      </w:r>
    </w:p>
    <w:p w14:paraId="02417F71" w14:textId="77777777" w:rsidR="00FC5566" w:rsidRPr="00FC5566" w:rsidRDefault="00FC5566" w:rsidP="00FC5566">
      <w:pPr>
        <w:tabs>
          <w:tab w:val="left" w:pos="720"/>
          <w:tab w:val="left" w:pos="979"/>
          <w:tab w:val="left" w:pos="1152"/>
        </w:tabs>
        <w:ind w:firstLine="360"/>
        <w:jc w:val="both"/>
        <w:outlineLvl w:val="4"/>
        <w:rPr>
          <w:kern w:val="2"/>
        </w:rPr>
      </w:pPr>
      <w:r w:rsidRPr="00FC5566">
        <w:rPr>
          <w:i/>
          <w:kern w:val="2"/>
        </w:rPr>
        <w:t>Loan</w:t>
      </w:r>
      <w:r w:rsidRPr="00FC5566">
        <w:rPr>
          <w:kern w:val="2"/>
        </w:rPr>
        <w:t xml:space="preserve">—maximum principal amount authorized to the borrower from the fund through a loan agreement with the division of administration. </w:t>
      </w:r>
    </w:p>
    <w:p w14:paraId="25C2CD9F" w14:textId="77777777" w:rsidR="00FC5566" w:rsidRPr="00FC5566" w:rsidRDefault="00FC5566" w:rsidP="00FC5566">
      <w:pPr>
        <w:tabs>
          <w:tab w:val="left" w:pos="720"/>
          <w:tab w:val="left" w:pos="979"/>
          <w:tab w:val="left" w:pos="1152"/>
        </w:tabs>
        <w:ind w:firstLine="360"/>
        <w:jc w:val="both"/>
        <w:outlineLvl w:val="4"/>
        <w:rPr>
          <w:kern w:val="2"/>
        </w:rPr>
      </w:pPr>
      <w:r w:rsidRPr="00FC5566">
        <w:rPr>
          <w:i/>
          <w:kern w:val="2"/>
        </w:rPr>
        <w:t>Loan Agreement</w:t>
      </w:r>
      <w:r w:rsidRPr="00FC5566">
        <w:rPr>
          <w:kern w:val="2"/>
        </w:rPr>
        <w:t>—the executed evidence of indebtedness of the Applicant to repay the loan from the fund.</w:t>
      </w:r>
    </w:p>
    <w:p w14:paraId="3D570FC0" w14:textId="77777777" w:rsidR="00FC5566" w:rsidRPr="00FC5566" w:rsidRDefault="00FC5566" w:rsidP="00FC5566">
      <w:pPr>
        <w:tabs>
          <w:tab w:val="left" w:pos="720"/>
          <w:tab w:val="left" w:pos="979"/>
          <w:tab w:val="left" w:pos="1152"/>
        </w:tabs>
        <w:ind w:firstLine="360"/>
        <w:jc w:val="both"/>
        <w:outlineLvl w:val="4"/>
        <w:rPr>
          <w:kern w:val="2"/>
        </w:rPr>
      </w:pPr>
      <w:r w:rsidRPr="00FC5566">
        <w:rPr>
          <w:i/>
          <w:kern w:val="2"/>
        </w:rPr>
        <w:t>Loan Recipient</w:t>
      </w:r>
      <w:r w:rsidRPr="00FC5566">
        <w:rPr>
          <w:kern w:val="2"/>
        </w:rPr>
        <w:t>—applicant for which the fund administrator has approved an application for a loan and who receives a loan from the fund.</w:t>
      </w:r>
    </w:p>
    <w:p w14:paraId="50041210" w14:textId="77777777" w:rsidR="00FC5566" w:rsidRPr="00FC5566" w:rsidRDefault="00FC5566" w:rsidP="00FC5566">
      <w:pPr>
        <w:tabs>
          <w:tab w:val="left" w:pos="720"/>
          <w:tab w:val="left" w:pos="979"/>
          <w:tab w:val="left" w:pos="1152"/>
        </w:tabs>
        <w:ind w:firstLine="360"/>
        <w:jc w:val="both"/>
        <w:outlineLvl w:val="4"/>
        <w:rPr>
          <w:kern w:val="2"/>
        </w:rPr>
      </w:pPr>
      <w:r w:rsidRPr="00FC5566">
        <w:rPr>
          <w:i/>
          <w:kern w:val="2"/>
        </w:rPr>
        <w:t>Project</w:t>
      </w:r>
      <w:r w:rsidRPr="00FC5566">
        <w:rPr>
          <w:kern w:val="2"/>
        </w:rPr>
        <w:t>—the use of funds as described in the applicant’s application that meets the criteria for a secured or unsecured loan:</w:t>
      </w:r>
    </w:p>
    <w:p w14:paraId="4735DD6F" w14:textId="77777777" w:rsidR="00FC5566" w:rsidRPr="00FC5566" w:rsidRDefault="00FC5566" w:rsidP="00FC5566">
      <w:pPr>
        <w:tabs>
          <w:tab w:val="left" w:pos="907"/>
        </w:tabs>
        <w:ind w:firstLine="547"/>
        <w:jc w:val="both"/>
        <w:outlineLvl w:val="5"/>
        <w:rPr>
          <w:kern w:val="2"/>
        </w:rPr>
      </w:pPr>
      <w:r w:rsidRPr="00FC5566">
        <w:rPr>
          <w:kern w:val="2"/>
        </w:rPr>
        <w:t>a.</w:t>
      </w:r>
      <w:r w:rsidRPr="00FC5566">
        <w:rPr>
          <w:kern w:val="2"/>
        </w:rPr>
        <w:tab/>
        <w:t>For an unsecured loan, a project shall be limited to a request to pay for an eligible charter school’s start-up and early operating expenses including consumable instruction materials.</w:t>
      </w:r>
    </w:p>
    <w:p w14:paraId="787CBB32" w14:textId="77777777" w:rsidR="00FC5566" w:rsidRPr="00FC5566" w:rsidRDefault="00FC5566" w:rsidP="00FC5566">
      <w:pPr>
        <w:tabs>
          <w:tab w:val="left" w:pos="907"/>
        </w:tabs>
        <w:ind w:firstLine="547"/>
        <w:jc w:val="both"/>
        <w:outlineLvl w:val="5"/>
        <w:rPr>
          <w:kern w:val="2"/>
        </w:rPr>
      </w:pPr>
      <w:r w:rsidRPr="00FC5566">
        <w:rPr>
          <w:kern w:val="2"/>
        </w:rPr>
        <w:t>b.</w:t>
      </w:r>
      <w:r w:rsidRPr="00FC5566">
        <w:rPr>
          <w:kern w:val="2"/>
        </w:rPr>
        <w:tab/>
        <w:t>For a secured loan, a project may be defined by the acquisition of tangible items such as technology, or equipment, or as a construction project including but not limited to:</w:t>
      </w:r>
    </w:p>
    <w:p w14:paraId="64265F21"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w:t>
      </w:r>
      <w:r w:rsidRPr="00FC5566">
        <w:rPr>
          <w:kern w:val="2"/>
        </w:rPr>
        <w:tab/>
        <w:t>land or property acquisition;</w:t>
      </w:r>
    </w:p>
    <w:p w14:paraId="2F1C5978"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ii.</w:t>
      </w:r>
      <w:r w:rsidRPr="00FC5566">
        <w:rPr>
          <w:kern w:val="2"/>
        </w:rPr>
        <w:tab/>
        <w:t>facility renovation or material expansion or addition;</w:t>
      </w:r>
      <w:r w:rsidRPr="00FC5566">
        <w:rPr>
          <w:kern w:val="2"/>
        </w:rPr>
        <w:tab/>
      </w:r>
    </w:p>
    <w:p w14:paraId="6DA11A52"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iii.</w:t>
      </w:r>
      <w:r w:rsidRPr="00FC5566">
        <w:rPr>
          <w:kern w:val="2"/>
        </w:rPr>
        <w:tab/>
        <w:t>material capital repairs, system and life-safety upgrades;</w:t>
      </w:r>
    </w:p>
    <w:p w14:paraId="587BB1CD"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iv.</w:t>
      </w:r>
      <w:r w:rsidRPr="00FC5566">
        <w:rPr>
          <w:kern w:val="2"/>
        </w:rPr>
        <w:tab/>
        <w:t>facility abatement; and</w:t>
      </w:r>
    </w:p>
    <w:p w14:paraId="1C60E29C"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v.</w:t>
      </w:r>
      <w:r w:rsidRPr="00FC5566">
        <w:rPr>
          <w:kern w:val="2"/>
        </w:rPr>
        <w:tab/>
        <w:t>construction of a new facility.</w:t>
      </w:r>
    </w:p>
    <w:p w14:paraId="4BE24C0B" w14:textId="77777777" w:rsidR="00FC5566" w:rsidRPr="00FC5566" w:rsidRDefault="00FC5566" w:rsidP="00FC5566">
      <w:pPr>
        <w:tabs>
          <w:tab w:val="left" w:pos="720"/>
          <w:tab w:val="left" w:pos="979"/>
          <w:tab w:val="left" w:pos="1152"/>
        </w:tabs>
        <w:ind w:firstLine="360"/>
        <w:jc w:val="both"/>
        <w:outlineLvl w:val="4"/>
        <w:rPr>
          <w:kern w:val="2"/>
        </w:rPr>
      </w:pPr>
      <w:r w:rsidRPr="00FC5566">
        <w:rPr>
          <w:i/>
          <w:iCs/>
          <w:kern w:val="2"/>
        </w:rPr>
        <w:t>Supplemental Reporting Schedule</w:t>
      </w:r>
      <w:r w:rsidRPr="00FC5566">
        <w:rPr>
          <w:kern w:val="2"/>
        </w:rPr>
        <w:t>—submitted by borrower and developed by the legislative auditor in accordance with R.S. 24:514(I)(2).</w:t>
      </w:r>
    </w:p>
    <w:p w14:paraId="438C25E0"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szCs w:val="18"/>
        </w:rPr>
      </w:pPr>
      <w:r w:rsidRPr="00FC5566">
        <w:rPr>
          <w:kern w:val="2"/>
          <w:sz w:val="18"/>
          <w:szCs w:val="18"/>
        </w:rPr>
        <w:t>AUTHORITY NOTE:</w:t>
      </w:r>
      <w:r w:rsidRPr="00FC5566">
        <w:rPr>
          <w:kern w:val="2"/>
          <w:sz w:val="18"/>
          <w:szCs w:val="18"/>
        </w:rPr>
        <w:tab/>
        <w:t>Promulgated in accordance with R.S. 17:4001.</w:t>
      </w:r>
    </w:p>
    <w:p w14:paraId="7295E115"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Office of the Governor, Division of Administration, LR 52:1339 (August 2026).</w:t>
      </w:r>
    </w:p>
    <w:p w14:paraId="7AE8D33E"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§103.</w:t>
      </w:r>
      <w:r w:rsidRPr="00FC5566">
        <w:rPr>
          <w:b/>
          <w:kern w:val="2"/>
        </w:rPr>
        <w:tab/>
        <w:t>Restricted Use of Funds</w:t>
      </w:r>
    </w:p>
    <w:p w14:paraId="50FCF20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 xml:space="preserve">The monies within the fund shall only be used for the purpose of paying the expenses of fund administration, including but not limited to costs incurred by the fund administrator, fund manager, and for making loans to borrowers for eligible costs associated with establishing or expanding operations and facilities of eligible charter schools. </w:t>
      </w:r>
    </w:p>
    <w:p w14:paraId="12DDBDCE"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 xml:space="preserve">No money lent as provided in this Section may be used to pay prior debts of the nonprofit corporation which formed the eligible charter school, any of the natural persons principally involved in forming the eligible charter school, or any former or current business or nonprofit venture of any such natural persons for any purchase not related to the creation of the eligible charter school or predevelopment and development costs of the eligible charter school facility, or to pay to members of the immediate family of any such natural persons, or to make any investments. Such administrative costs and expenses shall include, but not be limited to, all costs and expenses incurred by the fund administrator and fund manager. </w:t>
      </w:r>
    </w:p>
    <w:p w14:paraId="5FC73158"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bookmarkStart w:id="219" w:name="_Hlk224813913"/>
      <w:r w:rsidRPr="00FC5566">
        <w:rPr>
          <w:kern w:val="2"/>
          <w:sz w:val="18"/>
        </w:rPr>
        <w:t>AUTHORITY NOTE:</w:t>
      </w:r>
      <w:r w:rsidRPr="00FC5566">
        <w:rPr>
          <w:kern w:val="2"/>
          <w:sz w:val="18"/>
        </w:rPr>
        <w:tab/>
        <w:t>Promulgated in accordance with R.S. 17:4001.</w:t>
      </w:r>
    </w:p>
    <w:p w14:paraId="77BCEEEE"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Office of the Governor, Division of Administration, LR 52:1339 (August 2026).</w:t>
      </w:r>
      <w:bookmarkEnd w:id="219"/>
    </w:p>
    <w:p w14:paraId="26272B3B"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§105.</w:t>
      </w:r>
      <w:r w:rsidRPr="00FC5566">
        <w:rPr>
          <w:b/>
          <w:kern w:val="2"/>
        </w:rPr>
        <w:tab/>
        <w:t>Process for Obtaining Loan from the Fund</w:t>
      </w:r>
    </w:p>
    <w:p w14:paraId="47B23932"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r>
      <w:bookmarkStart w:id="220" w:name="_Hlk224811322"/>
      <w:bookmarkStart w:id="221" w:name="_Hlk224809948"/>
      <w:r w:rsidRPr="00FC5566">
        <w:rPr>
          <w:kern w:val="2"/>
        </w:rPr>
        <w:t xml:space="preserve">The applicant shall transmit an application to the fund manager. The application shall be in the form established by the fund administrator. </w:t>
      </w:r>
    </w:p>
    <w:p w14:paraId="1B4906F0"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r>
      <w:bookmarkStart w:id="222" w:name="_Hlk224810095"/>
      <w:r w:rsidRPr="00FC5566">
        <w:rPr>
          <w:kern w:val="2"/>
        </w:rPr>
        <w:t xml:space="preserve">Such application should contain the following: </w:t>
      </w:r>
    </w:p>
    <w:p w14:paraId="5B9BDB82"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name of the applicant and eligible charter school, including:</w:t>
      </w:r>
    </w:p>
    <w:p w14:paraId="0540FE85" w14:textId="77777777" w:rsidR="00FC5566" w:rsidRPr="00FC5566" w:rsidRDefault="00FC5566" w:rsidP="00FC5566">
      <w:pPr>
        <w:tabs>
          <w:tab w:val="left" w:pos="907"/>
        </w:tabs>
        <w:ind w:firstLine="547"/>
        <w:jc w:val="both"/>
        <w:outlineLvl w:val="5"/>
        <w:rPr>
          <w:kern w:val="2"/>
        </w:rPr>
      </w:pPr>
      <w:r w:rsidRPr="00FC5566">
        <w:rPr>
          <w:kern w:val="2"/>
        </w:rPr>
        <w:t>a.</w:t>
      </w:r>
      <w:r w:rsidRPr="00FC5566">
        <w:rPr>
          <w:kern w:val="2"/>
        </w:rPr>
        <w:tab/>
        <w:t>name of primary contact for applicant and names of executive leadership and board members;</w:t>
      </w:r>
    </w:p>
    <w:p w14:paraId="2970E433" w14:textId="77777777" w:rsidR="00FC5566" w:rsidRPr="00FC5566" w:rsidRDefault="00FC5566" w:rsidP="00FC5566">
      <w:pPr>
        <w:tabs>
          <w:tab w:val="left" w:pos="907"/>
        </w:tabs>
        <w:ind w:firstLine="547"/>
        <w:jc w:val="both"/>
        <w:outlineLvl w:val="5"/>
        <w:rPr>
          <w:kern w:val="2"/>
        </w:rPr>
      </w:pPr>
      <w:r w:rsidRPr="00FC5566">
        <w:rPr>
          <w:kern w:val="2"/>
        </w:rPr>
        <w:t>b.</w:t>
      </w:r>
      <w:r w:rsidRPr="00FC5566">
        <w:rPr>
          <w:kern w:val="2"/>
        </w:rPr>
        <w:tab/>
        <w:t>physical address;</w:t>
      </w:r>
    </w:p>
    <w:p w14:paraId="6AEF2EA0" w14:textId="77777777" w:rsidR="00FC5566" w:rsidRPr="00FC5566" w:rsidRDefault="00FC5566" w:rsidP="00FC5566">
      <w:pPr>
        <w:tabs>
          <w:tab w:val="left" w:pos="907"/>
        </w:tabs>
        <w:ind w:firstLine="547"/>
        <w:jc w:val="both"/>
        <w:outlineLvl w:val="5"/>
        <w:rPr>
          <w:kern w:val="2"/>
        </w:rPr>
      </w:pPr>
      <w:r w:rsidRPr="00FC5566">
        <w:rPr>
          <w:kern w:val="2"/>
        </w:rPr>
        <w:t>c.</w:t>
      </w:r>
      <w:r w:rsidRPr="00FC5566">
        <w:rPr>
          <w:kern w:val="2"/>
        </w:rPr>
        <w:tab/>
        <w:t>mailing address;</w:t>
      </w:r>
    </w:p>
    <w:p w14:paraId="74DC8F81" w14:textId="77777777" w:rsidR="00FC5566" w:rsidRPr="00FC5566" w:rsidRDefault="00FC5566" w:rsidP="00FC5566">
      <w:pPr>
        <w:tabs>
          <w:tab w:val="left" w:pos="907"/>
        </w:tabs>
        <w:ind w:firstLine="547"/>
        <w:jc w:val="both"/>
        <w:outlineLvl w:val="5"/>
        <w:rPr>
          <w:kern w:val="2"/>
        </w:rPr>
      </w:pPr>
      <w:r w:rsidRPr="00FC5566">
        <w:rPr>
          <w:kern w:val="2"/>
        </w:rPr>
        <w:t>d.</w:t>
      </w:r>
      <w:r w:rsidRPr="00FC5566">
        <w:rPr>
          <w:kern w:val="2"/>
        </w:rPr>
        <w:tab/>
        <w:t>email of chief administrative officer;</w:t>
      </w:r>
    </w:p>
    <w:p w14:paraId="4C7A50E8" w14:textId="77777777" w:rsidR="00FC5566" w:rsidRPr="00FC5566" w:rsidRDefault="00FC5566" w:rsidP="00FC5566">
      <w:pPr>
        <w:tabs>
          <w:tab w:val="left" w:pos="907"/>
        </w:tabs>
        <w:ind w:firstLine="547"/>
        <w:jc w:val="both"/>
        <w:outlineLvl w:val="5"/>
        <w:rPr>
          <w:kern w:val="2"/>
        </w:rPr>
      </w:pPr>
      <w:r w:rsidRPr="00FC5566">
        <w:rPr>
          <w:kern w:val="2"/>
        </w:rPr>
        <w:t>e.</w:t>
      </w:r>
      <w:r w:rsidRPr="00FC5566">
        <w:rPr>
          <w:kern w:val="2"/>
        </w:rPr>
        <w:tab/>
        <w:t>phone number; and</w:t>
      </w:r>
    </w:p>
    <w:p w14:paraId="0B7EB6AA" w14:textId="77777777" w:rsidR="00FC5566" w:rsidRPr="00FC5566" w:rsidRDefault="00FC5566" w:rsidP="00FC5566">
      <w:pPr>
        <w:tabs>
          <w:tab w:val="left" w:pos="907"/>
        </w:tabs>
        <w:ind w:firstLine="547"/>
        <w:jc w:val="both"/>
        <w:outlineLvl w:val="5"/>
        <w:rPr>
          <w:kern w:val="2"/>
        </w:rPr>
      </w:pPr>
      <w:r w:rsidRPr="00FC5566">
        <w:rPr>
          <w:kern w:val="2"/>
        </w:rPr>
        <w:t>f.</w:t>
      </w:r>
      <w:r w:rsidRPr="00FC5566">
        <w:rPr>
          <w:kern w:val="2"/>
        </w:rPr>
        <w:tab/>
        <w:t>signed attestation that applicant and applicant’s leadership have met the requirements set forth in LAC 28:CXXXIX.503.A.3.a (Bulletin 126 – Charter Schools).</w:t>
      </w:r>
    </w:p>
    <w:p w14:paraId="17325E31"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articles of incorporation and current bylaws for applicant and eligible charter school;</w:t>
      </w:r>
    </w:p>
    <w:p w14:paraId="02544DC1"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resumes of key staff members (e.g., Chief Executive Officer, President, Operations Manager, Chief Financial Officer, Principal, etc.) of the eligible charter school;</w:t>
      </w:r>
    </w:p>
    <w:p w14:paraId="77379151"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lastRenderedPageBreak/>
        <w:t>4.</w:t>
      </w:r>
      <w:r w:rsidRPr="00FC5566">
        <w:rPr>
          <w:kern w:val="2"/>
        </w:rPr>
        <w:tab/>
        <w:t>current charter contract;</w:t>
      </w:r>
    </w:p>
    <w:p w14:paraId="29CED713"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5.</w:t>
      </w:r>
      <w:r w:rsidRPr="00FC5566">
        <w:rPr>
          <w:kern w:val="2"/>
        </w:rPr>
        <w:tab/>
        <w:t>current adopted budget of the applicant and eligible charter school (if different than applicant) with projected revenue and expenditures to fiscal year end;</w:t>
      </w:r>
    </w:p>
    <w:p w14:paraId="7F1DCE0A"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6.</w:t>
      </w:r>
      <w:r w:rsidRPr="00FC5566">
        <w:rPr>
          <w:kern w:val="2"/>
        </w:rPr>
        <w:tab/>
        <w:t>financial statements of the applicant and eligible charter school;</w:t>
      </w:r>
    </w:p>
    <w:p w14:paraId="3576432E"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7.</w:t>
      </w:r>
      <w:r w:rsidRPr="00FC5566">
        <w:rPr>
          <w:kern w:val="2"/>
        </w:rPr>
        <w:tab/>
        <w:t xml:space="preserve">Multi-year budget projections for at least the five fiscal years beyond the first fiscal year for which the Applicant is applying in the form provided by the fund administrator. Budget projections must include projected </w:t>
      </w:r>
      <w:bookmarkStart w:id="223" w:name="_Hlk224810062"/>
      <w:r w:rsidRPr="00FC5566">
        <w:rPr>
          <w:kern w:val="2"/>
        </w:rPr>
        <w:t>enrollment by grade, written budget assumptions, a staffing model, and demonstrate applicant’s ability to service loan costs and repay loan</w:t>
      </w:r>
      <w:bookmarkEnd w:id="220"/>
      <w:bookmarkEnd w:id="223"/>
      <w:r w:rsidRPr="00FC5566">
        <w:rPr>
          <w:kern w:val="2"/>
        </w:rPr>
        <w:t>;</w:t>
      </w:r>
    </w:p>
    <w:bookmarkEnd w:id="221"/>
    <w:bookmarkEnd w:id="222"/>
    <w:p w14:paraId="14FC04C5"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8.</w:t>
      </w:r>
      <w:r w:rsidRPr="00FC5566">
        <w:rPr>
          <w:kern w:val="2"/>
        </w:rPr>
        <w:tab/>
        <w:t>a list of the total amounts outstanding, annual amounts, interest rates, and maturity dates of all existing and anticipated short- and long-term debt obligations of the Applicant and eligible charter school;</w:t>
      </w:r>
    </w:p>
    <w:p w14:paraId="234FB0DE"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9.</w:t>
      </w:r>
      <w:r w:rsidRPr="00FC5566">
        <w:rPr>
          <w:kern w:val="2"/>
        </w:rPr>
        <w:tab/>
        <w:t>a list of historical, current, and anticipated future funding through private contributions, state, or federal grant awards;</w:t>
      </w:r>
    </w:p>
    <w:p w14:paraId="4340EA13"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10.</w:t>
      </w:r>
      <w:r w:rsidRPr="00FC5566">
        <w:rPr>
          <w:kern w:val="2"/>
        </w:rPr>
        <w:tab/>
        <w:t>a list of assets not identified in financial statements;</w:t>
      </w:r>
    </w:p>
    <w:p w14:paraId="2C60A1F0"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11.</w:t>
      </w:r>
      <w:r w:rsidRPr="00FC5566">
        <w:rPr>
          <w:kern w:val="2"/>
        </w:rPr>
        <w:tab/>
        <w:t>sources of funds, security and collateral, and evidence of ability to repay the loan requested;</w:t>
      </w:r>
    </w:p>
    <w:p w14:paraId="12312F29"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12.</w:t>
      </w:r>
      <w:r w:rsidRPr="00FC5566">
        <w:rPr>
          <w:kern w:val="2"/>
        </w:rPr>
        <w:tab/>
        <w:t>schedule for completion of the project in form provided by the fund administrator, including timeline for design, permitting, bidding, financing (if other sources required), construction, and first day of school;</w:t>
      </w:r>
    </w:p>
    <w:p w14:paraId="03EAE980"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13.</w:t>
      </w:r>
      <w:r w:rsidRPr="00FC5566">
        <w:rPr>
          <w:kern w:val="2"/>
        </w:rPr>
        <w:tab/>
        <w:t>the estimated cost of the project, including a detailed sources and uses table in the form provided by the fund administrator identifying all eligible costs of the loan;</w:t>
      </w:r>
    </w:p>
    <w:p w14:paraId="660C906A"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14.</w:t>
      </w:r>
      <w:r w:rsidRPr="00FC5566">
        <w:rPr>
          <w:kern w:val="2"/>
        </w:rPr>
        <w:tab/>
        <w:t>the plan or process for procurement of each use provided above in accordance with public bids for the erection, construction, alteration, improvement, or repair of a public facility or immovable property pursuant to R.S. 17:3996(B)(19); and</w:t>
      </w:r>
    </w:p>
    <w:p w14:paraId="0B0D2633"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15.</w:t>
      </w:r>
      <w:r w:rsidRPr="00FC5566">
        <w:rPr>
          <w:kern w:val="2"/>
        </w:rPr>
        <w:tab/>
        <w:t>the requested maximum principal amount of loan as a per-pupil funding request.</w:t>
      </w:r>
    </w:p>
    <w:p w14:paraId="127F376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The fund manager in its review and approval of the application shall ensure all financial and project information is included in the application.</w:t>
      </w:r>
    </w:p>
    <w:p w14:paraId="357CA808"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D.</w:t>
      </w:r>
      <w:r w:rsidRPr="00FC5566">
        <w:rPr>
          <w:kern w:val="2"/>
        </w:rPr>
        <w:tab/>
      </w:r>
      <w:bookmarkStart w:id="224" w:name="_Hlk224810299"/>
      <w:r w:rsidRPr="00FC5566">
        <w:rPr>
          <w:kern w:val="2"/>
        </w:rPr>
        <w:t xml:space="preserve">Upon acceptance of the application, the fund manager will review the application with the applicant. </w:t>
      </w:r>
    </w:p>
    <w:p w14:paraId="0A47174C"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E.</w:t>
      </w:r>
      <w:r w:rsidRPr="00FC5566">
        <w:rPr>
          <w:kern w:val="2"/>
        </w:rPr>
        <w:tab/>
        <w:t xml:space="preserve">Prior to beginning diligence and underwriting, the fund manager will review the application with the department of education. The department of education will provide any available reports to the fund manager including back-ground checks, and the applicant’s most recent Fiscal Risk Assessment and Annual Review Report demonstrating the eligible charter school’s most recent academic, financial, and organizational performance ratings. </w:t>
      </w:r>
    </w:p>
    <w:p w14:paraId="645570A9"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F.</w:t>
      </w:r>
      <w:r w:rsidRPr="00FC5566">
        <w:rPr>
          <w:kern w:val="2"/>
        </w:rPr>
        <w:tab/>
        <w:t xml:space="preserve">Upon satisfactory review of the reporting provided by the department of education, the fund manager will begin diligence and underwriting of the application. Once concluded, the fund manager will provide a credit recommendation describing the type of loan, its security, collateral, maximum principal amount, and other loan terms to the fund administrator for review and approval. </w:t>
      </w:r>
    </w:p>
    <w:p w14:paraId="3CCFEA1F"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G.</w:t>
      </w:r>
      <w:r w:rsidRPr="00FC5566">
        <w:rPr>
          <w:kern w:val="2"/>
        </w:rPr>
        <w:tab/>
        <w:t>Upon approval from the fund administrator, the fund administrator shall execute a loan agreement with the fund applicant containing the details set forth in the application.</w:t>
      </w:r>
    </w:p>
    <w:p w14:paraId="0F55823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H.</w:t>
      </w:r>
      <w:r w:rsidRPr="00FC5566">
        <w:rPr>
          <w:kern w:val="2"/>
        </w:rPr>
        <w:tab/>
        <w:t xml:space="preserve">Payments from the fund shall be made by the fund administrator in a lump sum to the fund manager in </w:t>
      </w:r>
      <w:r w:rsidRPr="00FC5566">
        <w:rPr>
          <w:kern w:val="2"/>
        </w:rPr>
        <w:t>accordance with the loan agreement. The fund manager will then make advances to the loan recipient as described in the loan agreement. Such payments shall not exceed the maximum principal amount as established in the loan agreement.</w:t>
      </w:r>
    </w:p>
    <w:p w14:paraId="5E71B22D"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17:4001.</w:t>
      </w:r>
    </w:p>
    <w:p w14:paraId="4ACD50A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Office of the Governor, Division of Administration, LR 52:1339 (August 2026).</w:t>
      </w:r>
      <w:bookmarkStart w:id="225" w:name="_Toc162423224"/>
    </w:p>
    <w:p w14:paraId="419BC426"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§107.</w:t>
      </w:r>
      <w:r w:rsidRPr="00FC5566">
        <w:rPr>
          <w:b/>
          <w:kern w:val="2"/>
        </w:rPr>
        <w:tab/>
        <w:t>Loan Conditions and Repayment</w:t>
      </w:r>
      <w:bookmarkStart w:id="226" w:name="_Hlk224648622"/>
      <w:bookmarkEnd w:id="225"/>
      <w:r w:rsidRPr="00FC5566">
        <w:rPr>
          <w:b/>
          <w:kern w:val="2"/>
        </w:rPr>
        <w:t xml:space="preserve"> </w:t>
      </w:r>
      <w:bookmarkEnd w:id="226"/>
    </w:p>
    <w:p w14:paraId="0FC0C97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bCs/>
          <w:kern w:val="2"/>
        </w:rPr>
        <w:t>A.</w:t>
      </w:r>
      <w:r w:rsidRPr="00FC5566">
        <w:rPr>
          <w:bCs/>
          <w:kern w:val="2"/>
        </w:rPr>
        <w:tab/>
      </w:r>
      <w:r w:rsidRPr="00FC5566">
        <w:rPr>
          <w:kern w:val="2"/>
        </w:rPr>
        <w:t>Each loan shall be evidenced by a loan agreement on a form prescribed and approved by the division. The loan agreement shall include:</w:t>
      </w:r>
    </w:p>
    <w:p w14:paraId="71FD7DAB"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the term of the loan which shall not exceed the term of that current charter agreement;</w:t>
      </w:r>
    </w:p>
    <w:p w14:paraId="24CB061A"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the repayment schedule of the loan which shall be repaid through monthly principal and interest payments directly to the fund administrator. The division shall credit any payments received to the fund for additional lending under this Chapter;</w:t>
      </w:r>
    </w:p>
    <w:p w14:paraId="1BB5EC63"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the interest rate and amortization of the loan which shall be established by the division at the time of approval and shall be an interest rate that is at least one hundred basis points less than the US Prime Rate, as published in the 'Money Rates' section of The Wall Street Journal; and</w:t>
      </w:r>
    </w:p>
    <w:p w14:paraId="2D3A5CBF"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w:t>
      </w:r>
      <w:r w:rsidRPr="00FC5566">
        <w:rPr>
          <w:kern w:val="2"/>
        </w:rPr>
        <w:tab/>
        <w:t>financial reporting requirements which shall include quarterly financial statements and the supplemental reporting schedule as mandated in R.S. 24:514(I)(2) as part of its annual financial reporting to the legislative auditor pursuant to R.S. 24:513 et seq.</w:t>
      </w:r>
    </w:p>
    <w:p w14:paraId="3304C98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In the event of default, the division may enforce escalation and repayment subject to the terms of the loan and intercreditor agreement, as applicable.</w:t>
      </w:r>
    </w:p>
    <w:p w14:paraId="59B32397"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 xml:space="preserve">If the charter agreement of an eligible charter school is revoked or the eligible charter school ceases to operate prior to repayment of the loan, all cash assets, equipment, property, facilities, or other physical assets purchased or constructed exclusively with loan funds shall be transferred to the division. </w:t>
      </w:r>
    </w:p>
    <w:p w14:paraId="48694DDE"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D.</w:t>
      </w:r>
      <w:r w:rsidRPr="00FC5566">
        <w:rPr>
          <w:kern w:val="2"/>
        </w:rPr>
        <w:tab/>
        <w:t>In the event a loan made to an eligible charter school whose charter agreement is revoked or who ceases to operate prior to repayment of the loan is a subordinate loan, the division will recapture assets acquired by loan proceeds according to the intercreditor agreement between the division and senior lender.</w:t>
      </w:r>
    </w:p>
    <w:p w14:paraId="0ADD1AB7"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E.</w:t>
      </w:r>
      <w:r w:rsidRPr="00FC5566">
        <w:rPr>
          <w:kern w:val="2"/>
        </w:rPr>
        <w:tab/>
        <w:t xml:space="preserve">In the event a loan made to an eligible charter school whose charter agreement is not renewed by its Authorizer or who announces plans to cease operations prior to full repayment of the loan is an unsecured loan, the division may direct the department of education to withhold future minimum foundation payments to repay the loan. </w:t>
      </w:r>
    </w:p>
    <w:p w14:paraId="5F56828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F.</w:t>
      </w:r>
      <w:r w:rsidRPr="00FC5566">
        <w:rPr>
          <w:kern w:val="2"/>
        </w:rPr>
        <w:tab/>
        <w:t>The division may by suit, action, mandamus, or other proceedings, protect and enforce any covenant relating to and the security provided in connection with any indebtedness issued pursuant to R.S. 39:1357, and may by suit, action, mandamus, or other proceedings enforce and compel performance of all of the duties required to be performed by the governing body or officials of any political subdivision hereunder and in any proceedings authorizing the issuance of the loan agreement.</w:t>
      </w:r>
    </w:p>
    <w:bookmarkEnd w:id="224"/>
    <w:p w14:paraId="14DA1052"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17:4001.</w:t>
      </w:r>
    </w:p>
    <w:p w14:paraId="0CB0D1C4"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lastRenderedPageBreak/>
        <w:t>HISTORICAL NOTE:</w:t>
      </w:r>
      <w:r w:rsidRPr="00FC5566">
        <w:rPr>
          <w:kern w:val="2"/>
          <w:sz w:val="18"/>
        </w:rPr>
        <w:tab/>
        <w:t>Promulgated by the Office of the Governor, Division of Administration, LR 52:1340 (August 2026).</w:t>
      </w:r>
    </w:p>
    <w:p w14:paraId="766BF39D"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27" w:name="_Hlk224648828"/>
      <w:r w:rsidRPr="00FC5566">
        <w:rPr>
          <w:b/>
          <w:kern w:val="2"/>
        </w:rPr>
        <w:t>§109.</w:t>
      </w:r>
      <w:r w:rsidRPr="00FC5566">
        <w:rPr>
          <w:b/>
          <w:kern w:val="2"/>
        </w:rPr>
        <w:tab/>
        <w:t>Fund Reporting</w:t>
      </w:r>
      <w:bookmarkEnd w:id="227"/>
    </w:p>
    <w:p w14:paraId="266DBCB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The fund administrator shall submit the annual report to the legislature, on or before December thirty-first, relative to fund activities for the prior fiscal year, including but not limited to the following:</w:t>
      </w:r>
    </w:p>
    <w:p w14:paraId="5AED2A2B"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the number of loan applications filed in the preceding year;</w:t>
      </w:r>
    </w:p>
    <w:p w14:paraId="57779939"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the number of loans executed in the preceding year, the amounts loaned to each eligible charter school, and the total amount of loan funds expended in accordance with the provisions of this Section;</w:t>
      </w:r>
    </w:p>
    <w:p w14:paraId="223E053D"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the collection rate of the loans;</w:t>
      </w:r>
    </w:p>
    <w:p w14:paraId="405BAD5B"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w:t>
      </w:r>
      <w:r w:rsidRPr="00FC5566">
        <w:rPr>
          <w:kern w:val="2"/>
        </w:rPr>
        <w:tab/>
        <w:t>the balance of the fund at the time such report is submitted and the viability of the fund at that time; and</w:t>
      </w:r>
    </w:p>
    <w:p w14:paraId="18165EBE"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5.</w:t>
      </w:r>
      <w:r w:rsidRPr="00FC5566">
        <w:rPr>
          <w:kern w:val="2"/>
        </w:rPr>
        <w:tab/>
        <w:t>an evaluation of financial accountability measures and the effectiveness of the loan program.</w:t>
      </w:r>
    </w:p>
    <w:bookmarkEnd w:id="212"/>
    <w:bookmarkEnd w:id="213"/>
    <w:bookmarkEnd w:id="214"/>
    <w:bookmarkEnd w:id="215"/>
    <w:bookmarkEnd w:id="216"/>
    <w:bookmarkEnd w:id="217"/>
    <w:p w14:paraId="2D3D5AF8"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17:4001.</w:t>
      </w:r>
    </w:p>
    <w:p w14:paraId="25D79B8F"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Office of the Governor, Division of Administration, LR 52:1341 (August 2026).</w:t>
      </w:r>
    </w:p>
    <w:p w14:paraId="5B77910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p w14:paraId="15033F04" w14:textId="77777777" w:rsidR="00FC5566" w:rsidRPr="00FC5566" w:rsidRDefault="00FC5566" w:rsidP="00FC5566">
      <w:pPr>
        <w:keepNext/>
        <w:ind w:left="2160"/>
        <w:jc w:val="both"/>
      </w:pPr>
      <w:r w:rsidRPr="00FC5566">
        <w:t>Bryan McClinton</w:t>
      </w:r>
    </w:p>
    <w:p w14:paraId="389539E5" w14:textId="77777777" w:rsidR="00FC5566" w:rsidRPr="00FC5566" w:rsidRDefault="00FC5566" w:rsidP="00FC5566">
      <w:pPr>
        <w:keepNext/>
        <w:ind w:left="2160"/>
        <w:jc w:val="both"/>
      </w:pPr>
      <w:r w:rsidRPr="00FC5566">
        <w:t>Deputy Commissioner</w:t>
      </w:r>
    </w:p>
    <w:p w14:paraId="4FDADDEF" w14:textId="77777777" w:rsidR="00FC5566" w:rsidRPr="00FC5566" w:rsidRDefault="00FC5566" w:rsidP="00FC5566">
      <w:pPr>
        <w:rPr>
          <w:noProof/>
          <w:sz w:val="16"/>
        </w:rPr>
      </w:pPr>
      <w:r w:rsidRPr="00FC5566">
        <w:rPr>
          <w:noProof/>
          <w:sz w:val="16"/>
        </w:rPr>
        <w:t>2608#012</w:t>
      </w:r>
    </w:p>
    <w:p w14:paraId="1A80E834" w14:textId="77777777" w:rsidR="00FC5566" w:rsidRPr="00FC5566" w:rsidRDefault="00FC5566" w:rsidP="00FC5566"/>
    <w:p w14:paraId="5E58C637" w14:textId="77777777" w:rsidR="00FC5566" w:rsidRPr="00FC5566" w:rsidRDefault="00FC5566" w:rsidP="00FC5566">
      <w:pPr>
        <w:keepNext/>
        <w:tabs>
          <w:tab w:val="left" w:pos="-1440"/>
        </w:tabs>
        <w:spacing w:after="120"/>
        <w:jc w:val="center"/>
        <w:rPr>
          <w:rFonts w:eastAsia="Calibri"/>
          <w:b/>
          <w:noProof/>
        </w:rPr>
      </w:pPr>
      <w:r w:rsidRPr="00FC5566">
        <w:rPr>
          <w:rFonts w:eastAsia="Calibri"/>
          <w:b/>
          <w:noProof/>
        </w:rPr>
        <w:t>RULE</w:t>
      </w:r>
    </w:p>
    <w:p w14:paraId="0EB91615" w14:textId="77777777" w:rsidR="00FC5566" w:rsidRPr="00FC5566" w:rsidRDefault="00FC5566" w:rsidP="00FC5566">
      <w:pPr>
        <w:keepNext/>
        <w:jc w:val="center"/>
        <w:rPr>
          <w:rFonts w:eastAsia="Calibri"/>
          <w:b/>
          <w:noProof/>
        </w:rPr>
      </w:pPr>
      <w:r w:rsidRPr="00FC5566">
        <w:rPr>
          <w:rFonts w:eastAsia="Calibri"/>
          <w:b/>
          <w:noProof/>
        </w:rPr>
        <w:t>Office of the Governor</w:t>
      </w:r>
    </w:p>
    <w:p w14:paraId="6D90DEE5" w14:textId="77777777" w:rsidR="00FC5566" w:rsidRPr="00FC5566" w:rsidRDefault="00FC5566" w:rsidP="00FC5566">
      <w:pPr>
        <w:keepNext/>
        <w:jc w:val="center"/>
        <w:rPr>
          <w:rFonts w:eastAsia="Calibri"/>
          <w:b/>
          <w:noProof/>
        </w:rPr>
      </w:pPr>
      <w:r w:rsidRPr="00FC5566">
        <w:rPr>
          <w:rFonts w:eastAsia="Calibri"/>
          <w:b/>
          <w:noProof/>
        </w:rPr>
        <w:t>Real Estate Appraisers Board</w:t>
      </w:r>
    </w:p>
    <w:p w14:paraId="69C3EB07" w14:textId="77777777" w:rsidR="00FC5566" w:rsidRPr="00FC5566" w:rsidRDefault="00FC5566" w:rsidP="00FC5566">
      <w:pPr>
        <w:keepNext/>
        <w:spacing w:before="240" w:after="240"/>
        <w:jc w:val="center"/>
        <w:rPr>
          <w:bCs/>
          <w:noProof/>
        </w:rPr>
      </w:pPr>
      <w:r w:rsidRPr="00FC5566">
        <w:rPr>
          <w:noProof/>
        </w:rPr>
        <w:t>Real Estate Appraisers Board</w:t>
      </w:r>
      <w:r w:rsidRPr="00FC5566">
        <w:rPr>
          <w:noProof/>
        </w:rPr>
        <w:br/>
      </w:r>
      <w:r w:rsidRPr="00FC5566">
        <w:rPr>
          <w:bCs/>
          <w:noProof/>
        </w:rPr>
        <w:t>(LAC 46:LXVII.Chapters 101-311)</w:t>
      </w:r>
    </w:p>
    <w:p w14:paraId="1C1C64DB"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 xml:space="preserve">The Real Estate Appraisers Board has amended its administrative rules in consideration of R.S. 49:964(D) and 966(K) and the </w:t>
      </w:r>
      <w:bookmarkStart w:id="228" w:name="_Hlk216257029"/>
      <w:r w:rsidRPr="00FC5566">
        <w:rPr>
          <w:kern w:val="2"/>
        </w:rPr>
        <w:t>April 1, 2025, Executive Order Number 25-038</w:t>
      </w:r>
      <w:bookmarkEnd w:id="228"/>
      <w:r w:rsidRPr="00FC5566">
        <w:rPr>
          <w:kern w:val="2"/>
        </w:rPr>
        <w:t xml:space="preserve">. During open meetings conducted on August 18, 2025 and November 17, 2025, the board reviewed 100 percent of its current administrative rules and the Rule and determined that the Rule is necessary, consistent with applicable law, aligned with its mission to protect the public interest by reasonably regulating real estate appraisers and appraisal management companies, and the benefits of the Rule outweighs its burdens and costs. Accordingly, the board adopts the Rule in accordance with the Administrative Procedure Act, R.S. 49:950 et seq, and the authority granted by R.S. 37:3391 et seq and R.S. 37:3415.1 et seq. This Rule is hereby adopted on the day of promulgation. </w:t>
      </w:r>
    </w:p>
    <w:p w14:paraId="0855DBF6" w14:textId="77777777" w:rsidR="00FC5566" w:rsidRPr="00FC5566" w:rsidRDefault="00FC5566" w:rsidP="00FC5566">
      <w:pPr>
        <w:keepNext/>
        <w:jc w:val="center"/>
        <w:rPr>
          <w:b/>
          <w:kern w:val="28"/>
        </w:rPr>
      </w:pPr>
      <w:r w:rsidRPr="00FC5566">
        <w:rPr>
          <w:b/>
          <w:kern w:val="28"/>
        </w:rPr>
        <w:t>Title 46</w:t>
      </w:r>
    </w:p>
    <w:p w14:paraId="60E41AE5" w14:textId="77777777" w:rsidR="00FC5566" w:rsidRPr="00FC5566" w:rsidRDefault="00FC5566" w:rsidP="00FC5566">
      <w:pPr>
        <w:keepNext/>
        <w:jc w:val="center"/>
        <w:rPr>
          <w:b/>
          <w:kern w:val="28"/>
        </w:rPr>
      </w:pPr>
      <w:r w:rsidRPr="00FC5566">
        <w:rPr>
          <w:b/>
          <w:kern w:val="28"/>
        </w:rPr>
        <w:t>PROFESSIONAL AND OCCUPATIONAL STANDARDS</w:t>
      </w:r>
    </w:p>
    <w:p w14:paraId="29E8BBAE" w14:textId="77777777" w:rsidR="00FC5566" w:rsidRPr="00FC5566" w:rsidRDefault="00FC5566" w:rsidP="00FC5566">
      <w:pPr>
        <w:keepNext/>
        <w:jc w:val="center"/>
        <w:rPr>
          <w:b/>
          <w:noProof/>
        </w:rPr>
      </w:pPr>
      <w:r w:rsidRPr="00FC5566">
        <w:rPr>
          <w:b/>
          <w:noProof/>
        </w:rPr>
        <w:t>Part LXVII.  Real Estate</w:t>
      </w:r>
    </w:p>
    <w:p w14:paraId="6074B8AF" w14:textId="77777777" w:rsidR="00FC5566" w:rsidRPr="00FC5566" w:rsidRDefault="00FC5566" w:rsidP="00FC5566">
      <w:pPr>
        <w:keepNext/>
        <w:jc w:val="center"/>
        <w:rPr>
          <w:b/>
          <w:noProof/>
        </w:rPr>
      </w:pPr>
      <w:r w:rsidRPr="00FC5566">
        <w:rPr>
          <w:b/>
          <w:noProof/>
        </w:rPr>
        <w:t>Subpart 2.  Appraisers</w:t>
      </w:r>
    </w:p>
    <w:p w14:paraId="78DDED6F"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bCs/>
          <w:kern w:val="2"/>
        </w:rPr>
      </w:pPr>
      <w:r w:rsidRPr="00FC5566">
        <w:rPr>
          <w:b/>
          <w:kern w:val="2"/>
        </w:rPr>
        <w:t>Chapter 101.</w:t>
      </w:r>
      <w:r w:rsidRPr="00FC5566">
        <w:rPr>
          <w:b/>
          <w:kern w:val="2"/>
        </w:rPr>
        <w:tab/>
        <w:t>Authority</w:t>
      </w:r>
    </w:p>
    <w:p w14:paraId="74EAAFAF"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29" w:name="_Hlk205554845"/>
      <w:r w:rsidRPr="00FC5566">
        <w:rPr>
          <w:b/>
          <w:kern w:val="2"/>
        </w:rPr>
        <w:t>§10101.</w:t>
      </w:r>
      <w:r w:rsidRPr="00FC5566">
        <w:rPr>
          <w:b/>
          <w:kern w:val="2"/>
        </w:rPr>
        <w:tab/>
        <w:t>Adoption; Authority</w:t>
      </w:r>
      <w:bookmarkEnd w:id="229"/>
    </w:p>
    <w:p w14:paraId="6A62D039"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The rules and regulations of the Louisiana Real Estate Appraisers Board included in this Subpart have been adopted pursuant to and in compliance with the Louisiana Real Estate Appraisers Law (R.S. 37:3391 et seq), and any violation of these rules or regulations shall be sufficient cause for any disciplinary action permitted by law.</w:t>
      </w:r>
    </w:p>
    <w:p w14:paraId="6BDAFA17"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 xml:space="preserve">The terms </w:t>
      </w:r>
      <w:r w:rsidRPr="00FC5566">
        <w:rPr>
          <w:i/>
          <w:iCs/>
          <w:kern w:val="2"/>
        </w:rPr>
        <w:t>license</w:t>
      </w:r>
      <w:r w:rsidRPr="00FC5566">
        <w:rPr>
          <w:kern w:val="2"/>
        </w:rPr>
        <w:t xml:space="preserve"> and </w:t>
      </w:r>
      <w:r w:rsidRPr="00FC5566">
        <w:rPr>
          <w:i/>
          <w:iCs/>
          <w:kern w:val="2"/>
        </w:rPr>
        <w:t>certificate</w:t>
      </w:r>
      <w:r w:rsidRPr="00FC5566">
        <w:rPr>
          <w:kern w:val="2"/>
        </w:rPr>
        <w:t xml:space="preserve"> are used interchangeably throughout the Louisiana Real Estate Appraisers Law and this Subpart and shall be interpreted to have the same meaning.</w:t>
      </w:r>
    </w:p>
    <w:p w14:paraId="4AB926F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bookmarkStart w:id="230" w:name="_Hlk216095517"/>
      <w:r w:rsidRPr="00FC5566">
        <w:rPr>
          <w:kern w:val="2"/>
          <w:sz w:val="18"/>
        </w:rPr>
        <w:t>AUTHORITY NOTE:</w:t>
      </w:r>
      <w:r w:rsidRPr="00FC5566">
        <w:rPr>
          <w:kern w:val="2"/>
          <w:sz w:val="18"/>
        </w:rPr>
        <w:tab/>
        <w:t xml:space="preserve">Promulgated in accordance with R.S. </w:t>
      </w:r>
      <w:bookmarkEnd w:id="230"/>
      <w:r w:rsidRPr="00FC5566">
        <w:rPr>
          <w:kern w:val="2"/>
          <w:sz w:val="18"/>
        </w:rPr>
        <w:t xml:space="preserve">37:3395. </w:t>
      </w:r>
    </w:p>
    <w:p w14:paraId="3C1886B5"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Economic Development, Real Estate Appraisers Board of Certification, LR 25:1425 (August 1999), amended by the Office of the Governor, Real Estate Appraisers Board, LR 31:1332 (June 2005), LR 52:1341 (August 2026).</w:t>
      </w:r>
    </w:p>
    <w:p w14:paraId="13F49158"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§10103.</w:t>
      </w:r>
      <w:r w:rsidRPr="00FC5566">
        <w:rPr>
          <w:b/>
          <w:kern w:val="2"/>
        </w:rPr>
        <w:tab/>
        <w:t>Open Meetings; Electronic Means; Disability Accommodations</w:t>
      </w:r>
    </w:p>
    <w:p w14:paraId="28788A4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 xml:space="preserve">The board is a state agency, as defined by R.S. 49:951, and is authorized to conduct and its members may attend and participate in open meetings via electronic means in accordance with the Open Meetings Law (R.S. 42:11 et seq), including but not limited to R.S. </w:t>
      </w:r>
      <w:bookmarkStart w:id="231" w:name="_Hlk216095344"/>
      <w:r w:rsidRPr="00FC5566">
        <w:rPr>
          <w:kern w:val="2"/>
        </w:rPr>
        <w:t>42:17.2 and 17.2.1</w:t>
      </w:r>
      <w:bookmarkEnd w:id="231"/>
      <w:r w:rsidRPr="00FC5566">
        <w:rPr>
          <w:kern w:val="2"/>
        </w:rPr>
        <w:t>.</w:t>
      </w:r>
    </w:p>
    <w:p w14:paraId="335E81B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The board shall provide for participation via electronic means on an individualized basis for persons with disabilities. “Persons with disabilities” means or includes the following:</w:t>
      </w:r>
    </w:p>
    <w:p w14:paraId="4BA23559"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A member of the public with a disability recognized by the Americans with Disabilities Act (ADA) or his or her designated caregiver; or</w:t>
      </w:r>
    </w:p>
    <w:p w14:paraId="28E56D34"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A participant board member with an ADA-qualifying disability.</w:t>
      </w:r>
    </w:p>
    <w:p w14:paraId="049B1D8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Upon receipt of any reasonable accommodation request by a person with disabilities, relative to participation via electronic means, the board’s designated representative shall provide the requestor with the teleconference or videoconference link as soon as possible following receipt of the request but no later than the start of the scheduled meeting. Any other related reasonable accommodation request shall be considered in accordance with applicable law.</w:t>
      </w:r>
    </w:p>
    <w:p w14:paraId="4DC7F837"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bookmarkStart w:id="232" w:name="_Hlk216095808"/>
      <w:r w:rsidRPr="00FC5566">
        <w:rPr>
          <w:kern w:val="2"/>
          <w:sz w:val="18"/>
        </w:rPr>
        <w:t>AUTHORITY NOTE:</w:t>
      </w:r>
      <w:r w:rsidRPr="00FC5566">
        <w:rPr>
          <w:kern w:val="2"/>
          <w:sz w:val="18"/>
        </w:rPr>
        <w:tab/>
        <w:t xml:space="preserve">Promulgated in accordance with R.S. </w:t>
      </w:r>
      <w:bookmarkEnd w:id="232"/>
      <w:r w:rsidRPr="00FC5566">
        <w:rPr>
          <w:kern w:val="2"/>
          <w:sz w:val="18"/>
        </w:rPr>
        <w:t>42:17.2 and 17.2.1.</w:t>
      </w:r>
    </w:p>
    <w:p w14:paraId="0B8A36B7"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bCs/>
          <w:kern w:val="2"/>
          <w:sz w:val="18"/>
        </w:rPr>
      </w:pPr>
      <w:r w:rsidRPr="00FC5566">
        <w:rPr>
          <w:kern w:val="2"/>
          <w:sz w:val="18"/>
        </w:rPr>
        <w:t>HISTORICAL NOTE:</w:t>
      </w:r>
      <w:r w:rsidRPr="00FC5566">
        <w:rPr>
          <w:kern w:val="2"/>
          <w:sz w:val="18"/>
        </w:rPr>
        <w:tab/>
        <w:t>Promulgated by the Office of the Governor, Real Estate Appraisers Board, LR 52:1341 (August 2026).</w:t>
      </w:r>
    </w:p>
    <w:p w14:paraId="5061D110"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33" w:name="_Hlk216082556"/>
      <w:r w:rsidRPr="00FC5566">
        <w:rPr>
          <w:b/>
          <w:kern w:val="2"/>
        </w:rPr>
        <w:t>§10105.</w:t>
      </w:r>
      <w:r w:rsidRPr="00FC5566">
        <w:rPr>
          <w:b/>
          <w:kern w:val="2"/>
        </w:rPr>
        <w:tab/>
        <w:t>Reporting; Change of Contact Information of Record</w:t>
      </w:r>
      <w:bookmarkEnd w:id="233"/>
    </w:p>
    <w:p w14:paraId="539E30B2"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Each licensee or registrant shall notify the board, in writing, within 10 days of a change in any of the following contact information of record:</w:t>
      </w:r>
    </w:p>
    <w:p w14:paraId="76BF0D5A"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mailing address, business address, residence address, or email address;</w:t>
      </w:r>
    </w:p>
    <w:p w14:paraId="1A703D18"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primary telephone number; and</w:t>
      </w:r>
    </w:p>
    <w:p w14:paraId="5EE47DE2"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any other required contact information for the business or domicile of record for the licensee or registrant.</w:t>
      </w:r>
    </w:p>
    <w:p w14:paraId="7EBE41D5"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bookmarkStart w:id="234" w:name="_Hlk216096330"/>
      <w:r w:rsidRPr="00FC5566">
        <w:rPr>
          <w:kern w:val="2"/>
          <w:sz w:val="18"/>
        </w:rPr>
        <w:t>AUTHORITY NOTE:</w:t>
      </w:r>
      <w:r w:rsidRPr="00FC5566">
        <w:rPr>
          <w:kern w:val="2"/>
          <w:sz w:val="18"/>
        </w:rPr>
        <w:tab/>
        <w:t>Promulgated in accordance with R.S. 37:</w:t>
      </w:r>
      <w:bookmarkEnd w:id="234"/>
      <w:r w:rsidRPr="00FC5566">
        <w:rPr>
          <w:kern w:val="2"/>
          <w:sz w:val="18"/>
        </w:rPr>
        <w:t>3395 and 3396.</w:t>
      </w:r>
    </w:p>
    <w:p w14:paraId="63F07672"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Office of the Governor, Real Estate Appraisers Board, LR 52:1341 (August 2026).</w:t>
      </w:r>
    </w:p>
    <w:p w14:paraId="1AFCED2D"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Chapter 103.</w:t>
      </w:r>
      <w:r w:rsidRPr="00FC5566">
        <w:rPr>
          <w:b/>
          <w:kern w:val="2"/>
        </w:rPr>
        <w:tab/>
        <w:t>License Requirements</w:t>
      </w:r>
    </w:p>
    <w:p w14:paraId="74239130"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§10301.</w:t>
      </w:r>
      <w:r w:rsidRPr="00FC5566">
        <w:rPr>
          <w:b/>
          <w:kern w:val="2"/>
        </w:rPr>
        <w:tab/>
        <w:t>Applications/Renewals</w:t>
      </w:r>
    </w:p>
    <w:p w14:paraId="1385E75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The board shall issue an examination authorization on receipt of a properly completed application.</w:t>
      </w:r>
    </w:p>
    <w:p w14:paraId="13087C53"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bCs/>
          <w:kern w:val="2"/>
        </w:rPr>
        <w:tab/>
      </w:r>
      <w:r w:rsidRPr="00FC5566">
        <w:rPr>
          <w:kern w:val="2"/>
        </w:rPr>
        <w:t>When an applicant has made a false statement of material fact on an initial or renewal application for a license or registration, or in any document submitted in connection with the application process, such false statement constitutes sufficient grounds for refusal of a license.</w:t>
      </w:r>
    </w:p>
    <w:p w14:paraId="47964AD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The responsibility for timely submission of the renewal application and payment of the required fees rests solely with the applicant.</w:t>
      </w:r>
    </w:p>
    <w:p w14:paraId="6BC1763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strike/>
          <w:kern w:val="2"/>
          <w:sz w:val="18"/>
        </w:rPr>
      </w:pPr>
      <w:r w:rsidRPr="00FC5566">
        <w:rPr>
          <w:kern w:val="2"/>
          <w:sz w:val="18"/>
        </w:rPr>
        <w:lastRenderedPageBreak/>
        <w:t>AUTHORITY NOTE:</w:t>
      </w:r>
      <w:r w:rsidRPr="00FC5566">
        <w:rPr>
          <w:kern w:val="2"/>
          <w:sz w:val="18"/>
        </w:rPr>
        <w:tab/>
        <w:t>Promulgated in accordance with R.S. 37:3395, 3396, and 3401.</w:t>
      </w:r>
    </w:p>
    <w:p w14:paraId="77E0F597"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Economic Development, Real Estate Appraisers Board of Certification, LR 25:1425 (August 1999), amended by the Office of the Governor, Real Estate Appraisers Board, LR 31:1332 (June 2005), LR 37:332 (January 2011), LR 41:368 (February 2015), LR 52:1341 (August 2026).</w:t>
      </w:r>
    </w:p>
    <w:p w14:paraId="0C3AAB5A"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§10303.</w:t>
      </w:r>
      <w:bookmarkStart w:id="235" w:name="_Hlk118551004"/>
      <w:r w:rsidRPr="00FC5566">
        <w:rPr>
          <w:b/>
          <w:kern w:val="2"/>
        </w:rPr>
        <w:tab/>
        <w:t>Examination</w:t>
      </w:r>
      <w:bookmarkEnd w:id="235"/>
    </w:p>
    <w:p w14:paraId="41CC5B29"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Any applicant who fails an examination may apply to retake the examination by submitting a copy of the fail notice and a new examination processing fee to the board. If the applicant has not successfully passed the examination after one year from the date the application was filed, the applicant shall be required to submit a new application and remit all prescribed fees to be eligible for the licensing examination.</w:t>
      </w:r>
    </w:p>
    <w:p w14:paraId="57D207F7"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37:3395 and 3398.</w:t>
      </w:r>
    </w:p>
    <w:p w14:paraId="2F8860EE"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Economic Development, Real Estate Appraisers Board of Certification, LR 25:1425 (August 1999), amended by the Office of the Governor, Real Estate Appraisers Board, LR 31:1332 (June 2005), LR 37:332 (January 2011), LR 41:368 (February 2015), LR 45:419 (March 2019), LR 52:1342 (August 2026).</w:t>
      </w:r>
    </w:p>
    <w:p w14:paraId="1DFB47E8"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§10305.</w:t>
      </w:r>
      <w:r w:rsidRPr="00FC5566">
        <w:rPr>
          <w:b/>
          <w:kern w:val="2"/>
        </w:rPr>
        <w:tab/>
        <w:t>Fees; nonsufficient checks</w:t>
      </w:r>
    </w:p>
    <w:p w14:paraId="4C0240A9"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All fees submitted to the board are nonrefundable and shall be imposed in accordance with R.S. 37:3407.</w:t>
      </w:r>
    </w:p>
    <w:p w14:paraId="0D7761C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 - D.</w:t>
      </w:r>
      <w:r w:rsidRPr="00FC5566">
        <w:rPr>
          <w:kern w:val="2"/>
        </w:rPr>
        <w:tab/>
        <w:t>…</w:t>
      </w:r>
    </w:p>
    <w:p w14:paraId="37EE9C42"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E.</w:t>
      </w:r>
      <w:r w:rsidRPr="00FC5566">
        <w:rPr>
          <w:kern w:val="2"/>
        </w:rPr>
        <w:tab/>
        <w:t>Nonsufficient funds. Persons issuing checks that are returned by financial institutions will be notified, in writing, of the return of the check to the address registered with the board. Within 10 days from the mailing or electronic delivery of the notification, the person issuing the check shall remit a certified check, cashier's check, or money order payable to the Louisiana Real Estate Appraisers Board in the amount of the returned check plus a $25 processing fee.</w:t>
      </w:r>
    </w:p>
    <w:p w14:paraId="57ED53B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37:3395 and 3407.</w:t>
      </w:r>
    </w:p>
    <w:p w14:paraId="46B14EC0"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Economic Development, Real Estate Appraisers Board of Certification, LR 25:1425 (August 1999), amended by the Office of the Governor, Real Estate Appraisers Board, LR 31:1333 (June 2005), LR 45:420 (March 2019), LR 52:1342 (August 2026).</w:t>
      </w:r>
    </w:p>
    <w:p w14:paraId="1B26E93A"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highlight w:val="yellow"/>
        </w:rPr>
      </w:pPr>
      <w:r w:rsidRPr="00FC5566">
        <w:rPr>
          <w:b/>
          <w:kern w:val="2"/>
        </w:rPr>
        <w:t>§10308.</w:t>
      </w:r>
      <w:r w:rsidRPr="00FC5566">
        <w:rPr>
          <w:b/>
          <w:kern w:val="2"/>
        </w:rPr>
        <w:tab/>
        <w:t>Appraiser Trainees; Supervision; Termination</w:t>
      </w:r>
    </w:p>
    <w:p w14:paraId="3ECE28DE" w14:textId="77777777" w:rsidR="00FC5566" w:rsidRPr="00FC5566" w:rsidRDefault="00FC5566" w:rsidP="00FC5566">
      <w:pPr>
        <w:tabs>
          <w:tab w:val="left" w:pos="144"/>
          <w:tab w:val="left" w:pos="187"/>
          <w:tab w:val="left" w:pos="540"/>
          <w:tab w:val="left" w:pos="907"/>
          <w:tab w:val="left" w:pos="1080"/>
        </w:tabs>
        <w:ind w:firstLine="187"/>
        <w:jc w:val="both"/>
        <w:outlineLvl w:val="3"/>
        <w:rPr>
          <w:strike/>
          <w:kern w:val="2"/>
        </w:rPr>
      </w:pPr>
      <w:r w:rsidRPr="00FC5566">
        <w:rPr>
          <w:kern w:val="2"/>
        </w:rPr>
        <w:t>A.</w:t>
      </w:r>
      <w:r w:rsidRPr="00FC5566">
        <w:rPr>
          <w:kern w:val="2"/>
        </w:rPr>
        <w:tab/>
        <w:t xml:space="preserve">A certified residential or certified general real property appraiser may supervise trainee appraisers in accordance with the requirements of R.S. 37:3391 </w:t>
      </w:r>
      <w:r w:rsidRPr="00FC5566">
        <w:rPr>
          <w:i/>
          <w:iCs/>
          <w:kern w:val="2"/>
        </w:rPr>
        <w:t>et seq</w:t>
      </w:r>
      <w:r w:rsidRPr="00FC5566">
        <w:rPr>
          <w:kern w:val="2"/>
        </w:rPr>
        <w:t xml:space="preserve"> and </w:t>
      </w:r>
      <w:bookmarkStart w:id="236" w:name="_Hlk205463953"/>
      <w:bookmarkStart w:id="237" w:name="_Hlk216098524"/>
      <w:r w:rsidRPr="00FC5566">
        <w:rPr>
          <w:kern w:val="2"/>
        </w:rPr>
        <w:t>the applicable editions of both the Real Property Appraiser Qualification Criteria</w:t>
      </w:r>
      <w:bookmarkEnd w:id="236"/>
      <w:r w:rsidRPr="00FC5566">
        <w:rPr>
          <w:kern w:val="2"/>
        </w:rPr>
        <w:t>, or its successor,</w:t>
      </w:r>
      <w:r w:rsidRPr="00FC5566">
        <w:rPr>
          <w:i/>
          <w:iCs/>
          <w:kern w:val="2"/>
        </w:rPr>
        <w:t xml:space="preserve"> </w:t>
      </w:r>
      <w:r w:rsidRPr="00FC5566">
        <w:rPr>
          <w:kern w:val="2"/>
        </w:rPr>
        <w:t xml:space="preserve">and </w:t>
      </w:r>
      <w:bookmarkStart w:id="238" w:name="_Hlk205219694"/>
      <w:r w:rsidRPr="00FC5566">
        <w:rPr>
          <w:kern w:val="2"/>
        </w:rPr>
        <w:t>the Uniform Standards of Professional Appraisal Practice or its successor</w:t>
      </w:r>
      <w:bookmarkEnd w:id="237"/>
      <w:bookmarkEnd w:id="238"/>
      <w:r w:rsidRPr="00FC5566">
        <w:rPr>
          <w:kern w:val="2"/>
        </w:rPr>
        <w:t>.</w:t>
      </w:r>
    </w:p>
    <w:p w14:paraId="06029B7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The supervisory appraiser shall immediately notify the board and the appraiser trainee, in writing, when the supervisory appraiser terminates the supervision of the trainee appraiser. The trainee appraiser shall not engage in a real estate appraisal at any time that he or she is not registered under the supervision of a supervisory appraiser.</w:t>
      </w:r>
    </w:p>
    <w:p w14:paraId="2D134E18"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37:3392 and 3395.</w:t>
      </w:r>
    </w:p>
    <w:p w14:paraId="58A7C017"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Office of the Governor, Real Estate Appraisers Board, LR 31:1333 (June 2005), amended LR 37:333 (January 2011), LR 41:368 (February 2015), LR 42:870 (June 2016), LR 45:420 (March 2019); LR 52:1342 (August 2026).</w:t>
      </w:r>
    </w:p>
    <w:p w14:paraId="3681163C"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39" w:name="_Hlk120038552"/>
      <w:r w:rsidRPr="00FC5566">
        <w:rPr>
          <w:b/>
          <w:kern w:val="2"/>
        </w:rPr>
        <w:t>§10309.</w:t>
      </w:r>
      <w:r w:rsidRPr="00FC5566">
        <w:rPr>
          <w:b/>
          <w:kern w:val="2"/>
        </w:rPr>
        <w:tab/>
        <w:t>Application; Education; Experience Credit</w:t>
      </w:r>
    </w:p>
    <w:bookmarkEnd w:id="239"/>
    <w:p w14:paraId="113EDA82"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 xml:space="preserve">Applicants for a real property appraiser license shall satisfy the education and experience requirements, as included in </w:t>
      </w:r>
      <w:bookmarkStart w:id="240" w:name="_Hlk205216001"/>
      <w:r w:rsidRPr="00FC5566">
        <w:rPr>
          <w:kern w:val="2"/>
        </w:rPr>
        <w:t>the applicable edition of the Real Property Appraiser Qualification Criteria, or its successor</w:t>
      </w:r>
      <w:bookmarkEnd w:id="240"/>
      <w:r w:rsidRPr="00FC5566">
        <w:rPr>
          <w:kern w:val="2"/>
        </w:rPr>
        <w:t>, prior to receiving an authorization for testing.</w:t>
      </w:r>
    </w:p>
    <w:p w14:paraId="3351777B"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Experience credit shall be reviewed and approved by the board in accordance with the applicable edition of the Real Property Appraiser Qualification Criteria, or its successor. Calculation of experience hours shall be based solely on actual hours of experience.</w:t>
      </w:r>
    </w:p>
    <w:p w14:paraId="576183BF"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Only those real property appraisals consistent with the “Uniform Standards of Professional Appraisal Practice” or its successor may be accepted by the board for experience credit.</w:t>
      </w:r>
    </w:p>
    <w:p w14:paraId="53081CF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D.</w:t>
      </w:r>
      <w:r w:rsidRPr="00FC5566">
        <w:rPr>
          <w:kern w:val="2"/>
        </w:rPr>
        <w:tab/>
        <w:t>A peer review committee appointed by the board pursuant to R.S. 37:3395.1 shall serve in the following capacity.</w:t>
      </w:r>
    </w:p>
    <w:p w14:paraId="794BFCC1"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Committee members shall serve at the discretion of the board and may be removed at any time with or without cause</w:t>
      </w:r>
      <w:r w:rsidRPr="00FC5566">
        <w:rPr>
          <w:strike/>
          <w:kern w:val="2"/>
        </w:rPr>
        <w:t>,</w:t>
      </w:r>
      <w:r w:rsidRPr="00FC5566">
        <w:rPr>
          <w:kern w:val="2"/>
        </w:rPr>
        <w:t xml:space="preserve"> upon written notice from the board.</w:t>
      </w:r>
    </w:p>
    <w:p w14:paraId="732C6DD3"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Committee members assigned to assist investigators shall remove themselves from any investigation where there may be an actual or perceived conflict of interest.</w:t>
      </w:r>
    </w:p>
    <w:p w14:paraId="0A7E1F48"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E.</w:t>
      </w:r>
      <w:r w:rsidRPr="00FC5566">
        <w:rPr>
          <w:kern w:val="2"/>
        </w:rPr>
        <w:tab/>
        <w:t>An applicant who is currently licensed and in good standing in a state approved by the Appraisal Subcommittee (ASC) of the Federal Financial Institutions Examination Council (FFEIC) shall be deemed to satisfy the experience requirements for the same level of licensure in Louisiana. The applicant shall provide appropriate documentation as required by the board.</w:t>
      </w:r>
    </w:p>
    <w:p w14:paraId="2382C8BA"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37:3395 and 3395.1.</w:t>
      </w:r>
    </w:p>
    <w:p w14:paraId="6B5B4A8E"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Economic Development, Real Estate Appraisers Board of Certification, LR 25:1426 (August 1999), amended by the Office of the Governor, Real Estate Appraisers Board, LR 31:1333 (June 2005), LR 37:333 (January 2011), LR 39:310 (February 2013), LR 41:368 (February 2015), LR 42:871 (June 2016), LR 45:420 (March 2019), LR 52:1342 (August 2026).</w:t>
      </w:r>
    </w:p>
    <w:p w14:paraId="28481243"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strike/>
          <w:kern w:val="2"/>
        </w:rPr>
      </w:pPr>
      <w:r w:rsidRPr="00FC5566">
        <w:rPr>
          <w:b/>
          <w:kern w:val="2"/>
        </w:rPr>
        <w:t>§10311.</w:t>
      </w:r>
      <w:r w:rsidRPr="00FC5566">
        <w:rPr>
          <w:b/>
          <w:kern w:val="2"/>
        </w:rPr>
        <w:tab/>
        <w:t>Experience Requirements</w:t>
      </w:r>
    </w:p>
    <w:p w14:paraId="6FF164BC" w14:textId="77777777" w:rsidR="00FC5566" w:rsidRPr="00FC5566" w:rsidRDefault="00FC5566" w:rsidP="00FC5566">
      <w:pPr>
        <w:tabs>
          <w:tab w:val="left" w:pos="144"/>
          <w:tab w:val="left" w:pos="187"/>
          <w:tab w:val="left" w:pos="540"/>
          <w:tab w:val="left" w:pos="907"/>
          <w:tab w:val="left" w:pos="1080"/>
        </w:tabs>
        <w:ind w:firstLine="187"/>
        <w:jc w:val="both"/>
        <w:outlineLvl w:val="3"/>
        <w:rPr>
          <w:strike/>
          <w:kern w:val="2"/>
        </w:rPr>
      </w:pPr>
      <w:r w:rsidRPr="00FC5566">
        <w:rPr>
          <w:kern w:val="2"/>
        </w:rPr>
        <w:t>A.</w:t>
      </w:r>
      <w:r w:rsidRPr="00FC5566">
        <w:rPr>
          <w:kern w:val="2"/>
        </w:rPr>
        <w:tab/>
        <w:t xml:space="preserve">This Section regarding determination of experience credit applies to </w:t>
      </w:r>
      <w:bookmarkStart w:id="241" w:name="_Hlk216099742"/>
      <w:r w:rsidRPr="00FC5566">
        <w:rPr>
          <w:kern w:val="2"/>
        </w:rPr>
        <w:t>all real property appraiser license classes defined in R.S. 37:3397</w:t>
      </w:r>
      <w:bookmarkEnd w:id="241"/>
      <w:r w:rsidRPr="00FC5566">
        <w:rPr>
          <w:kern w:val="2"/>
        </w:rPr>
        <w:t>.</w:t>
      </w:r>
    </w:p>
    <w:p w14:paraId="1AB27CAE"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A.1. - B.4.</w:t>
      </w:r>
      <w:r w:rsidRPr="00FC5566">
        <w:rPr>
          <w:kern w:val="2"/>
        </w:rPr>
        <w:tab/>
        <w:t>…</w:t>
      </w:r>
    </w:p>
    <w:p w14:paraId="4C65E6C4"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bookmarkStart w:id="242" w:name="_Hlk216099946"/>
      <w:r w:rsidRPr="00FC5566">
        <w:rPr>
          <w:kern w:val="2"/>
          <w:sz w:val="18"/>
        </w:rPr>
        <w:t>AUTHORITY NOTE:</w:t>
      </w:r>
      <w:r w:rsidRPr="00FC5566">
        <w:rPr>
          <w:kern w:val="2"/>
          <w:sz w:val="18"/>
        </w:rPr>
        <w:tab/>
        <w:t>Promulgated in accordance with R.S. 37:3395 through 3397.</w:t>
      </w:r>
      <w:bookmarkEnd w:id="242"/>
    </w:p>
    <w:p w14:paraId="7C52D8F2"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Economic Development, Real Estate Appraisers Board of Certification, LR 25:1426 (August 1999), amended by the Office of the Governor, Real Estate Appraisers Board of Certification, LR 29:126 (February 2003), amended by the Office of the Governor, Real Estate Appraisers Board, LR 31:1334 (June 2005), LR 37:333 (January 2011), LR 41:369 (February 2015), LR 45:420 (March 2019), LR 52:1342 (August 2026).</w:t>
      </w:r>
    </w:p>
    <w:p w14:paraId="1159C3C3"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§10313.</w:t>
      </w:r>
      <w:r w:rsidRPr="00FC5566">
        <w:rPr>
          <w:b/>
          <w:kern w:val="2"/>
        </w:rPr>
        <w:tab/>
        <w:t>General Experience Requirements</w:t>
      </w:r>
    </w:p>
    <w:p w14:paraId="3BB7CF74"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both"/>
        <w:outlineLvl w:val="3"/>
        <w:rPr>
          <w:kern w:val="2"/>
        </w:rPr>
      </w:pPr>
      <w:r w:rsidRPr="00FC5566">
        <w:rPr>
          <w:kern w:val="2"/>
        </w:rPr>
        <w:t>Repealed.</w:t>
      </w:r>
    </w:p>
    <w:p w14:paraId="159E772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37:3395 through 3397.</w:t>
      </w:r>
    </w:p>
    <w:p w14:paraId="7B4DB6C1"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 xml:space="preserve">Promulgated by the Department of Economic Development, Real Estate Appraisers Board of Certification, LR 25:1427 (August 1999), amended by the Office of the Governor, Real Estate Appraisers Board of Certification, LR </w:t>
      </w:r>
      <w:r w:rsidRPr="00FC5566">
        <w:rPr>
          <w:kern w:val="2"/>
          <w:sz w:val="18"/>
        </w:rPr>
        <w:br w:type="page"/>
      </w:r>
    </w:p>
    <w:p w14:paraId="6F691507"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both"/>
        <w:rPr>
          <w:kern w:val="2"/>
          <w:sz w:val="18"/>
        </w:rPr>
      </w:pPr>
      <w:r w:rsidRPr="00FC5566">
        <w:rPr>
          <w:kern w:val="2"/>
          <w:sz w:val="18"/>
        </w:rPr>
        <w:lastRenderedPageBreak/>
        <w:t>29:126 (February 2003), amended by the Office of the Governor, Real Estate Appraisers Board, LR 31:1334 (June 2005), LR 37:333 (January 2011), LR 41:369 (February 2015), LR 42:871 (June 2016), LR 45:420 (March 2019), repealed LR 52:1342 (August 2026).</w:t>
      </w:r>
    </w:p>
    <w:p w14:paraId="2D58A4C1"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§10315.</w:t>
      </w:r>
      <w:r w:rsidRPr="00FC5566">
        <w:rPr>
          <w:b/>
          <w:kern w:val="2"/>
        </w:rPr>
        <w:tab/>
        <w:t>Appraisal Review Requirements</w:t>
      </w:r>
    </w:p>
    <w:p w14:paraId="3CB559A7"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For the purposes of this Subpart, “appraisal review” means the act or process of developing an opinion about the quality of another appraiser’s work (i.e., a report, part of a report, a workfile, or some combination of these), that was performed as part of an appraisal or appraisal review assignment.</w:t>
      </w:r>
    </w:p>
    <w:p w14:paraId="143D37D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An appraiser shall develop and report appraisal reviews in accordance with the applicable edition of the Uniform Standards of Professional Appraisal Practice or its successor.</w:t>
      </w:r>
    </w:p>
    <w:p w14:paraId="0B93A9E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 xml:space="preserve">… </w:t>
      </w:r>
    </w:p>
    <w:p w14:paraId="3AE95C8E"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bookmarkStart w:id="243" w:name="_Hlk119857286"/>
      <w:r w:rsidRPr="00FC5566">
        <w:rPr>
          <w:kern w:val="2"/>
          <w:sz w:val="18"/>
        </w:rPr>
        <w:t>AUTHORITY NOTE:</w:t>
      </w:r>
      <w:r w:rsidRPr="00FC5566">
        <w:rPr>
          <w:kern w:val="2"/>
          <w:sz w:val="18"/>
        </w:rPr>
        <w:tab/>
        <w:t>Promulgated in accordance with R.S. 37:3395.</w:t>
      </w:r>
    </w:p>
    <w:p w14:paraId="25908D6D"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Economic Development, Real Estate Appraisers Board of Certification, LR 25:1428 (August 1999), amended by the Office of the Governor, Real Estate Appraisers Board, LR 31:1335 (June 2005), LR 37:334 (January 2011), LR 52:1343 (August 2026).</w:t>
      </w:r>
    </w:p>
    <w:p w14:paraId="358E6045"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§10319.</w:t>
      </w:r>
      <w:r w:rsidRPr="00FC5566">
        <w:rPr>
          <w:b/>
          <w:kern w:val="2"/>
        </w:rPr>
        <w:tab/>
        <w:t>Temporary Practice Registration</w:t>
      </w:r>
    </w:p>
    <w:p w14:paraId="3210107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An applicant shall be granted a temporary practice registration to perform the appraisal assignment described in his or her application, if:</w:t>
      </w:r>
    </w:p>
    <w:p w14:paraId="2D5426BB"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 - 2.</w:t>
      </w:r>
      <w:r w:rsidRPr="00FC5566">
        <w:rPr>
          <w:kern w:val="2"/>
        </w:rPr>
        <w:tab/>
        <w:t>…</w:t>
      </w:r>
    </w:p>
    <w:p w14:paraId="105E9FB0"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the applicant has satisfied the board as to his qualifications and eligibility for temporary registration privileges; and</w:t>
      </w:r>
    </w:p>
    <w:p w14:paraId="1920EEEB"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w:t>
      </w:r>
      <w:r w:rsidRPr="00FC5566">
        <w:rPr>
          <w:kern w:val="2"/>
        </w:rPr>
        <w:tab/>
        <w:t>the time projected by the applicant for completion of the assignment is reasonable, given the scope and complexity of the assignment.</w:t>
      </w:r>
    </w:p>
    <w:p w14:paraId="1F7A67E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A temporary practice registration shall expire upon completion of the appraisal assignment described in the relevant application for temporary registration.</w:t>
      </w:r>
    </w:p>
    <w:p w14:paraId="35F06A59"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The board shall reasonably extend the applicant’s projected temporary practice registration expiration date, if the applicant shows, in writing, that additional time is needed to complete the assignment.</w:t>
      </w:r>
      <w:bookmarkEnd w:id="243"/>
    </w:p>
    <w:p w14:paraId="632CADF9"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37:3395 and 3401.</w:t>
      </w:r>
    </w:p>
    <w:p w14:paraId="441B1AE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Office of the Governor, Real Estate Appraisers Board, LR 42:871 (June 2016), amended LR 52:1343 (August 2026).</w:t>
      </w:r>
    </w:p>
    <w:p w14:paraId="5EE3C38B"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Chapter 104.</w:t>
      </w:r>
      <w:r w:rsidRPr="00FC5566">
        <w:rPr>
          <w:b/>
          <w:kern w:val="2"/>
        </w:rPr>
        <w:tab/>
        <w:t>Education Providers/Course Approval</w:t>
      </w:r>
    </w:p>
    <w:p w14:paraId="62D18B1A"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44" w:name="_Hlk204937514"/>
      <w:r w:rsidRPr="00FC5566">
        <w:rPr>
          <w:b/>
          <w:kern w:val="2"/>
        </w:rPr>
        <w:t>§10401.</w:t>
      </w:r>
      <w:r w:rsidRPr="00FC5566">
        <w:rPr>
          <w:b/>
          <w:kern w:val="2"/>
        </w:rPr>
        <w:tab/>
        <w:t>Approval of Education Providers</w:t>
      </w:r>
      <w:bookmarkEnd w:id="244"/>
    </w:p>
    <w:p w14:paraId="1BD25BF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w:t>
      </w:r>
    </w:p>
    <w:p w14:paraId="701E94F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The occurrence of any of the following shall constitute grounds for refusal to grant approval as an education provider:</w:t>
      </w:r>
    </w:p>
    <w:p w14:paraId="604625E4"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the applicant has been convicted of a forgery, embezzlement, obtaining money under false pretenses, larceny, extortion, conspiracy to defraud, or theft, or has been convicted of a felony in any court of competent jurisdiction;</w:t>
      </w:r>
    </w:p>
    <w:p w14:paraId="7E288B65"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the applicant has made a false statement of material fact on the application;</w:t>
      </w:r>
    </w:p>
    <w:p w14:paraId="74788D49"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 xml:space="preserve">the applicant refuses to agree to monitoring of courses by the board or its duly authorized representatives to ensure that approved courses satisfy the requirements required by </w:t>
      </w:r>
      <w:bookmarkStart w:id="245" w:name="_Hlk205464111"/>
      <w:r w:rsidRPr="00FC5566">
        <w:rPr>
          <w:kern w:val="2"/>
        </w:rPr>
        <w:t xml:space="preserve">the board and </w:t>
      </w:r>
      <w:bookmarkStart w:id="246" w:name="_Hlk205469628"/>
      <w:r w:rsidRPr="00FC5566">
        <w:rPr>
          <w:kern w:val="2"/>
        </w:rPr>
        <w:t>the applicable edition of the Real Property Appraiser Qualification Criteria</w:t>
      </w:r>
      <w:bookmarkEnd w:id="245"/>
      <w:r w:rsidRPr="00FC5566">
        <w:rPr>
          <w:kern w:val="2"/>
        </w:rPr>
        <w:t xml:space="preserve"> or its successor</w:t>
      </w:r>
      <w:bookmarkEnd w:id="246"/>
      <w:r w:rsidRPr="00FC5566">
        <w:rPr>
          <w:kern w:val="2"/>
        </w:rPr>
        <w:t>.</w:t>
      </w:r>
    </w:p>
    <w:p w14:paraId="4FD1236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 - D.1.</w:t>
      </w:r>
      <w:r w:rsidRPr="00FC5566">
        <w:rPr>
          <w:kern w:val="2"/>
        </w:rPr>
        <w:tab/>
        <w:t>…</w:t>
      </w:r>
    </w:p>
    <w:p w14:paraId="2548FAD2" w14:textId="77777777" w:rsidR="00FC5566" w:rsidRPr="00FC5566" w:rsidRDefault="00FC5566" w:rsidP="00FC5566">
      <w:pPr>
        <w:tabs>
          <w:tab w:val="left" w:pos="720"/>
          <w:tab w:val="left" w:pos="979"/>
          <w:tab w:val="left" w:pos="1152"/>
        </w:tabs>
        <w:ind w:firstLine="360"/>
        <w:jc w:val="both"/>
        <w:outlineLvl w:val="4"/>
        <w:rPr>
          <w:kern w:val="2"/>
          <w:highlight w:val="yellow"/>
        </w:rPr>
      </w:pPr>
      <w:r w:rsidRPr="00FC5566">
        <w:rPr>
          <w:kern w:val="2"/>
        </w:rPr>
        <w:t>2.</w:t>
      </w:r>
      <w:r w:rsidRPr="00FC5566">
        <w:rPr>
          <w:kern w:val="2"/>
        </w:rPr>
        <w:tab/>
        <w:t>ensure that all course offerings satisfy all requirements mandated by the board and</w:t>
      </w:r>
      <w:bookmarkStart w:id="247" w:name="_Hlk205466333"/>
      <w:r w:rsidRPr="00FC5566">
        <w:rPr>
          <w:kern w:val="2"/>
        </w:rPr>
        <w:t xml:space="preserve"> the applicable edition of the Real Property Appraiser Qualification Criteria or its successor</w:t>
      </w:r>
      <w:bookmarkEnd w:id="247"/>
      <w:r w:rsidRPr="00FC5566">
        <w:rPr>
          <w:kern w:val="2"/>
        </w:rPr>
        <w:t>.</w:t>
      </w:r>
    </w:p>
    <w:p w14:paraId="7BCB052E"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 - 5.</w:t>
      </w:r>
      <w:r w:rsidRPr="00FC5566">
        <w:rPr>
          <w:kern w:val="2"/>
        </w:rPr>
        <w:tab/>
        <w:t>…</w:t>
      </w:r>
    </w:p>
    <w:p w14:paraId="3692AD13"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6.</w:t>
      </w:r>
      <w:r w:rsidRPr="00FC5566">
        <w:rPr>
          <w:kern w:val="2"/>
        </w:rPr>
        <w:tab/>
        <w:t>report any change in registered mailing or physical address, email address, or telephone number to the board, in writing, within 10 days of the date of the change.</w:t>
      </w:r>
    </w:p>
    <w:p w14:paraId="34067304"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37:3395.</w:t>
      </w:r>
    </w:p>
    <w:p w14:paraId="7677345F"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Economic Development, Real Estate Appraisers Board of Certification, LR 25:1429 (August 1999), amended by the Office of the Governor, Real Estate Appraisers Board, LR 31:1336 (June 2005), LR 45:420 (March 2019), LR 52:1343 (August 2026).</w:t>
      </w:r>
    </w:p>
    <w:p w14:paraId="56210B22"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§10403.</w:t>
      </w:r>
      <w:r w:rsidRPr="00FC5566">
        <w:rPr>
          <w:b/>
          <w:kern w:val="2"/>
        </w:rPr>
        <w:tab/>
        <w:t>Approval of Qualifying/Continuing Education Courses</w:t>
      </w:r>
    </w:p>
    <w:p w14:paraId="4CB50379"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Education providers shall apply directly to the board for qualifying and continuing education course approval. Application forms shall be prescribed by the board. Information to be submitted for each course offering shall include:</w:t>
      </w:r>
    </w:p>
    <w:p w14:paraId="575316E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A.1. - B.</w:t>
      </w:r>
      <w:r w:rsidRPr="00FC5566">
        <w:rPr>
          <w:kern w:val="2"/>
        </w:rPr>
        <w:tab/>
        <w:t>…</w:t>
      </w:r>
    </w:p>
    <w:p w14:paraId="29A306AC"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All approved courses shall be valid through December 31 following the initial approval date. The board may extend such approval for the next renewal period if course materials remain current or are updated as changes in the applicable law or rules require. Courses approved through the Appraiser Qualifications Board (AQB) of the Appraisal Foundation/International Distance Education Certification Center (IDECC) shall be valid through the AQB/IDECC issued expiration date.</w:t>
      </w:r>
    </w:p>
    <w:p w14:paraId="6E43AB08"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37:3395.</w:t>
      </w:r>
    </w:p>
    <w:p w14:paraId="350534BD"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Economic Development, Real Estate Appraisers Board of Certification, LR 25:1429 (August 1999), amended by the Office of the Governor, Real Estate Appraisers Board, LR 31:1336 (June 2005), LR 37:334 (January 2011), LR 45:420 (March 2019), LR 52:1343 (August 2026).</w:t>
      </w:r>
    </w:p>
    <w:p w14:paraId="23C5009E"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§10405.</w:t>
      </w:r>
      <w:r w:rsidRPr="00FC5566">
        <w:rPr>
          <w:b/>
          <w:kern w:val="2"/>
        </w:rPr>
        <w:tab/>
      </w:r>
      <w:bookmarkStart w:id="248" w:name="_Hlk216102478"/>
      <w:r w:rsidRPr="00FC5566">
        <w:rPr>
          <w:b/>
          <w:kern w:val="2"/>
        </w:rPr>
        <w:t>Course Requirements</w:t>
      </w:r>
    </w:p>
    <w:p w14:paraId="57B56B96" w14:textId="77777777" w:rsidR="00FC5566" w:rsidRPr="00FC5566" w:rsidRDefault="00FC5566" w:rsidP="00FC5566">
      <w:pPr>
        <w:tabs>
          <w:tab w:val="left" w:pos="144"/>
          <w:tab w:val="left" w:pos="187"/>
          <w:tab w:val="left" w:pos="540"/>
          <w:tab w:val="left" w:pos="907"/>
          <w:tab w:val="left" w:pos="1080"/>
        </w:tabs>
        <w:ind w:firstLine="187"/>
        <w:jc w:val="both"/>
        <w:outlineLvl w:val="3"/>
        <w:rPr>
          <w:bCs/>
          <w:kern w:val="2"/>
        </w:rPr>
      </w:pPr>
      <w:r w:rsidRPr="00FC5566">
        <w:rPr>
          <w:kern w:val="2"/>
        </w:rPr>
        <w:t>Repealed.</w:t>
      </w:r>
      <w:bookmarkEnd w:id="248"/>
    </w:p>
    <w:p w14:paraId="65ED508D"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37:3395.</w:t>
      </w:r>
    </w:p>
    <w:p w14:paraId="5C38231D"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Economic Development, Real Estate Appraisers Board of Certification, LR 25:1429 (August 1999), amended by the Office of the Governor, Real Estate Appraisers Board, LR 31:1336 (June 2005), LR 45:421 (March 2019), repealed LR 52:1343 (August 2026).</w:t>
      </w:r>
    </w:p>
    <w:p w14:paraId="70A7ECF8"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§10407.</w:t>
      </w:r>
      <w:r w:rsidRPr="00FC5566">
        <w:rPr>
          <w:b/>
          <w:kern w:val="2"/>
        </w:rPr>
        <w:tab/>
        <w:t>Qualifying Education</w:t>
      </w:r>
    </w:p>
    <w:p w14:paraId="753AD356" w14:textId="77777777" w:rsidR="00FC5566" w:rsidRPr="00FC5566" w:rsidRDefault="00FC5566" w:rsidP="00FC5566">
      <w:pPr>
        <w:tabs>
          <w:tab w:val="left" w:pos="144"/>
          <w:tab w:val="left" w:pos="187"/>
          <w:tab w:val="left" w:pos="540"/>
          <w:tab w:val="left" w:pos="907"/>
          <w:tab w:val="left" w:pos="1080"/>
        </w:tabs>
        <w:ind w:firstLine="187"/>
        <w:jc w:val="both"/>
        <w:outlineLvl w:val="3"/>
        <w:rPr>
          <w:bCs/>
          <w:kern w:val="2"/>
        </w:rPr>
      </w:pPr>
      <w:bookmarkStart w:id="249" w:name="_Hlk216103723"/>
      <w:r w:rsidRPr="00FC5566">
        <w:rPr>
          <w:kern w:val="2"/>
        </w:rPr>
        <w:t>Repealed.</w:t>
      </w:r>
      <w:bookmarkEnd w:id="249"/>
    </w:p>
    <w:p w14:paraId="6CCA842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37:3395.</w:t>
      </w:r>
    </w:p>
    <w:p w14:paraId="303C9407"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Economic Development, Real Estate Appraisers Board of Certification, LR 25:1429 (August 1999), amended by the Office of the Governor, Real Estate Appraisers Board, LR 31:1336 (June 2005), LR 37:334 (January 2011), LR 45:421 (March 2019), repealed LR 52:1343 (August 2026).</w:t>
      </w:r>
    </w:p>
    <w:p w14:paraId="1F078B84"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§10409.</w:t>
      </w:r>
      <w:r w:rsidRPr="00FC5566">
        <w:rPr>
          <w:b/>
          <w:kern w:val="2"/>
        </w:rPr>
        <w:tab/>
        <w:t>Continuing Education</w:t>
      </w:r>
    </w:p>
    <w:p w14:paraId="7F7FF88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 xml:space="preserve">Education that is not obtained through an approved continuing education provider shall be submitted to the board, prior to submission of the appraiser’s application for license </w:t>
      </w:r>
      <w:r w:rsidRPr="00FC5566">
        <w:rPr>
          <w:kern w:val="2"/>
        </w:rPr>
        <w:br w:type="page"/>
      </w:r>
    </w:p>
    <w:p w14:paraId="6B6F42DD" w14:textId="77777777" w:rsidR="00FC5566" w:rsidRPr="00FC5566" w:rsidRDefault="00FC5566" w:rsidP="00FC5566">
      <w:pPr>
        <w:tabs>
          <w:tab w:val="left" w:pos="144"/>
          <w:tab w:val="left" w:pos="187"/>
          <w:tab w:val="left" w:pos="540"/>
          <w:tab w:val="left" w:pos="907"/>
          <w:tab w:val="left" w:pos="1080"/>
        </w:tabs>
        <w:jc w:val="both"/>
        <w:outlineLvl w:val="3"/>
        <w:rPr>
          <w:kern w:val="2"/>
        </w:rPr>
      </w:pPr>
      <w:r w:rsidRPr="00FC5566">
        <w:rPr>
          <w:kern w:val="2"/>
        </w:rPr>
        <w:lastRenderedPageBreak/>
        <w:t>renewal, to determine whether the course complies with the applicable edition of the Real Property Appraiser Qualification Criteria, or its successor, and shall be credited towards the appraiser’s annual continuing education requirement pursuant to R.S. 37:3408.</w:t>
      </w:r>
    </w:p>
    <w:p w14:paraId="26650C0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Course work completed by licensees through non-approved providers shall be considered for credit by the board on an individual basis.</w:t>
      </w:r>
    </w:p>
    <w:p w14:paraId="0D8C1AA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Each submission made in accordance with this Section shall include a cover letter that contains the licensee’s complete name, mailing address, and telephone number, with the following documentation:</w:t>
      </w:r>
    </w:p>
    <w:p w14:paraId="52E6460A"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certificate of completions;</w:t>
      </w:r>
    </w:p>
    <w:p w14:paraId="6719C645"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hours completed;</w:t>
      </w:r>
    </w:p>
    <w:p w14:paraId="62D840B2"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date of completion;</w:t>
      </w:r>
    </w:p>
    <w:p w14:paraId="1D36E1A1"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w:t>
      </w:r>
      <w:r w:rsidRPr="00FC5566">
        <w:rPr>
          <w:kern w:val="2"/>
        </w:rPr>
        <w:tab/>
        <w:t>detailed course content information;</w:t>
      </w:r>
    </w:p>
    <w:p w14:paraId="5D7AA5B8"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5.</w:t>
      </w:r>
      <w:r w:rsidRPr="00FC5566">
        <w:rPr>
          <w:kern w:val="2"/>
        </w:rPr>
        <w:tab/>
        <w:t>verification of successful completion of an examination on course content, if applicable.</w:t>
      </w:r>
    </w:p>
    <w:p w14:paraId="45346194"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37:3395.</w:t>
      </w:r>
    </w:p>
    <w:p w14:paraId="05904D8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Economic Development, Real Estate Appraisers Board of Certification, LR 25:1430 (August 1999), amended by the Office of the Governor, Real Estate Appraisers Board, LR 31:1337 (June 2005), LR 37:335 (January 2011), LR 45:421 (March 2019), LR 52:1343 (August 2026).</w:t>
      </w:r>
    </w:p>
    <w:p w14:paraId="0BFAD098"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§10411.</w:t>
      </w:r>
      <w:r w:rsidRPr="00FC5566">
        <w:rPr>
          <w:b/>
          <w:kern w:val="2"/>
        </w:rPr>
        <w:tab/>
        <w:t>Instructor Qualifications</w:t>
      </w:r>
    </w:p>
    <w:p w14:paraId="30211290"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Instructors for qualifying education courses shall satisfy at least one of the following qualification requirements:</w:t>
      </w:r>
    </w:p>
    <w:p w14:paraId="7FD1F2C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A.1. - B.4.</w:t>
      </w:r>
      <w:r w:rsidRPr="00FC5566">
        <w:rPr>
          <w:kern w:val="2"/>
        </w:rPr>
        <w:tab/>
        <w:t>…</w:t>
      </w:r>
    </w:p>
    <w:p w14:paraId="345ACB27"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Instructors of the 15-hour National USPAP Course and seven-hour National USPAP Update Course shall be certified by the Appraiser Qualifications Board (AQB) and hold a current license as a state certified real property appraiser.</w:t>
      </w:r>
    </w:p>
    <w:p w14:paraId="1A306685"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37:3395.</w:t>
      </w:r>
    </w:p>
    <w:p w14:paraId="4DD9BD81"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Economic Development, Real Estate Appraisal Board of Certification, LR 25:1430 (August 1999), amended by the Office of the Governor, Real Estate Appraisers Board, LR 31:1338 (June 2005), LR 37:335 (January 2011), LR 52:1344 (August 2026).</w:t>
      </w:r>
    </w:p>
    <w:p w14:paraId="3547D8C1"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§10413.</w:t>
      </w:r>
      <w:r w:rsidRPr="00FC5566">
        <w:rPr>
          <w:b/>
          <w:kern w:val="2"/>
        </w:rPr>
        <w:tab/>
        <w:t>Americans with Disabilities Act (ADA) Compliance</w:t>
      </w:r>
    </w:p>
    <w:p w14:paraId="2053244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For purposes of good faith compliance with the Americans with Disabilities Act (ADA), the board may permit an alternative method of course delivery other than the typical method of presentation. The board may require verification of the disability of the individual requesting the alternative delivery method prior to granting such a request in accordance with applicable law.</w:t>
      </w:r>
    </w:p>
    <w:p w14:paraId="30A297AC"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37:3395.</w:t>
      </w:r>
    </w:p>
    <w:p w14:paraId="68A174F4"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Economic Development, Real Estate Appraisal Board of Certification, LR 25:1431 (August 1999), amended by the Office of the Governor, Real Estate Appraisers Board, LR 31:1338 (June 2005), LR 37:335 (January 2011), LR 52:1344 (August 2026).</w:t>
      </w:r>
    </w:p>
    <w:p w14:paraId="15109BD2"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§10417.</w:t>
      </w:r>
      <w:r w:rsidRPr="00FC5566">
        <w:rPr>
          <w:b/>
          <w:kern w:val="2"/>
        </w:rPr>
        <w:tab/>
        <w:t>Distance Education Courses</w:t>
      </w:r>
    </w:p>
    <w:p w14:paraId="39367F5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w:t>
      </w:r>
    </w:p>
    <w:p w14:paraId="7ABFDAFC"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 xml:space="preserve">Any educational course based on the geographical separation of the learner and the instructor (e.g., CD ROM, on-line learning, correspondence courses, video conferencing, etc.) shall provide for interaction between the </w:t>
      </w:r>
      <w:r w:rsidRPr="00FC5566">
        <w:rPr>
          <w:kern w:val="2"/>
        </w:rPr>
        <w:t>learner and the instructor. Courses designed for both qualifying education credit and continuing education credit shall include testing and proof of passage shall be furnished to students successfully completing the examination.</w:t>
      </w:r>
    </w:p>
    <w:p w14:paraId="2D40E019"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37:3395.</w:t>
      </w:r>
    </w:p>
    <w:p w14:paraId="2CE1DDF3"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Economic Development, Real Estate Appraisers Board of Certification, LR 25:1431 (August 1999), amended by the Office of the Governor, Real Estate Appraisers Board, LR 41:370 (February 2015), LR 52:1344 (August 2026).</w:t>
      </w:r>
    </w:p>
    <w:p w14:paraId="700C75F6"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§10419.</w:t>
      </w:r>
      <w:r w:rsidRPr="00FC5566">
        <w:rPr>
          <w:b/>
          <w:kern w:val="2"/>
        </w:rPr>
        <w:tab/>
        <w:t>Video Presentations in Classroom Instruction</w:t>
      </w:r>
    </w:p>
    <w:p w14:paraId="29165189" w14:textId="77777777" w:rsidR="00FC5566" w:rsidRPr="00FC5566" w:rsidRDefault="00FC5566" w:rsidP="00FC5566">
      <w:pPr>
        <w:tabs>
          <w:tab w:val="left" w:pos="144"/>
          <w:tab w:val="left" w:pos="187"/>
          <w:tab w:val="left" w:pos="540"/>
          <w:tab w:val="left" w:pos="907"/>
          <w:tab w:val="left" w:pos="1080"/>
        </w:tabs>
        <w:ind w:firstLine="187"/>
        <w:jc w:val="both"/>
        <w:outlineLvl w:val="3"/>
        <w:rPr>
          <w:bCs/>
          <w:kern w:val="2"/>
        </w:rPr>
      </w:pPr>
      <w:r w:rsidRPr="00FC5566">
        <w:rPr>
          <w:kern w:val="2"/>
        </w:rPr>
        <w:t>Repealed.</w:t>
      </w:r>
    </w:p>
    <w:p w14:paraId="5842AF4A"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37:3395.</w:t>
      </w:r>
    </w:p>
    <w:p w14:paraId="114B7E68"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Economic Development, Real Estate Appraisal Board of Certification, LR 25:1431 (August 1999), repealed LR 52:1344 (August 2026).</w:t>
      </w:r>
    </w:p>
    <w:p w14:paraId="183D0B10"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§10421.</w:t>
      </w:r>
      <w:r w:rsidRPr="00FC5566">
        <w:rPr>
          <w:b/>
          <w:kern w:val="2"/>
        </w:rPr>
        <w:tab/>
        <w:t>Combining Appraisal and Real Estate Prelicensing Courses Prohibited</w:t>
      </w:r>
    </w:p>
    <w:p w14:paraId="78DE2FE3" w14:textId="77777777" w:rsidR="00FC5566" w:rsidRPr="00FC5566" w:rsidRDefault="00FC5566" w:rsidP="00FC5566">
      <w:pPr>
        <w:tabs>
          <w:tab w:val="left" w:pos="144"/>
          <w:tab w:val="left" w:pos="187"/>
          <w:tab w:val="left" w:pos="540"/>
          <w:tab w:val="left" w:pos="907"/>
          <w:tab w:val="left" w:pos="1080"/>
        </w:tabs>
        <w:ind w:firstLine="187"/>
        <w:jc w:val="both"/>
        <w:outlineLvl w:val="3"/>
        <w:rPr>
          <w:strike/>
          <w:kern w:val="2"/>
        </w:rPr>
      </w:pPr>
      <w:bookmarkStart w:id="250" w:name="_Hlk216163708"/>
      <w:r w:rsidRPr="00FC5566">
        <w:rPr>
          <w:kern w:val="2"/>
        </w:rPr>
        <w:t>Repealed.</w:t>
      </w:r>
      <w:bookmarkEnd w:id="250"/>
    </w:p>
    <w:p w14:paraId="7EE017D0"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strike/>
          <w:kern w:val="2"/>
          <w:sz w:val="18"/>
        </w:rPr>
      </w:pPr>
      <w:r w:rsidRPr="00FC5566">
        <w:rPr>
          <w:kern w:val="2"/>
          <w:sz w:val="18"/>
        </w:rPr>
        <w:t>AUTHORITY NOTE:</w:t>
      </w:r>
      <w:r w:rsidRPr="00FC5566">
        <w:rPr>
          <w:kern w:val="2"/>
          <w:sz w:val="18"/>
        </w:rPr>
        <w:tab/>
        <w:t>Promulgated in accordance with R.S. 37:3395.</w:t>
      </w:r>
    </w:p>
    <w:p w14:paraId="75FE8C9B"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Economic Development, Real Estate Appraisal Board of Certification, LR 25:1431 (August 1999), repealed LR 52:1344 (August 2026).</w:t>
      </w:r>
    </w:p>
    <w:p w14:paraId="416514DD"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§10423.</w:t>
      </w:r>
      <w:r w:rsidRPr="00FC5566">
        <w:rPr>
          <w:b/>
          <w:kern w:val="2"/>
        </w:rPr>
        <w:tab/>
        <w:t>Determination of Credit Hours for Qualifying Education</w:t>
      </w:r>
    </w:p>
    <w:p w14:paraId="5DDE342E"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Qualifying education credit shall not be granted to an individual for courses completed in duplicate, unless otherwise required by applicable law or rule.</w:t>
      </w:r>
    </w:p>
    <w:p w14:paraId="3084B702"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37:3395.</w:t>
      </w:r>
    </w:p>
    <w:p w14:paraId="6E6D899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Economic Development, Real Estate Appraisal Board of Certification, LR 25:1431 (August 1999), amended LR 52:1344 (August 2026).</w:t>
      </w:r>
    </w:p>
    <w:p w14:paraId="7B4432BB"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§10425.</w:t>
      </w:r>
      <w:r w:rsidRPr="00FC5566">
        <w:rPr>
          <w:b/>
          <w:kern w:val="2"/>
        </w:rPr>
        <w:tab/>
        <w:t>Final Examination on Additional Education Required by Board</w:t>
      </w:r>
    </w:p>
    <w:p w14:paraId="025B17D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bookmarkStart w:id="251" w:name="_Hlk216168515"/>
      <w:r w:rsidRPr="00FC5566">
        <w:rPr>
          <w:kern w:val="2"/>
        </w:rPr>
        <w:t>Repealed.</w:t>
      </w:r>
      <w:bookmarkEnd w:id="251"/>
    </w:p>
    <w:p w14:paraId="7BAF2A5C"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strike/>
          <w:kern w:val="2"/>
          <w:sz w:val="18"/>
        </w:rPr>
      </w:pPr>
      <w:r w:rsidRPr="00FC5566">
        <w:rPr>
          <w:kern w:val="2"/>
          <w:sz w:val="18"/>
        </w:rPr>
        <w:t>AUTHORITY NOTE:</w:t>
      </w:r>
      <w:r w:rsidRPr="00FC5566">
        <w:rPr>
          <w:kern w:val="2"/>
          <w:sz w:val="18"/>
        </w:rPr>
        <w:tab/>
        <w:t>Promulgated in accordance with R.S. 37:3395 and 3409.</w:t>
      </w:r>
    </w:p>
    <w:p w14:paraId="09F90AA8"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Economic Development, Real Estate Appraisers Board of Certification, LR 25:1431 (August 1999), repealed LR 52:1344 (August 2026).</w:t>
      </w:r>
    </w:p>
    <w:p w14:paraId="321A838F"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Chapter 105.</w:t>
      </w:r>
      <w:r w:rsidRPr="00FC5566">
        <w:rPr>
          <w:b/>
          <w:kern w:val="2"/>
        </w:rPr>
        <w:tab/>
        <w:t>Investigations and Adjudicatory Proceedings</w:t>
      </w:r>
    </w:p>
    <w:p w14:paraId="3E35C517"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§10501.</w:t>
      </w:r>
      <w:r w:rsidRPr="00FC5566">
        <w:rPr>
          <w:b/>
          <w:kern w:val="2"/>
        </w:rPr>
        <w:tab/>
        <w:t>Investigations</w:t>
      </w:r>
    </w:p>
    <w:p w14:paraId="2FD6C96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bookmarkStart w:id="252" w:name="_Hlk205295093"/>
      <w:r w:rsidRPr="00FC5566">
        <w:rPr>
          <w:kern w:val="2"/>
        </w:rPr>
        <w:t>A.</w:t>
      </w:r>
      <w:r w:rsidRPr="00FC5566">
        <w:rPr>
          <w:kern w:val="2"/>
        </w:rPr>
        <w:tab/>
        <w:t>The board may, upon its own motion, and shall, upon the verified, written complaint of any person alleging violations of the laws or rules of the board, investigate the actions of a licensee or certificate holder, or any person who assumes to act as such. Written complaints shall bear the signature of the complainant or that of his legal representative before any action will be taken thereon by the board. The board shall not be required to take any action relating to an unsigned or anonymous complaint.</w:t>
      </w:r>
    </w:p>
    <w:p w14:paraId="5DF9BAF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Upon documented probable cause, the executive director of the board may issue written authorization to investigate apparent violations of the Louisiana Real Estate Appraisers Law and/or the rules and regulations of the board.</w:t>
      </w:r>
      <w:bookmarkEnd w:id="252"/>
    </w:p>
    <w:p w14:paraId="5086EFFF"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strike/>
          <w:kern w:val="2"/>
          <w:sz w:val="18"/>
        </w:rPr>
      </w:pPr>
      <w:r w:rsidRPr="00FC5566">
        <w:rPr>
          <w:kern w:val="2"/>
          <w:sz w:val="18"/>
        </w:rPr>
        <w:lastRenderedPageBreak/>
        <w:t>AUTHORITY NOTE:</w:t>
      </w:r>
      <w:r w:rsidRPr="00FC5566">
        <w:rPr>
          <w:kern w:val="2"/>
          <w:sz w:val="18"/>
        </w:rPr>
        <w:tab/>
        <w:t>Promulgated in accordance with R.S. 37:3395 and 3409.</w:t>
      </w:r>
    </w:p>
    <w:p w14:paraId="63B1E80B"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Economic Development, Real Estate Appraisal Board of Certification, LR 25:1431 (August 1999), amended by the Office of the Governor, Real Estate Appraisers Board, LR 31:1338 (June 2005), LR 52:1344 (August 2026).</w:t>
      </w:r>
    </w:p>
    <w:p w14:paraId="3B1FE91B"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§10503.</w:t>
      </w:r>
      <w:r w:rsidRPr="00FC5566">
        <w:rPr>
          <w:b/>
          <w:kern w:val="2"/>
        </w:rPr>
        <w:tab/>
        <w:t>Technical Assistance</w:t>
      </w:r>
    </w:p>
    <w:p w14:paraId="523E74FE" w14:textId="77777777" w:rsidR="00FC5566" w:rsidRPr="00FC5566" w:rsidRDefault="00FC5566" w:rsidP="00FC5566">
      <w:pPr>
        <w:tabs>
          <w:tab w:val="left" w:pos="144"/>
          <w:tab w:val="left" w:pos="187"/>
          <w:tab w:val="left" w:pos="540"/>
          <w:tab w:val="left" w:pos="907"/>
          <w:tab w:val="left" w:pos="1080"/>
        </w:tabs>
        <w:ind w:firstLine="187"/>
        <w:jc w:val="both"/>
        <w:outlineLvl w:val="3"/>
        <w:rPr>
          <w:bCs/>
          <w:kern w:val="2"/>
        </w:rPr>
      </w:pPr>
      <w:bookmarkStart w:id="253" w:name="_Hlk216172091"/>
      <w:r w:rsidRPr="00FC5566">
        <w:rPr>
          <w:kern w:val="2"/>
        </w:rPr>
        <w:t>Repealed.</w:t>
      </w:r>
      <w:bookmarkEnd w:id="253"/>
    </w:p>
    <w:p w14:paraId="411B195A"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strike/>
          <w:kern w:val="2"/>
          <w:sz w:val="18"/>
        </w:rPr>
      </w:pPr>
      <w:r w:rsidRPr="00FC5566">
        <w:rPr>
          <w:kern w:val="2"/>
          <w:sz w:val="18"/>
        </w:rPr>
        <w:t>AUTHORITY NOTE:</w:t>
      </w:r>
      <w:r w:rsidRPr="00FC5566">
        <w:rPr>
          <w:kern w:val="2"/>
          <w:sz w:val="18"/>
        </w:rPr>
        <w:tab/>
        <w:t>Promulgated in accordance with R.S. 37:3395.</w:t>
      </w:r>
    </w:p>
    <w:p w14:paraId="47A86CCF"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Economic Development, Real Estate Appraisal Board of Certification, LR 25:1431 (August 1999), amended by the Office of the Governor, Real Estate Appraisers Board, LR 31:1338 (June 2005), repealed LR 52:1345 (August 2026).</w:t>
      </w:r>
    </w:p>
    <w:p w14:paraId="2363163F"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§10505.</w:t>
      </w:r>
      <w:r w:rsidRPr="00FC5566">
        <w:rPr>
          <w:b/>
          <w:kern w:val="2"/>
        </w:rPr>
        <w:tab/>
        <w:t>Cooperation</w:t>
      </w:r>
    </w:p>
    <w:p w14:paraId="2B59289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B.</w:t>
      </w:r>
      <w:r w:rsidRPr="00FC5566">
        <w:rPr>
          <w:kern w:val="2"/>
        </w:rPr>
        <w:tab/>
        <w:t>…</w:t>
      </w:r>
    </w:p>
    <w:p w14:paraId="1676B0B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Any failure of a respondent to timely comply with this Section shall constitute a violation of this Subpart.</w:t>
      </w:r>
      <w:bookmarkStart w:id="254" w:name="_Hlk204942267"/>
    </w:p>
    <w:p w14:paraId="626685D1"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37:3395 and 3409.</w:t>
      </w:r>
    </w:p>
    <w:p w14:paraId="12289040"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Economic Development, Real Estate Appraisal Board of Certification, LR 25:1432 (August 1999), amended by the Office of the Governor, Real Estate Appraisers Board, LR 31:1338 (June 2005), LR 52:1345 (August 2026).</w:t>
      </w:r>
    </w:p>
    <w:p w14:paraId="39329B40"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§10507.</w:t>
      </w:r>
      <w:r w:rsidRPr="00FC5566">
        <w:rPr>
          <w:b/>
          <w:kern w:val="2"/>
        </w:rPr>
        <w:tab/>
      </w:r>
      <w:bookmarkEnd w:id="254"/>
      <w:r w:rsidRPr="00FC5566">
        <w:rPr>
          <w:b/>
          <w:kern w:val="2"/>
        </w:rPr>
        <w:t>Adjudicatory Proceedings</w:t>
      </w:r>
    </w:p>
    <w:p w14:paraId="657AC256" w14:textId="77777777" w:rsidR="00FC5566" w:rsidRPr="00FC5566" w:rsidRDefault="00FC5566" w:rsidP="00FC5566">
      <w:pPr>
        <w:tabs>
          <w:tab w:val="left" w:pos="144"/>
          <w:tab w:val="left" w:pos="187"/>
          <w:tab w:val="left" w:pos="540"/>
          <w:tab w:val="left" w:pos="907"/>
          <w:tab w:val="left" w:pos="1080"/>
        </w:tabs>
        <w:ind w:firstLine="187"/>
        <w:jc w:val="both"/>
        <w:outlineLvl w:val="3"/>
        <w:rPr>
          <w:bCs/>
          <w:kern w:val="2"/>
        </w:rPr>
      </w:pPr>
      <w:r w:rsidRPr="00FC5566">
        <w:rPr>
          <w:kern w:val="2"/>
        </w:rPr>
        <w:t>Repealed.</w:t>
      </w:r>
    </w:p>
    <w:p w14:paraId="317E402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37:3395 and 3409 and R.S. 49:975 et seq.</w:t>
      </w:r>
    </w:p>
    <w:p w14:paraId="536FC2A7"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Economic Development, Real Estate Appraisal Board of Certification, LR 25:1432 (August 1999), amended by the Office of the Governor, Real Estate Appraisers Board, LR 31:1338 (June 2005), LR 37:335 (January 2011), repealed LR 52:1345 (August 2026).</w:t>
      </w:r>
    </w:p>
    <w:p w14:paraId="018B5A23"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§10509.</w:t>
      </w:r>
      <w:r w:rsidRPr="00FC5566">
        <w:rPr>
          <w:b/>
          <w:kern w:val="2"/>
        </w:rPr>
        <w:tab/>
        <w:t>Appellate Proceedings</w:t>
      </w:r>
    </w:p>
    <w:p w14:paraId="5A0D9F8B" w14:textId="77777777" w:rsidR="00FC5566" w:rsidRPr="00FC5566" w:rsidRDefault="00FC5566" w:rsidP="00FC5566">
      <w:pPr>
        <w:tabs>
          <w:tab w:val="left" w:pos="144"/>
          <w:tab w:val="left" w:pos="187"/>
          <w:tab w:val="left" w:pos="540"/>
          <w:tab w:val="left" w:pos="907"/>
          <w:tab w:val="left" w:pos="1080"/>
        </w:tabs>
        <w:ind w:firstLine="187"/>
        <w:jc w:val="both"/>
        <w:outlineLvl w:val="3"/>
        <w:rPr>
          <w:bCs/>
          <w:kern w:val="2"/>
        </w:rPr>
      </w:pPr>
      <w:r w:rsidRPr="00FC5566">
        <w:rPr>
          <w:kern w:val="2"/>
        </w:rPr>
        <w:t>Repealed.</w:t>
      </w:r>
    </w:p>
    <w:p w14:paraId="57AE857E"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37:3395 and 3409 and R.S. 49:975 et seq.</w:t>
      </w:r>
    </w:p>
    <w:p w14:paraId="5D440A97"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Office of the Governor, Real Estate Appraisers Board, LR 31:1339 (June 2005), repealed LR 52:1345 (August 2026).</w:t>
      </w:r>
    </w:p>
    <w:p w14:paraId="16571834"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55" w:name="_Hlk204942345"/>
      <w:r w:rsidRPr="00FC5566">
        <w:rPr>
          <w:b/>
          <w:kern w:val="2"/>
        </w:rPr>
        <w:t>§10511.</w:t>
      </w:r>
      <w:r w:rsidRPr="00FC5566">
        <w:rPr>
          <w:b/>
          <w:kern w:val="2"/>
        </w:rPr>
        <w:tab/>
        <w:t>Costs of Adjudicatory Proceedings</w:t>
      </w:r>
    </w:p>
    <w:p w14:paraId="26483219"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Following a finding that a respondent has committed one or more violations as alleged in any adjudicatory proceeding, the respondent may be assessed the administrative costs of the proceeding and investigation as determined by the board. Payment of the assessed costs shall be a condition of satisfying any order issued by the board.</w:t>
      </w:r>
      <w:bookmarkEnd w:id="255"/>
      <w:r w:rsidRPr="00FC5566">
        <w:rPr>
          <w:kern w:val="2"/>
        </w:rPr>
        <w:t xml:space="preserve"> </w:t>
      </w:r>
    </w:p>
    <w:p w14:paraId="3AB6AD31"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37:3395 and 3409.</w:t>
      </w:r>
    </w:p>
    <w:p w14:paraId="0D1F0EEA"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Office of the Governor, Real Estate Appraisers Board, LR 31:1339 (June 2005), amended LR 52:1345 (August 2026).</w:t>
      </w:r>
    </w:p>
    <w:p w14:paraId="7B8BDFE0"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§10513.</w:t>
      </w:r>
      <w:r w:rsidRPr="00FC5566">
        <w:rPr>
          <w:b/>
          <w:kern w:val="2"/>
        </w:rPr>
        <w:tab/>
        <w:t>Stay of Enforcement</w:t>
      </w:r>
    </w:p>
    <w:p w14:paraId="40188F68" w14:textId="77777777" w:rsidR="00FC5566" w:rsidRPr="00FC5566" w:rsidRDefault="00FC5566" w:rsidP="00FC5566">
      <w:pPr>
        <w:tabs>
          <w:tab w:val="left" w:pos="144"/>
          <w:tab w:val="left" w:pos="187"/>
          <w:tab w:val="left" w:pos="540"/>
          <w:tab w:val="left" w:pos="907"/>
          <w:tab w:val="left" w:pos="1080"/>
        </w:tabs>
        <w:ind w:firstLine="187"/>
        <w:jc w:val="both"/>
        <w:outlineLvl w:val="3"/>
        <w:rPr>
          <w:bCs/>
          <w:kern w:val="2"/>
        </w:rPr>
      </w:pPr>
      <w:bookmarkStart w:id="256" w:name="_Hlk216181029"/>
      <w:r w:rsidRPr="00FC5566">
        <w:rPr>
          <w:kern w:val="2"/>
        </w:rPr>
        <w:t>Repealed.</w:t>
      </w:r>
      <w:bookmarkEnd w:id="256"/>
    </w:p>
    <w:p w14:paraId="09426C84"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strike/>
          <w:kern w:val="2"/>
          <w:sz w:val="18"/>
        </w:rPr>
      </w:pPr>
      <w:r w:rsidRPr="00FC5566">
        <w:rPr>
          <w:kern w:val="2"/>
          <w:sz w:val="18"/>
        </w:rPr>
        <w:t>AUTHORITY NOTE:</w:t>
      </w:r>
      <w:r w:rsidRPr="00FC5566">
        <w:rPr>
          <w:kern w:val="2"/>
          <w:sz w:val="18"/>
        </w:rPr>
        <w:tab/>
        <w:t>Promulgated in accordance with R.S. 37:3395.</w:t>
      </w:r>
    </w:p>
    <w:p w14:paraId="5449AE5D"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Office of the Governor, Real Estate Appraisers Board, LR 31:1339 (June 2005), repealed LR 52:1345 (August 2026).</w:t>
      </w:r>
    </w:p>
    <w:p w14:paraId="29B2F848"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Chapter 107. Appraisal Management Companies</w:t>
      </w:r>
    </w:p>
    <w:p w14:paraId="51EBBB78"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§10701.</w:t>
      </w:r>
      <w:r w:rsidRPr="00FC5566">
        <w:rPr>
          <w:b/>
          <w:kern w:val="2"/>
        </w:rPr>
        <w:tab/>
        <w:t>Appraiser Requirements and Prohibitions</w:t>
      </w:r>
    </w:p>
    <w:p w14:paraId="5B83D83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It shall be unlawful for a licensee or certificate holder to enter into an agreement to perform valuation services, written or otherwise, with an appraisal management company, or a person, corporation, partnership, sole proprietorship, subsidiary, unit, or other business entity that engages, or attempts to engage, in the activities of an appraisal management company, as defined in R.S. 37:3415.2, unless the appraisal management company, person, corporation, partnership, sole proprietorship, subsidiary, unit, or other business entity is licensed in accordance with the Louisiana Appraisal Management Company Licensing and Regulation Act (R.S. 37:3415.1 et seq).</w:t>
      </w:r>
    </w:p>
    <w:p w14:paraId="6C0A85D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A licensee or certificate holder who performs valuation services for an appraisal management company may include the license number of the appraisal management company in all appraisal reports or other instruments used by the licensee or certificate holder in conducting real property appraisal activities for the appraisal management company.</w:t>
      </w:r>
    </w:p>
    <w:p w14:paraId="6ABDEE29"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37:3395.</w:t>
      </w:r>
    </w:p>
    <w:p w14:paraId="13667F60"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Office of the Governor, Real Estate Appraisers Board, LR 39:311 (February 2013), amended LR 52:1345 (August 2026).</w:t>
      </w:r>
    </w:p>
    <w:p w14:paraId="5E314F9A" w14:textId="77777777" w:rsidR="00FC5566" w:rsidRPr="00FC5566" w:rsidRDefault="00FC5566" w:rsidP="00FC5566">
      <w:pPr>
        <w:keepNext/>
        <w:jc w:val="center"/>
        <w:rPr>
          <w:b/>
          <w:noProof/>
        </w:rPr>
      </w:pPr>
      <w:r w:rsidRPr="00FC5566">
        <w:rPr>
          <w:b/>
          <w:noProof/>
        </w:rPr>
        <w:t>Subpart 3.  Appraisal Management Companies</w:t>
      </w:r>
    </w:p>
    <w:p w14:paraId="24C7BCF6"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Chapter 301.</w:t>
      </w:r>
      <w:r w:rsidRPr="00FC5566">
        <w:rPr>
          <w:b/>
          <w:kern w:val="2"/>
        </w:rPr>
        <w:tab/>
        <w:t>Authority</w:t>
      </w:r>
    </w:p>
    <w:p w14:paraId="1DA8E011"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§30101.</w:t>
      </w:r>
      <w:r w:rsidRPr="00FC5566">
        <w:rPr>
          <w:b/>
          <w:kern w:val="2"/>
        </w:rPr>
        <w:tab/>
        <w:t>Adoption; Powers of the Board</w:t>
      </w:r>
    </w:p>
    <w:p w14:paraId="72A8B69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The rules and regulations of the Louisiana Real Estate Appraisers Board included in this Subpart have been adopted pursuant to and in compliance with R.S. 37:3415.1 et seq. Any violation of these rules and regulations shall be sufficient cause for any disciplinary action permitted by law.</w:t>
      </w:r>
    </w:p>
    <w:p w14:paraId="4D7133C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The board shall have the full power and authority to:</w:t>
      </w:r>
    </w:p>
    <w:p w14:paraId="0ADBC48B"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regulate the issuance of appraisal management company licenses;</w:t>
      </w:r>
    </w:p>
    <w:p w14:paraId="2C0FAFE9" w14:textId="77777777" w:rsidR="00FC5566" w:rsidRPr="00FC5566" w:rsidRDefault="00FC5566" w:rsidP="00FC5566">
      <w:pPr>
        <w:tabs>
          <w:tab w:val="left" w:pos="720"/>
          <w:tab w:val="left" w:pos="979"/>
          <w:tab w:val="left" w:pos="1152"/>
        </w:tabs>
        <w:ind w:firstLine="360"/>
        <w:jc w:val="both"/>
        <w:outlineLvl w:val="4"/>
        <w:rPr>
          <w:strike/>
          <w:kern w:val="2"/>
        </w:rPr>
      </w:pPr>
      <w:r w:rsidRPr="00FC5566">
        <w:rPr>
          <w:kern w:val="2"/>
        </w:rPr>
        <w:t>2.</w:t>
      </w:r>
      <w:r w:rsidRPr="00FC5566">
        <w:rPr>
          <w:kern w:val="2"/>
        </w:rPr>
        <w:tab/>
        <w:t>censure appraisal management company licensees;</w:t>
      </w:r>
    </w:p>
    <w:p w14:paraId="70DC45F3"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suspend or revoke appraisal management company licensees;</w:t>
      </w:r>
    </w:p>
    <w:p w14:paraId="4D745FFB"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w:t>
      </w:r>
      <w:r w:rsidRPr="00FC5566">
        <w:rPr>
          <w:kern w:val="2"/>
        </w:rPr>
        <w:tab/>
        <w:t>levy fines or impose civil penalties not to exceed fifty thousand dollars in accordance with R.S. 37:3415.19; and</w:t>
      </w:r>
    </w:p>
    <w:p w14:paraId="0492FED2"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5.</w:t>
      </w:r>
      <w:r w:rsidRPr="00FC5566">
        <w:rPr>
          <w:kern w:val="2"/>
        </w:rPr>
        <w:tab/>
        <w:t>require each licensee or registrant to notify the board, in writing, within 10 days of a change in any of the following contact information of record:</w:t>
      </w:r>
    </w:p>
    <w:p w14:paraId="16468194" w14:textId="77777777" w:rsidR="00FC5566" w:rsidRPr="00FC5566" w:rsidRDefault="00FC5566" w:rsidP="00FC5566">
      <w:pPr>
        <w:tabs>
          <w:tab w:val="left" w:pos="907"/>
        </w:tabs>
        <w:ind w:firstLine="547"/>
        <w:jc w:val="both"/>
        <w:outlineLvl w:val="5"/>
        <w:rPr>
          <w:kern w:val="2"/>
        </w:rPr>
      </w:pPr>
      <w:r w:rsidRPr="00FC5566">
        <w:rPr>
          <w:kern w:val="2"/>
        </w:rPr>
        <w:t>a.</w:t>
      </w:r>
      <w:r w:rsidRPr="00FC5566">
        <w:rPr>
          <w:kern w:val="2"/>
        </w:rPr>
        <w:tab/>
        <w:t>mailing address, business address, residence address, or email address;</w:t>
      </w:r>
    </w:p>
    <w:p w14:paraId="29E5C297" w14:textId="77777777" w:rsidR="00FC5566" w:rsidRPr="00FC5566" w:rsidRDefault="00FC5566" w:rsidP="00FC5566">
      <w:pPr>
        <w:tabs>
          <w:tab w:val="left" w:pos="907"/>
        </w:tabs>
        <w:ind w:firstLine="547"/>
        <w:jc w:val="both"/>
        <w:outlineLvl w:val="5"/>
        <w:rPr>
          <w:kern w:val="2"/>
        </w:rPr>
      </w:pPr>
      <w:r w:rsidRPr="00FC5566">
        <w:rPr>
          <w:kern w:val="2"/>
        </w:rPr>
        <w:t>b.</w:t>
      </w:r>
      <w:r w:rsidRPr="00FC5566">
        <w:rPr>
          <w:kern w:val="2"/>
        </w:rPr>
        <w:tab/>
        <w:t>primary telephone number; and</w:t>
      </w:r>
    </w:p>
    <w:p w14:paraId="6E66DAB1" w14:textId="77777777" w:rsidR="00FC5566" w:rsidRPr="00FC5566" w:rsidRDefault="00FC5566" w:rsidP="00FC5566">
      <w:pPr>
        <w:tabs>
          <w:tab w:val="left" w:pos="907"/>
        </w:tabs>
        <w:ind w:firstLine="547"/>
        <w:jc w:val="both"/>
        <w:outlineLvl w:val="5"/>
        <w:rPr>
          <w:kern w:val="2"/>
        </w:rPr>
      </w:pPr>
      <w:r w:rsidRPr="00FC5566">
        <w:rPr>
          <w:kern w:val="2"/>
        </w:rPr>
        <w:t>c.</w:t>
      </w:r>
      <w:r w:rsidRPr="00FC5566">
        <w:rPr>
          <w:kern w:val="2"/>
        </w:rPr>
        <w:tab/>
        <w:t>any other required contact information for the business or domicile of record for the licensee or registrant.</w:t>
      </w:r>
    </w:p>
    <w:p w14:paraId="7AE0AF35"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37:3415.1 et seq.</w:t>
      </w:r>
    </w:p>
    <w:p w14:paraId="18AE8EA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Office of the Governor, Real Estate Appraisers Board, LR 37:2406 (August 2011), amended LR 52:1345 (August 2026).</w:t>
      </w:r>
    </w:p>
    <w:p w14:paraId="7BA33CA9"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Chapter 303.</w:t>
      </w:r>
      <w:r w:rsidRPr="00FC5566">
        <w:rPr>
          <w:b/>
          <w:kern w:val="2"/>
        </w:rPr>
        <w:tab/>
        <w:t>Forms and Applications</w:t>
      </w:r>
    </w:p>
    <w:p w14:paraId="405B0EBD"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57" w:name="_Hlk204944377"/>
      <w:r w:rsidRPr="00FC5566">
        <w:rPr>
          <w:b/>
          <w:kern w:val="2"/>
        </w:rPr>
        <w:t>§30301.</w:t>
      </w:r>
      <w:r w:rsidRPr="00FC5566">
        <w:rPr>
          <w:b/>
          <w:kern w:val="2"/>
        </w:rPr>
        <w:tab/>
        <w:t>Initial License Applications</w:t>
      </w:r>
    </w:p>
    <w:p w14:paraId="00513F82"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Applications for initial licensure as an appraisal management company shall include, at a minimum, the following information:</w:t>
      </w:r>
    </w:p>
    <w:p w14:paraId="47FDFF58"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br w:type="page"/>
      </w:r>
    </w:p>
    <w:p w14:paraId="7639B7BF"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lastRenderedPageBreak/>
        <w:t>1.</w:t>
      </w:r>
      <w:r w:rsidRPr="00FC5566">
        <w:rPr>
          <w:kern w:val="2"/>
        </w:rPr>
        <w:tab/>
        <w:t>the name, business address, telephone number, and email address of the applicant;</w:t>
      </w:r>
    </w:p>
    <w:p w14:paraId="1F4B0E61"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the name, address, and contact information of each individual or entity that has any ownership interest in the appraisal management company;</w:t>
      </w:r>
    </w:p>
    <w:p w14:paraId="1D73599C"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the name, address, and contact information of the controlling person, as defined by R.S. 37:3415.2;</w:t>
      </w:r>
    </w:p>
    <w:p w14:paraId="6D417C40"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w:t>
      </w:r>
      <w:r w:rsidRPr="00FC5566">
        <w:rPr>
          <w:kern w:val="2"/>
        </w:rPr>
        <w:tab/>
        <w:t>the designation of an agent for service of process.</w:t>
      </w:r>
    </w:p>
    <w:p w14:paraId="0448A78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Applicants for initial licensure as an appraisal management company shall acknowledge and certify all the following, at a minimum:</w:t>
      </w:r>
    </w:p>
    <w:p w14:paraId="724EA3E7"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The applicant has a system in place to verify that all real estate appraisers on the panel of the appraisal management company are Certified Residential or Certified General Appraisers.</w:t>
      </w:r>
    </w:p>
    <w:p w14:paraId="4DF2BCEB"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The applicant has a system in place to review the work of all independent appraisers performing appraisal services, which shall be conducted in conformity with the applicable edition of the Uniform Standards of Professional Appraisal Practice, or its successor.</w:t>
      </w:r>
    </w:p>
    <w:p w14:paraId="744661B4"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The applicant will maintain a record of each request for appraisal services applicable to Louisiana properties, as well as the name of the independent appraiser that performs appraisal services, and the fee paid to the appraiser for each assignment.</w:t>
      </w:r>
    </w:p>
    <w:p w14:paraId="4B1F2A87"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w:t>
      </w:r>
      <w:r w:rsidRPr="00FC5566">
        <w:rPr>
          <w:kern w:val="2"/>
        </w:rPr>
        <w:tab/>
        <w:t>The designated controlling person has accepted the responsibilities attendant to acting as such.</w:t>
      </w:r>
    </w:p>
    <w:p w14:paraId="05AF6BDE"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Applications for initial licensure as an appraisal management company shall be submitted, at a minimum, with the following documentation:</w:t>
      </w:r>
    </w:p>
    <w:p w14:paraId="35C9C990"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a license history verification from each jurisdiction in which the applicant is currently licensed or has been licensed as an appraisal management company;</w:t>
      </w:r>
    </w:p>
    <w:p w14:paraId="19466FB5"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a copy of any trade name and trademark registration issued by the Louisiana Secretary of State for use by the applicant;</w:t>
      </w:r>
    </w:p>
    <w:p w14:paraId="3E3836CA"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a copy of the resolution or other document executed by a principal of the appraisal management company designating a controlling person; and</w:t>
      </w:r>
    </w:p>
    <w:p w14:paraId="0D9ABA87"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w:t>
      </w:r>
      <w:r w:rsidRPr="00FC5566">
        <w:rPr>
          <w:kern w:val="2"/>
        </w:rPr>
        <w:tab/>
        <w:t>a copy of any corporation, partnership, or limited liability company registration certificate issued to the applicant by the Louisiana Secretary of State.</w:t>
      </w:r>
    </w:p>
    <w:p w14:paraId="03F28A0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D.</w:t>
      </w:r>
      <w:r w:rsidRPr="00FC5566">
        <w:rPr>
          <w:kern w:val="2"/>
        </w:rPr>
        <w:tab/>
        <w:t>When an applicant has made a false statement of material fact in any document submitted to the board, such false statement constitutes sufficient grounds for refusal of an initial license.</w:t>
      </w:r>
    </w:p>
    <w:p w14:paraId="0AA64F9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E.</w:t>
      </w:r>
      <w:r w:rsidRPr="00FC5566">
        <w:rPr>
          <w:kern w:val="2"/>
        </w:rPr>
        <w:tab/>
        <w:t>If the board determines that an applicant has satisfactorily met the prescribed requirements for initial licensing, a Louisiana appraisal management company license shall be issued to the applicant.</w:t>
      </w:r>
      <w:bookmarkEnd w:id="257"/>
    </w:p>
    <w:p w14:paraId="29472E6A"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strike/>
          <w:kern w:val="2"/>
          <w:sz w:val="18"/>
        </w:rPr>
      </w:pPr>
      <w:r w:rsidRPr="00FC5566">
        <w:rPr>
          <w:kern w:val="2"/>
          <w:sz w:val="18"/>
        </w:rPr>
        <w:t>AUTHORITY NOTE:</w:t>
      </w:r>
      <w:r w:rsidRPr="00FC5566">
        <w:rPr>
          <w:kern w:val="2"/>
          <w:sz w:val="18"/>
        </w:rPr>
        <w:tab/>
        <w:t>Promulgated in accordance with R.S. 37:3415.1 et seq.</w:t>
      </w:r>
    </w:p>
    <w:p w14:paraId="2ACC6FF3"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Office of the Governor, Real Estate Appraisers Board, LR 37:2407 (August 2011), amended LR 52:1345 (August 2026).</w:t>
      </w:r>
    </w:p>
    <w:p w14:paraId="7FEF9624"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§30302.</w:t>
      </w:r>
      <w:r w:rsidRPr="00FC5566">
        <w:rPr>
          <w:b/>
          <w:kern w:val="2"/>
        </w:rPr>
        <w:tab/>
        <w:t>Surety Bond Required; Amount and Conditions; Filing</w:t>
      </w:r>
    </w:p>
    <w:p w14:paraId="255FCD4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E.</w:t>
      </w:r>
      <w:r w:rsidRPr="00FC5566">
        <w:rPr>
          <w:kern w:val="2"/>
        </w:rPr>
        <w:tab/>
        <w:t>…</w:t>
      </w:r>
    </w:p>
    <w:p w14:paraId="6751F8EC"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F.</w:t>
      </w:r>
      <w:r w:rsidRPr="00FC5566">
        <w:rPr>
          <w:kern w:val="2"/>
        </w:rPr>
        <w:tab/>
        <w:t>A licensee who elects to submit a cash deposit or security in lieu of a surety bond, as provided in R.S. 37:3415.3, shall restore the cash deposit or security annually upon license renewal, if a claim has reduced the deposit amount or security below $20,000.</w:t>
      </w:r>
    </w:p>
    <w:p w14:paraId="4EC76C6C"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G.</w:t>
      </w:r>
      <w:r w:rsidRPr="00FC5566">
        <w:rPr>
          <w:kern w:val="2"/>
        </w:rPr>
        <w:tab/>
        <w:t>…</w:t>
      </w:r>
    </w:p>
    <w:p w14:paraId="53973A48"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37:3415.1 et seq.</w:t>
      </w:r>
    </w:p>
    <w:p w14:paraId="6BA3CE32"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Office of the Governor, Real Estate Appraisers Board, LR 39:3072 (November 2013), amended LR 52:1346 (August 2026).</w:t>
      </w:r>
    </w:p>
    <w:p w14:paraId="062A3F8A"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§30303.</w:t>
      </w:r>
      <w:r w:rsidRPr="00FC5566">
        <w:rPr>
          <w:b/>
          <w:kern w:val="2"/>
        </w:rPr>
        <w:tab/>
        <w:t>License Renewal Applications</w:t>
      </w:r>
    </w:p>
    <w:p w14:paraId="1DD44FD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B.</w:t>
      </w:r>
      <w:r w:rsidRPr="00FC5566">
        <w:rPr>
          <w:kern w:val="2"/>
        </w:rPr>
        <w:tab/>
        <w:t>…</w:t>
      </w:r>
    </w:p>
    <w:p w14:paraId="750812F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When an applicant has made a false statement of material fact on a license renewal application, or in any related document, such false statement constitutes sufficient grounds for refusal of a renewal license.</w:t>
      </w:r>
    </w:p>
    <w:p w14:paraId="51CBA2F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D.</w:t>
      </w:r>
      <w:r w:rsidRPr="00FC5566">
        <w:rPr>
          <w:kern w:val="2"/>
        </w:rPr>
        <w:tab/>
        <w:t xml:space="preserve">A licensee that fails to renew by </w:t>
      </w:r>
      <w:bookmarkStart w:id="258" w:name="_Hlk216177264"/>
      <w:r w:rsidRPr="00FC5566">
        <w:rPr>
          <w:kern w:val="2"/>
        </w:rPr>
        <w:t>December thirty-first of each calendar year in accordance with R.S. 37:3415.6</w:t>
      </w:r>
      <w:bookmarkEnd w:id="258"/>
      <w:r w:rsidRPr="00FC5566">
        <w:rPr>
          <w:kern w:val="2"/>
        </w:rPr>
        <w:t xml:space="preserve"> shall be prohibited from operating as an appraisal management company in Louisiana until such time that the license has been renewed and any further requirements of the board have been met.</w:t>
      </w:r>
    </w:p>
    <w:p w14:paraId="0C377124"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37:3415.1 et seq.</w:t>
      </w:r>
    </w:p>
    <w:p w14:paraId="45FC2747"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Office of the Governor, Real Estate Appraisers Board, LR 37:2407 (August 2011), amended LR 52:1346 (August 2026).</w:t>
      </w:r>
    </w:p>
    <w:p w14:paraId="757BA748"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Chapter 304. Competency</w:t>
      </w:r>
    </w:p>
    <w:p w14:paraId="23CD62DA"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§30401.</w:t>
      </w:r>
      <w:r w:rsidRPr="00FC5566">
        <w:rPr>
          <w:b/>
          <w:kern w:val="2"/>
        </w:rPr>
        <w:tab/>
        <w:t>Appraiser License Verification</w:t>
      </w:r>
    </w:p>
    <w:p w14:paraId="19561C0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A.4.</w:t>
      </w:r>
      <w:r w:rsidRPr="00FC5566">
        <w:rPr>
          <w:kern w:val="2"/>
        </w:rPr>
        <w:tab/>
        <w:t>…</w:t>
      </w:r>
    </w:p>
    <w:p w14:paraId="177E731E"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5.</w:t>
      </w:r>
      <w:r w:rsidRPr="00FC5566">
        <w:rPr>
          <w:kern w:val="2"/>
        </w:rPr>
        <w:tab/>
        <w:t xml:space="preserve">is aware that </w:t>
      </w:r>
      <w:bookmarkStart w:id="259" w:name="_Hlk216177987"/>
      <w:r w:rsidRPr="00FC5566">
        <w:rPr>
          <w:kern w:val="2"/>
        </w:rPr>
        <w:t>all appraisal services rendered in Louisiana shall comply with the applicable edition of the Uniform Standards of Professional Appraisal Practice (USPAP), or its successor.</w:t>
      </w:r>
      <w:bookmarkEnd w:id="259"/>
    </w:p>
    <w:p w14:paraId="69130450"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Subsequent to a completed appraisal being submitted to the assigning licensee, any request made by the appraisal management company for additional information that may impact or alter the opinion of value stated therein shall be made by the certified appraiser completing the appraisal review.</w:t>
      </w:r>
    </w:p>
    <w:p w14:paraId="199956AB"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37:3415.1 et seq.</w:t>
      </w:r>
    </w:p>
    <w:p w14:paraId="2A9E9D4A"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Office of the Governor, Real Estate Appraisers Board, LR 39:3072 (November 2013), amended LR 52:1346 (August 2026).</w:t>
      </w:r>
    </w:p>
    <w:p w14:paraId="2204D815"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Chapter 305.</w:t>
      </w:r>
      <w:r w:rsidRPr="00FC5566">
        <w:rPr>
          <w:b/>
          <w:kern w:val="2"/>
        </w:rPr>
        <w:tab/>
        <w:t>Responsibilities and Duties</w:t>
      </w:r>
    </w:p>
    <w:p w14:paraId="2EE259F3"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§30501.</w:t>
      </w:r>
      <w:r w:rsidRPr="00FC5566">
        <w:rPr>
          <w:b/>
          <w:kern w:val="2"/>
        </w:rPr>
        <w:tab/>
        <w:t>Record Keeping</w:t>
      </w:r>
    </w:p>
    <w:p w14:paraId="3CA17B38"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A.4.</w:t>
      </w:r>
      <w:r w:rsidRPr="00FC5566">
        <w:rPr>
          <w:kern w:val="2"/>
        </w:rPr>
        <w:tab/>
        <w:t>…</w:t>
      </w:r>
    </w:p>
    <w:p w14:paraId="1A00F92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In addition to the records that shall be maintained in Subsection A of this Section, licensees shall maintain a complete list of all real estate fee appraisers approved by the licensee to receive appraisal assignments. The list shall include at least the following information regarding each fee appraiser:</w:t>
      </w:r>
    </w:p>
    <w:p w14:paraId="3263E10E"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 - 3.</w:t>
      </w:r>
      <w:r w:rsidRPr="00FC5566">
        <w:rPr>
          <w:kern w:val="2"/>
        </w:rPr>
        <w:tab/>
        <w:t>…</w:t>
      </w:r>
    </w:p>
    <w:p w14:paraId="3CBDA848"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w:t>
      </w:r>
      <w:r w:rsidRPr="00FC5566">
        <w:rPr>
          <w:kern w:val="2"/>
        </w:rPr>
        <w:tab/>
        <w:t>the areas in which each fee appraiser considers himself or herself geographically competent enumerated by parish or zip code;</w:t>
      </w:r>
    </w:p>
    <w:p w14:paraId="52EDB5F6"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5. - 6.</w:t>
      </w:r>
      <w:r w:rsidRPr="00FC5566">
        <w:rPr>
          <w:kern w:val="2"/>
        </w:rPr>
        <w:tab/>
        <w:t>…</w:t>
      </w:r>
    </w:p>
    <w:p w14:paraId="046A761D"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7.</w:t>
      </w:r>
      <w:r w:rsidRPr="00FC5566">
        <w:rPr>
          <w:kern w:val="2"/>
        </w:rPr>
        <w:tab/>
        <w:t>the time in which the appraisal services are required to be performed;</w:t>
      </w:r>
    </w:p>
    <w:p w14:paraId="0341DE8D"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8. - 9.</w:t>
      </w:r>
      <w:r w:rsidRPr="00FC5566">
        <w:rPr>
          <w:kern w:val="2"/>
        </w:rPr>
        <w:tab/>
        <w:t>…</w:t>
      </w:r>
    </w:p>
    <w:p w14:paraId="11037A8D"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10.</w:t>
      </w:r>
      <w:r w:rsidRPr="00FC5566">
        <w:rPr>
          <w:kern w:val="2"/>
        </w:rPr>
        <w:tab/>
        <w:t>the fee, remuneration, or monetary compensation for each report or assignment.</w:t>
      </w:r>
    </w:p>
    <w:p w14:paraId="4D8136F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 - E.</w:t>
      </w:r>
      <w:r w:rsidRPr="00FC5566">
        <w:rPr>
          <w:kern w:val="2"/>
        </w:rPr>
        <w:tab/>
        <w:t>…</w:t>
      </w:r>
    </w:p>
    <w:p w14:paraId="71264DA3"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37:3415.1 et seq.</w:t>
      </w:r>
    </w:p>
    <w:p w14:paraId="657D50FC"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lastRenderedPageBreak/>
        <w:t>HISTORICAL NOTE:</w:t>
      </w:r>
      <w:r w:rsidRPr="00FC5566">
        <w:rPr>
          <w:kern w:val="2"/>
          <w:sz w:val="18"/>
        </w:rPr>
        <w:tab/>
        <w:t>Promulgated by the Office of the Governor, Real Estate Appraisers Board, LR 37:2407 (August 2011), amended LR 39:3072 (November 2013), LR 52:1346 (August 2026).</w:t>
      </w:r>
    </w:p>
    <w:p w14:paraId="1398CD9C"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Chapter 307.</w:t>
      </w:r>
      <w:r w:rsidRPr="00FC5566">
        <w:rPr>
          <w:b/>
          <w:kern w:val="2"/>
        </w:rPr>
        <w:tab/>
        <w:t>Prohibited Activities</w:t>
      </w:r>
    </w:p>
    <w:p w14:paraId="68148906"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§30701.</w:t>
      </w:r>
      <w:r w:rsidRPr="00FC5566">
        <w:rPr>
          <w:b/>
          <w:kern w:val="2"/>
        </w:rPr>
        <w:tab/>
        <w:t>Improper Influence</w:t>
      </w:r>
    </w:p>
    <w:p w14:paraId="76D9A39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 xml:space="preserve">A. - </w:t>
      </w:r>
      <w:bookmarkStart w:id="260" w:name="_Hlk216178613"/>
      <w:r w:rsidRPr="00FC5566">
        <w:rPr>
          <w:kern w:val="2"/>
        </w:rPr>
        <w:t>A.4.a.</w:t>
      </w:r>
      <w:bookmarkEnd w:id="260"/>
      <w:r w:rsidRPr="00FC5566">
        <w:rPr>
          <w:kern w:val="2"/>
        </w:rPr>
        <w:tab/>
        <w:t>…</w:t>
      </w:r>
    </w:p>
    <w:p w14:paraId="1665ADBA" w14:textId="77777777" w:rsidR="00FC5566" w:rsidRPr="00FC5566" w:rsidRDefault="00FC5566" w:rsidP="00FC5566">
      <w:pPr>
        <w:tabs>
          <w:tab w:val="left" w:pos="907"/>
        </w:tabs>
        <w:ind w:firstLine="547"/>
        <w:jc w:val="both"/>
        <w:outlineLvl w:val="5"/>
        <w:rPr>
          <w:kern w:val="2"/>
        </w:rPr>
      </w:pPr>
      <w:r w:rsidRPr="00FC5566">
        <w:rPr>
          <w:kern w:val="2"/>
        </w:rPr>
        <w:t>b.</w:t>
      </w:r>
      <w:r w:rsidRPr="00FC5566">
        <w:rPr>
          <w:kern w:val="2"/>
        </w:rPr>
        <w:tab/>
        <w:t>the appraiser has violated the applicable edition of the Uniform Standards of Professional Appraisal Practice or its successor or other applicable state statutes or rules; or</w:t>
      </w:r>
    </w:p>
    <w:p w14:paraId="55C67257"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A.4.c. - A.9.</w:t>
      </w:r>
      <w:r w:rsidRPr="00FC5566">
        <w:rPr>
          <w:kern w:val="2"/>
        </w:rPr>
        <w:tab/>
        <w:t>…</w:t>
      </w:r>
    </w:p>
    <w:p w14:paraId="391D4F2B"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37:3415.1 et seq.</w:t>
      </w:r>
    </w:p>
    <w:p w14:paraId="3472FD1D"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Office of the Governor, Real Estate Appraisers Board, LR 37:2408 (August 2011), amended LR 42:871 (June 2016), LR 52:1347 (August 2026).</w:t>
      </w:r>
    </w:p>
    <w:p w14:paraId="3A6508DE"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§30703.</w:t>
      </w:r>
      <w:r w:rsidRPr="00FC5566">
        <w:rPr>
          <w:b/>
          <w:kern w:val="2"/>
        </w:rPr>
        <w:tab/>
        <w:t>Exemptions to Prohibited Activities</w:t>
      </w:r>
    </w:p>
    <w:p w14:paraId="5112037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It shall not be deemed a prohibited activity to:</w:t>
      </w:r>
    </w:p>
    <w:p w14:paraId="3B1CC041"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provide an appraiser with a copy of the sales contract for a purchase transaction; or</w:t>
      </w:r>
    </w:p>
    <w:p w14:paraId="59086264"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request that an independent appraiser provide further substantiation, detail, or explanation for the appraiser’s value conclusion.</w:t>
      </w:r>
    </w:p>
    <w:p w14:paraId="31B37BEF"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 xml:space="preserve">Promulgated in accordance with R.S. </w:t>
      </w:r>
      <w:bookmarkStart w:id="261" w:name="_Hlk216179583"/>
      <w:r w:rsidRPr="00FC5566">
        <w:rPr>
          <w:kern w:val="2"/>
          <w:sz w:val="18"/>
        </w:rPr>
        <w:t>37:3415.1 et seq</w:t>
      </w:r>
      <w:bookmarkEnd w:id="261"/>
      <w:r w:rsidRPr="00FC5566">
        <w:rPr>
          <w:kern w:val="2"/>
          <w:sz w:val="18"/>
        </w:rPr>
        <w:t>.</w:t>
      </w:r>
    </w:p>
    <w:p w14:paraId="4DA63EFD"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Office of the Governor, Real Estate Appraisers Board, LR 37:2408 (August 2011), amended LR 52:1347 (August 2026).</w:t>
      </w:r>
    </w:p>
    <w:p w14:paraId="7DCB4E77"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Chapter 309.</w:t>
      </w:r>
      <w:r w:rsidRPr="00FC5566">
        <w:rPr>
          <w:b/>
          <w:kern w:val="2"/>
        </w:rPr>
        <w:tab/>
        <w:t>Disciplinary Authority; Enforcement and Hearings</w:t>
      </w:r>
    </w:p>
    <w:p w14:paraId="7B8E3445"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§30900.</w:t>
      </w:r>
      <w:r w:rsidRPr="00FC5566">
        <w:rPr>
          <w:b/>
          <w:kern w:val="2"/>
        </w:rPr>
        <w:tab/>
        <w:t>Investigations</w:t>
      </w:r>
    </w:p>
    <w:p w14:paraId="197843D0"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The board may, upon its own motion, and shall, upon the verified, written complaint of any person alleging violations of the laws or rules of the board, investigate the actions of a licensee or certificate holder, or any person who assumes to act as such. Written complaints shall bear the signature of the complainant or that of his legal representative before any action will be taken thereon by the board. The board shall not be required to take any action relating to an unsigned or anonymous complaint.</w:t>
      </w:r>
    </w:p>
    <w:p w14:paraId="35CE4912"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w:t>
      </w:r>
    </w:p>
    <w:p w14:paraId="45D60E7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The board may file suit in the Nineteenth Judicial District Court in the parish of East Baton Rouge to enforce a subpoena against any person that does not comply with a subpoena issued by the board.</w:t>
      </w:r>
    </w:p>
    <w:p w14:paraId="3FF56CF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D.</w:t>
      </w:r>
      <w:r w:rsidRPr="00FC5566">
        <w:rPr>
          <w:kern w:val="2"/>
        </w:rPr>
        <w:tab/>
        <w:t>Full or partial compliance audits may be authorized by the executive director, or by affirmative vote of the board, to determine compliance with all provisions of applicable law and rules. A maximum of 10 percent of all registered licensees may be subject to audit in any calendar year. Licensees selected for audit shall be given 10-days written notice prior to commencement of the audit.</w:t>
      </w:r>
    </w:p>
    <w:p w14:paraId="4561AD4C"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37:3415.1 et seq.</w:t>
      </w:r>
    </w:p>
    <w:p w14:paraId="4F42229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Office of the Governor, Real Estate Appraisers Board, LR 39:3073 (November 2013), amended LR 52:1347 (August 2026).</w:t>
      </w:r>
    </w:p>
    <w:p w14:paraId="3735B680"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§30901.</w:t>
      </w:r>
      <w:r w:rsidRPr="00FC5566">
        <w:rPr>
          <w:b/>
          <w:kern w:val="2"/>
        </w:rPr>
        <w:tab/>
        <w:t>Causes for Censure, Suspension, Revocation, or Denial of a License</w:t>
      </w:r>
    </w:p>
    <w:p w14:paraId="22A7167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 xml:space="preserve">In accordance with R.S. 37:3415.19, the Louisiana Real Estate Appraisers Board may censure, deny, suspend, or revoke an appraisal management company license, or may restrict or limit the activities of an appraisal management company or a person who owns an interest in or participates </w:t>
      </w:r>
      <w:r w:rsidRPr="00FC5566">
        <w:rPr>
          <w:kern w:val="2"/>
        </w:rPr>
        <w:t>in the business of the appraisal management company, if the board finds that any of the following circumstances apply.</w:t>
      </w:r>
    </w:p>
    <w:p w14:paraId="7F1544B1"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The application for licensing is found to contain one or more statements that, in light of the circumstances under which they were made, are false or misleading with respect to a material fact.</w:t>
      </w:r>
    </w:p>
    <w:p w14:paraId="6DF9315C" w14:textId="77777777" w:rsidR="00FC5566" w:rsidRPr="00FC5566" w:rsidRDefault="00FC5566" w:rsidP="00FC5566">
      <w:pPr>
        <w:tabs>
          <w:tab w:val="left" w:pos="720"/>
          <w:tab w:val="left" w:pos="979"/>
          <w:tab w:val="left" w:pos="1152"/>
        </w:tabs>
        <w:ind w:firstLine="360"/>
        <w:jc w:val="both"/>
        <w:outlineLvl w:val="4"/>
        <w:rPr>
          <w:strike/>
          <w:kern w:val="2"/>
        </w:rPr>
      </w:pPr>
      <w:r w:rsidRPr="00FC5566">
        <w:rPr>
          <w:kern w:val="2"/>
        </w:rPr>
        <w:t>2.</w:t>
      </w:r>
      <w:r w:rsidRPr="00FC5566">
        <w:rPr>
          <w:kern w:val="2"/>
        </w:rPr>
        <w:tab/>
        <w:t>The licensee's controlling principal has pled to or been found guilty of a felony or, within the past ten years, has pled guilty or been convicted of a misdemeanor involving mortgage lending or real estate appraising or has committed a violation of applicable laws or rules involving breach of trust, fraud, or dishonesty.</w:t>
      </w:r>
    </w:p>
    <w:p w14:paraId="0BE78864"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The licensee is permanently or temporarily enjoined by a court of competent jurisdiction from engaging in or continuing to conduct any practice involving appraisal management services or operation of an appraisal management company.</w:t>
      </w:r>
    </w:p>
    <w:p w14:paraId="4C682271"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w:t>
      </w:r>
      <w:r w:rsidRPr="00FC5566">
        <w:rPr>
          <w:kern w:val="2"/>
        </w:rPr>
        <w:tab/>
        <w:t>The licensee is the subject of an order by the board denying, suspending, or revoking the licensee’s license to operate as an appraisal management company in Louisiana.</w:t>
      </w:r>
    </w:p>
    <w:p w14:paraId="51FE3925"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5.</w:t>
      </w:r>
      <w:r w:rsidRPr="00FC5566">
        <w:rPr>
          <w:kern w:val="2"/>
        </w:rPr>
        <w:tab/>
        <w:t>The licensee acted as an appraisal management company while not properly licensed by the board.</w:t>
      </w:r>
    </w:p>
    <w:p w14:paraId="20E31018"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6.</w:t>
      </w:r>
      <w:r w:rsidRPr="00FC5566">
        <w:rPr>
          <w:kern w:val="2"/>
        </w:rPr>
        <w:tab/>
        <w:t>The licensee failed to notify the board within ten days of any disciplinary action imposed against the licensee, its owners, or employees in any state.</w:t>
      </w:r>
    </w:p>
    <w:p w14:paraId="41ED1F6B"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 - C.</w:t>
      </w:r>
      <w:r w:rsidRPr="00FC5566">
        <w:rPr>
          <w:kern w:val="2"/>
        </w:rPr>
        <w:tab/>
        <w:t>…</w:t>
      </w:r>
    </w:p>
    <w:p w14:paraId="40DB164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37:3415.1 et seq.</w:t>
      </w:r>
    </w:p>
    <w:p w14:paraId="2FF2636E"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Office of the Governor, Real Estate Appraisers Board, LR 37:2408 (August 2011), amended LR 42:872 (June 2016), LR 52:1347 (August 2026).</w:t>
      </w:r>
    </w:p>
    <w:p w14:paraId="00DD514D"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bCs/>
          <w:kern w:val="2"/>
        </w:rPr>
      </w:pPr>
      <w:r w:rsidRPr="00FC5566">
        <w:rPr>
          <w:b/>
          <w:bCs/>
          <w:kern w:val="2"/>
        </w:rPr>
        <w:t>§30903.</w:t>
      </w:r>
      <w:r w:rsidRPr="00FC5566">
        <w:rPr>
          <w:b/>
          <w:bCs/>
          <w:kern w:val="2"/>
        </w:rPr>
        <w:tab/>
      </w:r>
      <w:r w:rsidRPr="00FC5566">
        <w:rPr>
          <w:b/>
          <w:kern w:val="2"/>
        </w:rPr>
        <w:t>Appellate Proceedings</w:t>
      </w:r>
    </w:p>
    <w:p w14:paraId="45849E63" w14:textId="77777777" w:rsidR="00FC5566" w:rsidRPr="00FC5566" w:rsidRDefault="00FC5566" w:rsidP="00FC5566">
      <w:pPr>
        <w:tabs>
          <w:tab w:val="left" w:pos="144"/>
          <w:tab w:val="left" w:pos="187"/>
          <w:tab w:val="left" w:pos="540"/>
          <w:tab w:val="left" w:pos="907"/>
          <w:tab w:val="left" w:pos="1080"/>
        </w:tabs>
        <w:ind w:firstLine="187"/>
        <w:jc w:val="both"/>
        <w:outlineLvl w:val="3"/>
        <w:rPr>
          <w:bCs/>
          <w:kern w:val="2"/>
        </w:rPr>
      </w:pPr>
      <w:bookmarkStart w:id="262" w:name="_Hlk216181566"/>
      <w:r w:rsidRPr="00FC5566">
        <w:rPr>
          <w:kern w:val="2"/>
        </w:rPr>
        <w:t>Repealed.</w:t>
      </w:r>
      <w:bookmarkEnd w:id="262"/>
    </w:p>
    <w:p w14:paraId="0BBD044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37:3415.1 et seq.</w:t>
      </w:r>
    </w:p>
    <w:p w14:paraId="6D59BB3B"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Office of the Governor, Real Estate Appraisers Board, LR 37:2409 (August 2011), repealed LR 52:1347 (August 2026).</w:t>
      </w:r>
    </w:p>
    <w:p w14:paraId="2670C36A"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§30905.</w:t>
      </w:r>
      <w:r w:rsidRPr="00FC5566">
        <w:rPr>
          <w:b/>
          <w:kern w:val="2"/>
        </w:rPr>
        <w:tab/>
        <w:t>Costs of Adjudicatory Proceedings</w:t>
      </w:r>
    </w:p>
    <w:p w14:paraId="4F059272"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Following finding that a respondent has committed one or more violations as alleged in any adjudicatory proceeding, the respondent may be assessed the administrative costs of the proceeding as determined by the board. Payment of the assessed costs shall be a condition of satisfying any order issued by the board.</w:t>
      </w:r>
    </w:p>
    <w:p w14:paraId="23D0108F"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37:3415.1 et seq.</w:t>
      </w:r>
    </w:p>
    <w:p w14:paraId="0017FC12"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Office of the Governor, Real Estate Appraisers Board, LR 37:2410 (August 2011), amended LR 52:1347 (August 2026).</w:t>
      </w:r>
    </w:p>
    <w:p w14:paraId="332DE1E8"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§30907.</w:t>
      </w:r>
      <w:r w:rsidRPr="00FC5566">
        <w:rPr>
          <w:b/>
          <w:kern w:val="2"/>
        </w:rPr>
        <w:tab/>
        <w:t>Stay of Enforcement</w:t>
      </w:r>
    </w:p>
    <w:p w14:paraId="024050EF"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Repealed.</w:t>
      </w:r>
    </w:p>
    <w:p w14:paraId="786DA528"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strike/>
          <w:kern w:val="2"/>
          <w:sz w:val="18"/>
        </w:rPr>
      </w:pPr>
      <w:r w:rsidRPr="00FC5566">
        <w:rPr>
          <w:kern w:val="2"/>
          <w:sz w:val="18"/>
        </w:rPr>
        <w:t>AUTHORITY NOTE:</w:t>
      </w:r>
      <w:r w:rsidRPr="00FC5566">
        <w:rPr>
          <w:kern w:val="2"/>
          <w:sz w:val="18"/>
        </w:rPr>
        <w:tab/>
        <w:t>Promulgated in accordance with R.S. 37:3415.1 et seq.</w:t>
      </w:r>
    </w:p>
    <w:p w14:paraId="2165E28D"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Office of the Governor, Real Estate Appraisers Board, LR 37:2410 (August 2011), repealed LR 52:1347 (August 2026).</w:t>
      </w:r>
    </w:p>
    <w:p w14:paraId="5CB0FEBB"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Chapter 311.</w:t>
      </w:r>
      <w:r w:rsidRPr="00FC5566">
        <w:rPr>
          <w:b/>
          <w:kern w:val="2"/>
        </w:rPr>
        <w:tab/>
        <w:t>Compensation of Fee Appraisers</w:t>
      </w:r>
    </w:p>
    <w:p w14:paraId="0D293F07"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§31103.</w:t>
      </w:r>
      <w:r w:rsidRPr="00FC5566">
        <w:rPr>
          <w:b/>
          <w:kern w:val="2"/>
        </w:rPr>
        <w:tab/>
        <w:t>Disclosure</w:t>
      </w:r>
    </w:p>
    <w:p w14:paraId="0263A30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 xml:space="preserve">When an appraisal obtained through an appraisal management company is used for loan purposes, the borrower or loan applicant shall be provided with a written disclosure of the total compensation to the appraiser or appraisal firm </w:t>
      </w:r>
      <w:r w:rsidRPr="00FC5566">
        <w:rPr>
          <w:kern w:val="2"/>
        </w:rPr>
        <w:br w:type="page"/>
      </w:r>
    </w:p>
    <w:p w14:paraId="4371C87D" w14:textId="77777777" w:rsidR="00FC5566" w:rsidRPr="00FC5566" w:rsidRDefault="00FC5566" w:rsidP="00FC5566">
      <w:pPr>
        <w:tabs>
          <w:tab w:val="left" w:pos="144"/>
          <w:tab w:val="left" w:pos="187"/>
          <w:tab w:val="left" w:pos="540"/>
          <w:tab w:val="left" w:pos="907"/>
          <w:tab w:val="left" w:pos="1080"/>
        </w:tabs>
        <w:jc w:val="both"/>
        <w:outlineLvl w:val="3"/>
        <w:rPr>
          <w:kern w:val="2"/>
        </w:rPr>
      </w:pPr>
      <w:r w:rsidRPr="00FC5566">
        <w:rPr>
          <w:kern w:val="2"/>
        </w:rPr>
        <w:lastRenderedPageBreak/>
        <w:t>within the certification body of the appraisal report that is transmitted to the client/intended end user, and it shall not be redacted or otherwise obscured.</w:t>
      </w:r>
    </w:p>
    <w:p w14:paraId="7F253CCC"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 Promulgated in accordance with R.S. 37:3415.1 et seq.</w:t>
      </w:r>
    </w:p>
    <w:p w14:paraId="529A69B3"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 Promulgated by the Office of the Governor, Real Estate Appraisers Board, LR 42:872 (June 2016), amended LR 52:1347 (August 2026).</w:t>
      </w:r>
    </w:p>
    <w:p w14:paraId="08D5E128"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p w14:paraId="102B68F1" w14:textId="77777777" w:rsidR="00FC5566" w:rsidRPr="00FC5566" w:rsidRDefault="00FC5566" w:rsidP="00FC5566">
      <w:pPr>
        <w:keepNext/>
        <w:ind w:left="2160"/>
        <w:jc w:val="both"/>
      </w:pPr>
      <w:r w:rsidRPr="00FC5566">
        <w:t>Summer S. Mire</w:t>
      </w:r>
    </w:p>
    <w:p w14:paraId="6C659BDF" w14:textId="77777777" w:rsidR="00FC5566" w:rsidRPr="00FC5566" w:rsidRDefault="00FC5566" w:rsidP="00FC5566">
      <w:pPr>
        <w:keepNext/>
        <w:ind w:left="2160"/>
        <w:jc w:val="both"/>
      </w:pPr>
      <w:r w:rsidRPr="00FC5566">
        <w:t>Executive Director</w:t>
      </w:r>
    </w:p>
    <w:p w14:paraId="1119AE4E" w14:textId="77777777" w:rsidR="00FC5566" w:rsidRPr="00FC5566" w:rsidRDefault="00FC5566" w:rsidP="00FC5566">
      <w:pPr>
        <w:rPr>
          <w:noProof/>
          <w:sz w:val="16"/>
        </w:rPr>
      </w:pPr>
      <w:r w:rsidRPr="00FC5566">
        <w:rPr>
          <w:noProof/>
          <w:sz w:val="16"/>
        </w:rPr>
        <w:t>2608#002</w:t>
      </w:r>
    </w:p>
    <w:p w14:paraId="21409638" w14:textId="77777777" w:rsidR="00FC5566" w:rsidRPr="00FC5566" w:rsidRDefault="00FC5566" w:rsidP="00FC5566"/>
    <w:p w14:paraId="45CF9871" w14:textId="77777777" w:rsidR="00FC5566" w:rsidRPr="00FC5566" w:rsidRDefault="00FC5566" w:rsidP="00FC5566">
      <w:pPr>
        <w:keepNext/>
        <w:tabs>
          <w:tab w:val="left" w:pos="-1440"/>
        </w:tabs>
        <w:spacing w:after="120"/>
        <w:jc w:val="center"/>
        <w:rPr>
          <w:b/>
          <w:noProof/>
        </w:rPr>
      </w:pPr>
      <w:r w:rsidRPr="00FC5566">
        <w:rPr>
          <w:b/>
          <w:noProof/>
        </w:rPr>
        <w:t>RULE</w:t>
      </w:r>
    </w:p>
    <w:p w14:paraId="4818066F" w14:textId="77777777" w:rsidR="00FC5566" w:rsidRPr="00FC5566" w:rsidRDefault="00FC5566" w:rsidP="00FC5566">
      <w:pPr>
        <w:keepNext/>
        <w:jc w:val="center"/>
        <w:rPr>
          <w:b/>
          <w:noProof/>
        </w:rPr>
      </w:pPr>
      <w:r w:rsidRPr="00FC5566">
        <w:rPr>
          <w:b/>
          <w:noProof/>
        </w:rPr>
        <w:t>Department of Health</w:t>
      </w:r>
    </w:p>
    <w:p w14:paraId="5CBBB2EE" w14:textId="77777777" w:rsidR="00FC5566" w:rsidRPr="00FC5566" w:rsidRDefault="00FC5566" w:rsidP="00FC5566">
      <w:pPr>
        <w:keepNext/>
        <w:jc w:val="center"/>
        <w:rPr>
          <w:b/>
          <w:noProof/>
        </w:rPr>
      </w:pPr>
      <w:r w:rsidRPr="00FC5566">
        <w:rPr>
          <w:b/>
          <w:noProof/>
        </w:rPr>
        <w:t>Bureau of Health Services Financing</w:t>
      </w:r>
    </w:p>
    <w:p w14:paraId="27CC2FCD" w14:textId="77777777" w:rsidR="00FC5566" w:rsidRPr="00FC5566" w:rsidRDefault="00FC5566" w:rsidP="00FC5566">
      <w:pPr>
        <w:keepNext/>
        <w:spacing w:before="240" w:after="240"/>
        <w:jc w:val="center"/>
        <w:rPr>
          <w:rFonts w:cs="Courier New"/>
          <w:noProof/>
        </w:rPr>
      </w:pPr>
      <w:r w:rsidRPr="00FC5566">
        <w:rPr>
          <w:noProof/>
        </w:rPr>
        <w:t>Eligibility Factors—Citizenship</w:t>
      </w:r>
      <w:r w:rsidRPr="00FC5566">
        <w:rPr>
          <w:noProof/>
        </w:rPr>
        <w:br/>
      </w:r>
      <w:r w:rsidRPr="00FC5566">
        <w:rPr>
          <w:rFonts w:cs="Courier New"/>
          <w:noProof/>
        </w:rPr>
        <w:t>(LAC 50:III.2523)</w:t>
      </w:r>
    </w:p>
    <w:p w14:paraId="5F528F0E"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 xml:space="preserve">The Department of Health, Bureau of Health Services Financing has amended LAC 50:III.2523 in the Medical Assistance Program as authorized by R.S. 36:254 and pursuant to Title XIX of the Social Security Act. This Rule is promulgated in accordance with the provisions of the Administrative Procedure Act, R.S. 49:950 et seq. This Rule is hereby adopted on the day of promulgation. </w:t>
      </w:r>
    </w:p>
    <w:p w14:paraId="7D470624" w14:textId="77777777" w:rsidR="00FC5566" w:rsidRPr="00FC5566" w:rsidRDefault="00FC5566" w:rsidP="00FC5566">
      <w:pPr>
        <w:keepNext/>
        <w:jc w:val="center"/>
        <w:rPr>
          <w:b/>
          <w:kern w:val="28"/>
        </w:rPr>
      </w:pPr>
      <w:r w:rsidRPr="00FC5566">
        <w:rPr>
          <w:b/>
          <w:kern w:val="28"/>
        </w:rPr>
        <w:t>Title 50</w:t>
      </w:r>
    </w:p>
    <w:p w14:paraId="28C38F29" w14:textId="77777777" w:rsidR="00FC5566" w:rsidRPr="00FC5566" w:rsidRDefault="00FC5566" w:rsidP="00FC5566">
      <w:pPr>
        <w:keepNext/>
        <w:jc w:val="center"/>
        <w:rPr>
          <w:b/>
          <w:kern w:val="28"/>
        </w:rPr>
      </w:pPr>
      <w:r w:rsidRPr="00FC5566">
        <w:rPr>
          <w:b/>
          <w:kern w:val="28"/>
        </w:rPr>
        <w:t>PUBLIC HEALTH—MEDICAL ASSISTANCE</w:t>
      </w:r>
    </w:p>
    <w:p w14:paraId="7157E9F0" w14:textId="77777777" w:rsidR="00FC5566" w:rsidRPr="00FC5566" w:rsidRDefault="00FC5566" w:rsidP="00FC5566">
      <w:pPr>
        <w:keepNext/>
        <w:jc w:val="center"/>
        <w:rPr>
          <w:b/>
          <w:noProof/>
        </w:rPr>
      </w:pPr>
      <w:r w:rsidRPr="00FC5566">
        <w:rPr>
          <w:b/>
          <w:noProof/>
        </w:rPr>
        <w:t>Part III.  Eligibility</w:t>
      </w:r>
    </w:p>
    <w:p w14:paraId="54B6986B" w14:textId="77777777" w:rsidR="00FC5566" w:rsidRPr="00FC5566" w:rsidRDefault="00FC5566" w:rsidP="00FC5566">
      <w:pPr>
        <w:keepNext/>
        <w:jc w:val="center"/>
        <w:rPr>
          <w:b/>
          <w:noProof/>
        </w:rPr>
      </w:pPr>
      <w:r w:rsidRPr="00FC5566">
        <w:rPr>
          <w:b/>
          <w:noProof/>
        </w:rPr>
        <w:t>Subpart 3.  Eligibility Groups and Factors</w:t>
      </w:r>
    </w:p>
    <w:p w14:paraId="7C022100"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Chapter 25.</w:t>
      </w:r>
      <w:r w:rsidRPr="00FC5566">
        <w:rPr>
          <w:b/>
          <w:kern w:val="2"/>
        </w:rPr>
        <w:tab/>
        <w:t>Eligibility Factors</w:t>
      </w:r>
    </w:p>
    <w:p w14:paraId="78B8FEEC"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§2523.</w:t>
      </w:r>
      <w:r w:rsidRPr="00FC5566">
        <w:rPr>
          <w:b/>
          <w:kern w:val="2"/>
        </w:rPr>
        <w:tab/>
        <w:t>Citizenship</w:t>
      </w:r>
    </w:p>
    <w:p w14:paraId="6C18A2BC"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Citizenship or Satisfactory Immigration Status</w:t>
      </w:r>
    </w:p>
    <w:p w14:paraId="08280202"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 xml:space="preserve">The department hereby adopts criteria for the coverage of qualified non-citizens pursuant to the provisions of §401 of the Personal and Work Opportunity Act of 1996 (P.L. 104-193) as amended by the Balanced Budget Act of 1997 (P.L. 105-33). For purposes of this Part, the term </w:t>
      </w:r>
      <w:r w:rsidRPr="00FC5566">
        <w:rPr>
          <w:i/>
          <w:iCs/>
          <w:kern w:val="2"/>
        </w:rPr>
        <w:t>qualified non</w:t>
      </w:r>
      <w:r w:rsidRPr="00FC5566">
        <w:rPr>
          <w:i/>
          <w:iCs/>
          <w:kern w:val="2"/>
        </w:rPr>
        <w:noBreakHyphen/>
        <w:t>citizens</w:t>
      </w:r>
      <w:r w:rsidRPr="00FC5566">
        <w:rPr>
          <w:kern w:val="2"/>
        </w:rPr>
        <w:t xml:space="preserve"> shall have the same meaning as the term </w:t>
      </w:r>
      <w:r w:rsidRPr="00FC5566">
        <w:rPr>
          <w:i/>
          <w:iCs/>
          <w:kern w:val="2"/>
        </w:rPr>
        <w:t xml:space="preserve">qualified alien </w:t>
      </w:r>
      <w:r w:rsidRPr="00FC5566">
        <w:rPr>
          <w:kern w:val="2"/>
        </w:rPr>
        <w:t>as set forth in 8 USC §</w:t>
      </w:r>
      <w:r w:rsidRPr="00FC5566">
        <w:rPr>
          <w:rFonts w:ascii="Cambria Math" w:hAnsi="Cambria Math" w:cs="Cambria Math"/>
          <w:kern w:val="2"/>
        </w:rPr>
        <w:t> </w:t>
      </w:r>
      <w:r w:rsidRPr="00FC5566">
        <w:rPr>
          <w:kern w:val="2"/>
        </w:rPr>
        <w:t>1641(b).</w:t>
      </w:r>
    </w:p>
    <w:p w14:paraId="01E1B603"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 xml:space="preserve">Effective October 1, 2026, Sections 1903 (v)(5) and 2107(e)(1)(R) of the Social Security Act, as amended by Section 71109 of the Budget Reconciliation Act of 2025 (P.L. 119-21), limits federal financial participation (FFP) for full-benefit Medicaid coverage. Medicaid eligibility is limited to individuals who meet all other eligibility requirements and who are among the classes eligible for FFP pursuant to 42 USC §1396b(v)(5). </w:t>
      </w:r>
    </w:p>
    <w:p w14:paraId="4B1035CE"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The department provides Medicaid coverage to qualified non-citizens who were present in the United States before August 22, 1996, if federal law authorizes FFP and the individual meets all eligibility criteria.</w:t>
      </w:r>
    </w:p>
    <w:p w14:paraId="47ECF9D4"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w:t>
      </w:r>
      <w:r w:rsidRPr="00FC5566">
        <w:rPr>
          <w:kern w:val="2"/>
        </w:rPr>
        <w:tab/>
        <w:t>Qualified non-citizens entering the United States on or after August 22, 1996, are not eligible for Medicaid coverage until five years after entry into the United States.</w:t>
      </w:r>
    </w:p>
    <w:p w14:paraId="69390A43" w14:textId="77777777" w:rsidR="00FC5566" w:rsidRPr="00FC5566" w:rsidRDefault="00FC5566" w:rsidP="00FC5566">
      <w:pPr>
        <w:tabs>
          <w:tab w:val="left" w:pos="907"/>
        </w:tabs>
        <w:ind w:firstLine="547"/>
        <w:jc w:val="both"/>
        <w:outlineLvl w:val="5"/>
        <w:rPr>
          <w:kern w:val="2"/>
        </w:rPr>
      </w:pPr>
      <w:r w:rsidRPr="00FC5566">
        <w:rPr>
          <w:kern w:val="2"/>
        </w:rPr>
        <w:t>a.</w:t>
      </w:r>
      <w:r w:rsidRPr="00FC5566">
        <w:rPr>
          <w:kern w:val="2"/>
        </w:rPr>
        <w:tab/>
        <w:t>Such qualified non-citizens are eligible for emergency services only.</w:t>
      </w:r>
    </w:p>
    <w:p w14:paraId="4C4B9AC9" w14:textId="77777777" w:rsidR="00FC5566" w:rsidRPr="00FC5566" w:rsidRDefault="00FC5566" w:rsidP="00FC5566">
      <w:pPr>
        <w:tabs>
          <w:tab w:val="left" w:pos="907"/>
        </w:tabs>
        <w:ind w:firstLine="547"/>
        <w:jc w:val="both"/>
        <w:outlineLvl w:val="5"/>
        <w:rPr>
          <w:kern w:val="2"/>
        </w:rPr>
      </w:pPr>
      <w:r w:rsidRPr="00FC5566">
        <w:rPr>
          <w:kern w:val="2"/>
        </w:rPr>
        <w:t>b.</w:t>
      </w:r>
      <w:r w:rsidRPr="00FC5566">
        <w:rPr>
          <w:kern w:val="2"/>
        </w:rPr>
        <w:tab/>
        <w:t>Upon expiration of the five-year period, coverage for regular Medicaid services shall be considered if federal law authorizes FFP and the qualified non-citizen meets all eligibility criteria of a Medicaid eligibility group.</w:t>
      </w:r>
    </w:p>
    <w:p w14:paraId="0B7DE0D2"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5.</w:t>
      </w:r>
      <w:r w:rsidRPr="00FC5566">
        <w:rPr>
          <w:kern w:val="2"/>
        </w:rPr>
        <w:tab/>
        <w:t>This Section does not restrict coverage for emergency medical services, lawfully residing children, pregnant women under the CHIRPA 214 option, or any other coverage category for which federal law authorizes FFP.</w:t>
      </w:r>
    </w:p>
    <w:p w14:paraId="77269CEC"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36:254 and Title XIX of the Social Security Act.</w:t>
      </w:r>
    </w:p>
    <w:p w14:paraId="1F5EF243"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Health, Bureau of Health Services Financing, LR 45:44 (January 2019), amended LR 52:1348 (August 2026).</w:t>
      </w:r>
    </w:p>
    <w:p w14:paraId="1880B6CE"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Implementation of the provisions of this Rule may be contingent upon the approval of the U.S. Department of Health and Human Services, Centers for Medicare and Medicaid Services (CMS), if it is determined that submission to CMS for review and approval is required.</w:t>
      </w:r>
    </w:p>
    <w:p w14:paraId="1CF1B4BC"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p w14:paraId="7FAF571A" w14:textId="77777777" w:rsidR="00FC5566" w:rsidRPr="00FC5566" w:rsidRDefault="00FC5566" w:rsidP="00FC5566">
      <w:pPr>
        <w:keepNext/>
        <w:ind w:left="2160"/>
        <w:jc w:val="both"/>
      </w:pPr>
      <w:r w:rsidRPr="00FC5566">
        <w:t>Bruce D. Greenstein</w:t>
      </w:r>
    </w:p>
    <w:p w14:paraId="04AD733D" w14:textId="77777777" w:rsidR="00FC5566" w:rsidRPr="00FC5566" w:rsidRDefault="00FC5566" w:rsidP="00FC5566">
      <w:pPr>
        <w:keepNext/>
        <w:ind w:left="2160"/>
        <w:jc w:val="both"/>
      </w:pPr>
      <w:r w:rsidRPr="00FC5566">
        <w:t>Secretary</w:t>
      </w:r>
    </w:p>
    <w:p w14:paraId="0D2AA921" w14:textId="77777777" w:rsidR="00FC5566" w:rsidRPr="00FC5566" w:rsidRDefault="00FC5566" w:rsidP="00FC5566">
      <w:pPr>
        <w:rPr>
          <w:noProof/>
          <w:sz w:val="16"/>
        </w:rPr>
      </w:pPr>
      <w:r w:rsidRPr="00FC5566">
        <w:rPr>
          <w:noProof/>
          <w:sz w:val="16"/>
        </w:rPr>
        <w:t>2608#041</w:t>
      </w:r>
    </w:p>
    <w:p w14:paraId="38A712C8" w14:textId="77777777" w:rsidR="00FC5566" w:rsidRPr="00FC5566" w:rsidRDefault="00FC5566" w:rsidP="00FC5566"/>
    <w:p w14:paraId="7C885A8B" w14:textId="77777777" w:rsidR="00FC5566" w:rsidRPr="00FC5566" w:rsidRDefault="00FC5566" w:rsidP="00FC5566">
      <w:pPr>
        <w:keepNext/>
        <w:tabs>
          <w:tab w:val="left" w:pos="-1440"/>
        </w:tabs>
        <w:spacing w:after="120"/>
        <w:jc w:val="center"/>
        <w:rPr>
          <w:b/>
          <w:noProof/>
        </w:rPr>
      </w:pPr>
      <w:bookmarkStart w:id="263" w:name="_Toc219974367"/>
      <w:r w:rsidRPr="00FC5566">
        <w:rPr>
          <w:b/>
          <w:noProof/>
        </w:rPr>
        <w:t>RULE</w:t>
      </w:r>
    </w:p>
    <w:p w14:paraId="1606892D" w14:textId="77777777" w:rsidR="00FC5566" w:rsidRPr="00FC5566" w:rsidRDefault="00FC5566" w:rsidP="00FC5566">
      <w:pPr>
        <w:keepNext/>
        <w:jc w:val="center"/>
        <w:rPr>
          <w:b/>
          <w:noProof/>
        </w:rPr>
      </w:pPr>
      <w:r w:rsidRPr="00FC5566">
        <w:rPr>
          <w:b/>
          <w:noProof/>
        </w:rPr>
        <w:t>Department of Health</w:t>
      </w:r>
    </w:p>
    <w:p w14:paraId="13C92E6F" w14:textId="77777777" w:rsidR="00FC5566" w:rsidRPr="00FC5566" w:rsidRDefault="00FC5566" w:rsidP="00FC5566">
      <w:pPr>
        <w:keepNext/>
        <w:jc w:val="center"/>
        <w:rPr>
          <w:b/>
          <w:noProof/>
        </w:rPr>
      </w:pPr>
      <w:r w:rsidRPr="00FC5566">
        <w:rPr>
          <w:b/>
          <w:noProof/>
        </w:rPr>
        <w:t>Health Standards Section</w:t>
      </w:r>
    </w:p>
    <w:p w14:paraId="28071CCF" w14:textId="77777777" w:rsidR="00FC5566" w:rsidRPr="00FC5566" w:rsidRDefault="00FC5566" w:rsidP="00FC5566">
      <w:pPr>
        <w:keepNext/>
        <w:spacing w:before="240" w:after="240"/>
        <w:jc w:val="center"/>
        <w:rPr>
          <w:noProof/>
        </w:rPr>
      </w:pPr>
      <w:r w:rsidRPr="00FC5566">
        <w:rPr>
          <w:noProof/>
        </w:rPr>
        <w:t>Healthcare Facility Sanctions</w:t>
      </w:r>
      <w:r w:rsidRPr="00FC5566">
        <w:rPr>
          <w:noProof/>
        </w:rPr>
        <w:br/>
        <w:t>(LAC 48:I.Chapter 46)</w:t>
      </w:r>
    </w:p>
    <w:p w14:paraId="33E90BC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 xml:space="preserve">The Department of Health, Health Standards Section (the department), has amended LAC 48:I.Chapter 46 as authorized by R.S. 36:254, 40:2009.11, 40:2009.23, 40:2199, and 40:2199.1. This Rule is promulgated in accordance with the provisions of the Administrative Procedure Act, R.S. 49:950 et seq. This Rule is hereby adopted on the day of promulgation. </w:t>
      </w:r>
    </w:p>
    <w:p w14:paraId="0E760F04" w14:textId="77777777" w:rsidR="00FC5566" w:rsidRPr="00FC5566" w:rsidRDefault="00FC5566" w:rsidP="00FC5566">
      <w:pPr>
        <w:keepNext/>
        <w:jc w:val="center"/>
        <w:rPr>
          <w:b/>
          <w:kern w:val="28"/>
        </w:rPr>
      </w:pPr>
      <w:r w:rsidRPr="00FC5566">
        <w:rPr>
          <w:b/>
          <w:kern w:val="28"/>
        </w:rPr>
        <w:t>Title 48</w:t>
      </w:r>
    </w:p>
    <w:p w14:paraId="622ABCA1" w14:textId="77777777" w:rsidR="00FC5566" w:rsidRPr="00FC5566" w:rsidRDefault="00FC5566" w:rsidP="00FC5566">
      <w:pPr>
        <w:keepNext/>
        <w:jc w:val="center"/>
        <w:rPr>
          <w:b/>
          <w:kern w:val="28"/>
        </w:rPr>
      </w:pPr>
      <w:r w:rsidRPr="00FC5566">
        <w:rPr>
          <w:b/>
          <w:kern w:val="28"/>
        </w:rPr>
        <w:t>PUBLIC HEALTH—GENERAL</w:t>
      </w:r>
    </w:p>
    <w:p w14:paraId="1C9364D3" w14:textId="77777777" w:rsidR="00FC5566" w:rsidRPr="00FC5566" w:rsidRDefault="00FC5566" w:rsidP="00FC5566">
      <w:pPr>
        <w:keepNext/>
        <w:jc w:val="center"/>
        <w:rPr>
          <w:b/>
          <w:noProof/>
        </w:rPr>
      </w:pPr>
      <w:r w:rsidRPr="00FC5566">
        <w:rPr>
          <w:b/>
          <w:noProof/>
        </w:rPr>
        <w:t>Part I.  General Administration</w:t>
      </w:r>
    </w:p>
    <w:p w14:paraId="5D8FC18D" w14:textId="77777777" w:rsidR="00FC5566" w:rsidRPr="00FC5566" w:rsidRDefault="00FC5566" w:rsidP="00FC5566">
      <w:pPr>
        <w:keepNext/>
        <w:jc w:val="center"/>
        <w:rPr>
          <w:b/>
          <w:noProof/>
        </w:rPr>
      </w:pPr>
      <w:r w:rsidRPr="00FC5566">
        <w:rPr>
          <w:b/>
          <w:noProof/>
        </w:rPr>
        <w:t>Subpart 3.  Licensing and Certification</w:t>
      </w:r>
    </w:p>
    <w:p w14:paraId="6F012253"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Chapter 46.</w:t>
      </w:r>
      <w:r w:rsidRPr="00FC5566">
        <w:rPr>
          <w:b/>
          <w:kern w:val="2"/>
        </w:rPr>
        <w:tab/>
        <w:t>Healthcare Facility Sanctions</w:t>
      </w:r>
      <w:bookmarkEnd w:id="263"/>
    </w:p>
    <w:p w14:paraId="198EBDC5"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264" w:name="_Toc409522673"/>
      <w:bookmarkStart w:id="265" w:name="_Toc219974368"/>
      <w:r w:rsidRPr="00FC5566">
        <w:rPr>
          <w:b/>
          <w:kern w:val="2"/>
        </w:rPr>
        <w:t>Subchapter A.</w:t>
      </w:r>
      <w:r w:rsidRPr="00FC5566">
        <w:rPr>
          <w:b/>
          <w:kern w:val="2"/>
        </w:rPr>
        <w:tab/>
        <w:t>General Provisions</w:t>
      </w:r>
      <w:bookmarkEnd w:id="264"/>
      <w:bookmarkEnd w:id="265"/>
    </w:p>
    <w:p w14:paraId="1412EC89"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66" w:name="_Toc409522675"/>
      <w:bookmarkStart w:id="267" w:name="_Toc219974370"/>
      <w:r w:rsidRPr="00FC5566">
        <w:rPr>
          <w:b/>
          <w:kern w:val="2"/>
        </w:rPr>
        <w:t>§4603.</w:t>
      </w:r>
      <w:r w:rsidRPr="00FC5566">
        <w:rPr>
          <w:b/>
          <w:kern w:val="2"/>
        </w:rPr>
        <w:tab/>
        <w:t>Definitions</w:t>
      </w:r>
      <w:bookmarkEnd w:id="266"/>
      <w:bookmarkEnd w:id="267"/>
    </w:p>
    <w:p w14:paraId="3508FF90"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FC5566">
        <w:rPr>
          <w:kern w:val="2"/>
        </w:rPr>
        <w:t>* * *</w:t>
      </w:r>
    </w:p>
    <w:p w14:paraId="35410F3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i/>
          <w:kern w:val="2"/>
        </w:rPr>
        <w:t>Class C Violation—</w:t>
      </w:r>
      <w:r w:rsidRPr="00FC5566">
        <w:rPr>
          <w:kern w:val="2"/>
        </w:rPr>
        <w:t>a violation of a rule or regulation in which a condition or occurrence relating to the maintenance and/or operation of a facility creates a potential for harm by directly threatening the health, safety, or welfare of the resident(s), patient(s) or client(s). Examples of class C violations include, but are not limited to</w:t>
      </w:r>
      <w:r w:rsidRPr="00FC5566">
        <w:rPr>
          <w:i/>
          <w:kern w:val="2"/>
        </w:rPr>
        <w:t>:</w:t>
      </w:r>
    </w:p>
    <w:p w14:paraId="1BF11A34"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 - 6.</w:t>
      </w:r>
      <w:r w:rsidRPr="00FC5566">
        <w:rPr>
          <w:kern w:val="2"/>
        </w:rPr>
        <w:tab/>
        <w:t>...</w:t>
      </w:r>
    </w:p>
    <w:p w14:paraId="0B870E57"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7.</w:t>
      </w:r>
      <w:r w:rsidRPr="00FC5566">
        <w:rPr>
          <w:kern w:val="2"/>
        </w:rPr>
        <w:tab/>
        <w:t>failure of a regulated entity to display on its premises at least one signage addressing workplace violence, which is at least 18 inches tall by 18 inches wide and written in the English language with letters that are not less than one-square-inch in size, in a conspicuous location in a publicly accessible area;</w:t>
      </w:r>
    </w:p>
    <w:p w14:paraId="573DE417"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8. - 12.</w:t>
      </w:r>
      <w:r w:rsidRPr="00FC5566">
        <w:rPr>
          <w:kern w:val="2"/>
        </w:rPr>
        <w:tab/>
        <w:t>...</w:t>
      </w:r>
    </w:p>
    <w:p w14:paraId="7C6420F1"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FC5566">
        <w:rPr>
          <w:kern w:val="2"/>
        </w:rPr>
        <w:t>* * *</w:t>
      </w:r>
    </w:p>
    <w:p w14:paraId="2850AE8B"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i/>
          <w:kern w:val="2"/>
        </w:rPr>
        <w:t>Desk Review</w:t>
      </w:r>
      <w:r w:rsidRPr="00FC5566">
        <w:rPr>
          <w:kern w:val="2"/>
        </w:rPr>
        <w:sym w:font="Symbol" w:char="F0BE"/>
      </w:r>
      <w:r w:rsidRPr="00FC5566">
        <w:rPr>
          <w:kern w:val="2"/>
        </w:rPr>
        <w:t>the department’s procedure for conducting administrative reconsiderations of sanctions.</w:t>
      </w:r>
    </w:p>
    <w:p w14:paraId="3A44E10A"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FC5566">
        <w:rPr>
          <w:kern w:val="2"/>
        </w:rPr>
        <w:t>* * *</w:t>
      </w:r>
    </w:p>
    <w:p w14:paraId="7F7A0E9A"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40:2009.11, 40:2009.23, 40:2199 and 40:2199.1.</w:t>
      </w:r>
    </w:p>
    <w:p w14:paraId="088F1F3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br w:type="page"/>
      </w:r>
    </w:p>
    <w:p w14:paraId="75AD186E"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lastRenderedPageBreak/>
        <w:t>HISTORICAL NOTE:</w:t>
      </w:r>
      <w:r w:rsidRPr="00FC5566">
        <w:rPr>
          <w:kern w:val="2"/>
          <w:sz w:val="18"/>
        </w:rPr>
        <w:tab/>
        <w:t>Promulgated by the Department of Health and Hospitals, Bureau of Health Services Financing, LR 39:3077 (November 2013), amended by the Department of Health, Bureau of Health Services Financing, LR 49:1215 (July 2023), amended by the Department of Health, Health Standards Section, LR 51:72 (January 2025), LR 52:1348 (August 2026).</w:t>
      </w:r>
    </w:p>
    <w:p w14:paraId="0C8F2E8C"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268" w:name="_Toc409522676"/>
      <w:bookmarkStart w:id="269" w:name="_Toc219974371"/>
      <w:r w:rsidRPr="00FC5566">
        <w:rPr>
          <w:b/>
          <w:kern w:val="2"/>
        </w:rPr>
        <w:t>Subchapter B.</w:t>
      </w:r>
      <w:r w:rsidRPr="00FC5566">
        <w:rPr>
          <w:b/>
          <w:kern w:val="2"/>
        </w:rPr>
        <w:tab/>
        <w:t>Sanctions and Standards for the Imposition of Sanctions</w:t>
      </w:r>
      <w:bookmarkEnd w:id="268"/>
      <w:bookmarkEnd w:id="269"/>
    </w:p>
    <w:p w14:paraId="6BF96AA0"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70" w:name="_Toc409522678"/>
      <w:bookmarkStart w:id="271" w:name="_Toc219974373"/>
      <w:r w:rsidRPr="00FC5566">
        <w:rPr>
          <w:b/>
          <w:kern w:val="2"/>
        </w:rPr>
        <w:t>§4613.</w:t>
      </w:r>
      <w:r w:rsidRPr="00FC5566">
        <w:rPr>
          <w:b/>
          <w:kern w:val="2"/>
        </w:rPr>
        <w:tab/>
        <w:t>Civil Fines</w:t>
      </w:r>
      <w:bookmarkEnd w:id="270"/>
      <w:bookmarkEnd w:id="271"/>
    </w:p>
    <w:p w14:paraId="5A7C7E0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B.2.</w:t>
      </w:r>
      <w:r w:rsidRPr="00FC5566">
        <w:rPr>
          <w:kern w:val="2"/>
        </w:rPr>
        <w:tab/>
        <w:t>...</w:t>
      </w:r>
    </w:p>
    <w:p w14:paraId="74FC915C"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Class C Violations</w:t>
      </w:r>
    </w:p>
    <w:p w14:paraId="1861720E"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w:t>
      </w:r>
    </w:p>
    <w:p w14:paraId="6D6151D5"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A facility may elect to pay 50 percent of the civil fine imposed for a class C violation in exchange for waiving its right to an administrative reconsideration and appeal if it submits, and the department receives the following within 30 days of the facility’s receipt of the civil fine notice:</w:t>
      </w:r>
    </w:p>
    <w:p w14:paraId="498D54E9"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C.2.a. - D.1.</w:t>
      </w:r>
      <w:r w:rsidRPr="00FC5566">
        <w:rPr>
          <w:kern w:val="2"/>
        </w:rPr>
        <w:tab/>
        <w:t>...</w:t>
      </w:r>
    </w:p>
    <w:p w14:paraId="4DFF4449"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E.</w:t>
      </w:r>
      <w:r w:rsidRPr="00FC5566">
        <w:rPr>
          <w:kern w:val="2"/>
        </w:rPr>
        <w:tab/>
        <w:t>Class E Violations</w:t>
      </w:r>
    </w:p>
    <w:p w14:paraId="54EB95F6"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Civil fines for class E violations shall not exceed $50 for the first violation and shall not exceed $100 per day for repeat violations.</w:t>
      </w:r>
    </w:p>
    <w:p w14:paraId="6CE4D85B"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F. - F.2.</w:t>
      </w:r>
      <w:r w:rsidRPr="00FC5566">
        <w:rPr>
          <w:kern w:val="2"/>
        </w:rPr>
        <w:tab/>
        <w:t>...</w:t>
      </w:r>
    </w:p>
    <w:p w14:paraId="224CFAAB"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40:2009.11, 40:2009.23, 40:2199 and 40:2199.1.</w:t>
      </w:r>
    </w:p>
    <w:p w14:paraId="7E394344"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Health and Hospitals, Bureau of Health Services Financing, LR 39:3079 (November 2013), amended by the Department of Health, Bureau of Health Services Financing, LR 49:1217 (July 2023), amended by the Department of Health, Health Standards Section, LR 52:1349 (August 2026).</w:t>
      </w:r>
    </w:p>
    <w:p w14:paraId="75D67D0A"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272" w:name="_Toc409522688"/>
      <w:bookmarkStart w:id="273" w:name="_Toc219974383"/>
      <w:r w:rsidRPr="00FC5566">
        <w:rPr>
          <w:b/>
          <w:kern w:val="2"/>
        </w:rPr>
        <w:t>Subchapter C.</w:t>
      </w:r>
      <w:r w:rsidRPr="00FC5566">
        <w:rPr>
          <w:b/>
          <w:kern w:val="2"/>
        </w:rPr>
        <w:tab/>
        <w:t>Notice and Appeals</w:t>
      </w:r>
      <w:bookmarkEnd w:id="272"/>
      <w:bookmarkEnd w:id="273"/>
    </w:p>
    <w:p w14:paraId="4087D3DB"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74" w:name="_Toc409522689"/>
      <w:bookmarkStart w:id="275" w:name="_Toc219974384"/>
      <w:r w:rsidRPr="00FC5566">
        <w:rPr>
          <w:b/>
          <w:kern w:val="2"/>
        </w:rPr>
        <w:t>§4641.</w:t>
      </w:r>
      <w:r w:rsidRPr="00FC5566">
        <w:rPr>
          <w:b/>
          <w:kern w:val="2"/>
        </w:rPr>
        <w:tab/>
        <w:t>Notice of Sanctions and Appeals</w:t>
      </w:r>
      <w:bookmarkEnd w:id="274"/>
      <w:bookmarkEnd w:id="275"/>
    </w:p>
    <w:p w14:paraId="35D74FB3"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B.6.</w:t>
      </w:r>
      <w:r w:rsidRPr="00FC5566">
        <w:rPr>
          <w:kern w:val="2"/>
        </w:rPr>
        <w:tab/>
        <w:t>...</w:t>
      </w:r>
    </w:p>
    <w:p w14:paraId="20196962"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Waivers. When a civil fine for a class C violation is imposed, the facility may choose to waive its right to an administrative reconsideration and appeal hearing in exchange for paying 50 percent of the fine by submitting the waiver and payment to the department within 30 days of receipt of the notice imposing the civil fine.</w:t>
      </w:r>
    </w:p>
    <w:p w14:paraId="09ECA8E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D.</w:t>
      </w:r>
      <w:r w:rsidRPr="00FC5566">
        <w:rPr>
          <w:kern w:val="2"/>
        </w:rPr>
        <w:tab/>
        <w:t>Administrative Reconsideration. The facility may request an administrative reconsideration of the department’s decision to impose a sanction.</w:t>
      </w:r>
    </w:p>
    <w:p w14:paraId="5718404B"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The facility’s request for an administrative reconsideration must:</w:t>
      </w:r>
    </w:p>
    <w:p w14:paraId="586754B0" w14:textId="77777777" w:rsidR="00FC5566" w:rsidRPr="00FC5566" w:rsidRDefault="00FC5566" w:rsidP="00FC5566">
      <w:pPr>
        <w:tabs>
          <w:tab w:val="left" w:pos="907"/>
        </w:tabs>
        <w:ind w:firstLine="547"/>
        <w:jc w:val="both"/>
        <w:outlineLvl w:val="5"/>
        <w:rPr>
          <w:kern w:val="2"/>
        </w:rPr>
      </w:pPr>
      <w:r w:rsidRPr="00FC5566">
        <w:rPr>
          <w:kern w:val="2"/>
        </w:rPr>
        <w:t>a.</w:t>
      </w:r>
      <w:r w:rsidRPr="00FC5566">
        <w:rPr>
          <w:kern w:val="2"/>
        </w:rPr>
        <w:tab/>
        <w:t>...</w:t>
      </w:r>
    </w:p>
    <w:p w14:paraId="0F28BCCE" w14:textId="77777777" w:rsidR="00FC5566" w:rsidRPr="00FC5566" w:rsidRDefault="00FC5566" w:rsidP="00FC5566">
      <w:pPr>
        <w:tabs>
          <w:tab w:val="left" w:pos="907"/>
        </w:tabs>
        <w:ind w:firstLine="547"/>
        <w:jc w:val="both"/>
        <w:outlineLvl w:val="5"/>
        <w:rPr>
          <w:kern w:val="2"/>
        </w:rPr>
      </w:pPr>
      <w:r w:rsidRPr="00FC5566">
        <w:rPr>
          <w:kern w:val="2"/>
        </w:rPr>
        <w:t>b.</w:t>
      </w:r>
      <w:r w:rsidRPr="00FC5566">
        <w:rPr>
          <w:kern w:val="2"/>
        </w:rPr>
        <w:tab/>
        <w:t>be received by the department within 10 calendar days of the provider’s receipt of the notice of the imposition of the sanction; and</w:t>
      </w:r>
    </w:p>
    <w:p w14:paraId="28DFEEA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D.1.c. - E.</w:t>
      </w:r>
      <w:r w:rsidRPr="00FC5566">
        <w:rPr>
          <w:kern w:val="2"/>
        </w:rPr>
        <w:tab/>
        <w:t>...</w:t>
      </w:r>
    </w:p>
    <w:p w14:paraId="31D3188B"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40:2009.11, 40:2009.23, 40:2199 and 40:2199.1.</w:t>
      </w:r>
    </w:p>
    <w:p w14:paraId="0A6155DB"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Health and Hospitals, Bureau of Health Services Financ</w:t>
      </w:r>
      <w:bookmarkStart w:id="276" w:name="_Toc409522690"/>
      <w:bookmarkStart w:id="277" w:name="_Toc219974385"/>
      <w:r w:rsidRPr="00FC5566">
        <w:rPr>
          <w:kern w:val="2"/>
          <w:sz w:val="18"/>
        </w:rPr>
        <w:t>ing, LR 39:3083 (November 2013), amended by the Department of Health, Health Standards Section, LR 52:1349 (August 2026).</w:t>
      </w:r>
      <w:bookmarkEnd w:id="276"/>
      <w:bookmarkEnd w:id="277"/>
    </w:p>
    <w:p w14:paraId="53275F5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p w14:paraId="28826474" w14:textId="77777777" w:rsidR="00FC5566" w:rsidRPr="00FC5566" w:rsidRDefault="00FC5566" w:rsidP="00FC5566">
      <w:pPr>
        <w:keepNext/>
        <w:ind w:left="2160"/>
        <w:jc w:val="both"/>
      </w:pPr>
      <w:r w:rsidRPr="00FC5566">
        <w:t>Bruce D. Greenstein</w:t>
      </w:r>
    </w:p>
    <w:p w14:paraId="2D547EAC" w14:textId="77777777" w:rsidR="00FC5566" w:rsidRPr="00FC5566" w:rsidRDefault="00FC5566" w:rsidP="00FC5566">
      <w:pPr>
        <w:keepNext/>
        <w:ind w:left="2160"/>
        <w:jc w:val="both"/>
      </w:pPr>
      <w:r w:rsidRPr="00FC5566">
        <w:t>Secretary</w:t>
      </w:r>
    </w:p>
    <w:p w14:paraId="1D8C5FBB" w14:textId="77777777" w:rsidR="00FC5566" w:rsidRPr="00FC5566" w:rsidRDefault="00FC5566" w:rsidP="00FC5566">
      <w:pPr>
        <w:rPr>
          <w:noProof/>
          <w:sz w:val="16"/>
        </w:rPr>
      </w:pPr>
      <w:r w:rsidRPr="00FC5566">
        <w:rPr>
          <w:noProof/>
          <w:sz w:val="16"/>
        </w:rPr>
        <w:t>2608#053</w:t>
      </w:r>
    </w:p>
    <w:p w14:paraId="2D415B35" w14:textId="77777777" w:rsidR="00FC5566" w:rsidRPr="00FC5566" w:rsidRDefault="00FC5566" w:rsidP="00FC5566"/>
    <w:p w14:paraId="3F54C4AA" w14:textId="77777777" w:rsidR="00FC5566" w:rsidRPr="00FC5566" w:rsidRDefault="00FC5566" w:rsidP="00FC5566"/>
    <w:p w14:paraId="32098161" w14:textId="77777777" w:rsidR="00FC5566" w:rsidRPr="00FC5566" w:rsidRDefault="00FC5566" w:rsidP="00FC5566">
      <w:pPr>
        <w:keepNext/>
        <w:tabs>
          <w:tab w:val="left" w:pos="-1440"/>
        </w:tabs>
        <w:spacing w:after="120"/>
        <w:jc w:val="center"/>
        <w:rPr>
          <w:b/>
          <w:noProof/>
        </w:rPr>
      </w:pPr>
      <w:r w:rsidRPr="00FC5566">
        <w:rPr>
          <w:b/>
          <w:noProof/>
        </w:rPr>
        <w:t>RULE</w:t>
      </w:r>
    </w:p>
    <w:p w14:paraId="31B534FD" w14:textId="77777777" w:rsidR="00FC5566" w:rsidRPr="00FC5566" w:rsidRDefault="00FC5566" w:rsidP="00FC5566">
      <w:pPr>
        <w:keepNext/>
        <w:jc w:val="center"/>
        <w:rPr>
          <w:b/>
          <w:noProof/>
        </w:rPr>
      </w:pPr>
      <w:r w:rsidRPr="00FC5566">
        <w:rPr>
          <w:b/>
          <w:noProof/>
        </w:rPr>
        <w:t>Department of Health</w:t>
      </w:r>
    </w:p>
    <w:p w14:paraId="0FBEA415" w14:textId="77777777" w:rsidR="00FC5566" w:rsidRPr="00FC5566" w:rsidRDefault="00FC5566" w:rsidP="00FC5566">
      <w:pPr>
        <w:keepNext/>
        <w:jc w:val="center"/>
        <w:rPr>
          <w:b/>
          <w:noProof/>
        </w:rPr>
      </w:pPr>
      <w:r w:rsidRPr="00FC5566">
        <w:rPr>
          <w:b/>
          <w:noProof/>
        </w:rPr>
        <w:t>Licensed Professional Counselors Board of Examiners</w:t>
      </w:r>
    </w:p>
    <w:p w14:paraId="1FA968C3" w14:textId="77777777" w:rsidR="00FC5566" w:rsidRPr="00FC5566" w:rsidRDefault="00FC5566" w:rsidP="00FC5566">
      <w:pPr>
        <w:keepNext/>
        <w:spacing w:before="240" w:after="240"/>
        <w:jc w:val="center"/>
        <w:rPr>
          <w:noProof/>
        </w:rPr>
      </w:pPr>
      <w:r w:rsidRPr="00FC5566">
        <w:rPr>
          <w:noProof/>
        </w:rPr>
        <w:t xml:space="preserve">Board Meetings, Procedures, Records, Powers and Duties </w:t>
      </w:r>
      <w:bookmarkStart w:id="278" w:name="_Hlk210906208"/>
      <w:r w:rsidRPr="00FC5566">
        <w:rPr>
          <w:noProof/>
        </w:rPr>
        <w:t>(LAC 46:LX.</w:t>
      </w:r>
      <w:bookmarkEnd w:id="278"/>
      <w:r w:rsidRPr="00FC5566">
        <w:rPr>
          <w:noProof/>
        </w:rPr>
        <w:t>Chapter 3)</w:t>
      </w:r>
    </w:p>
    <w:p w14:paraId="4124BDFB"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 xml:space="preserve">In accordance with the applicable provisions of the Louisiana Administrative Procedures Act (R.S.49:950 et seq.) and through the authority of the Mental Health Counselor Licensing Act (R.S. 37:1101 et seq.), the Licensed Professional Counselors Board of Examiners has made rule changes to remove redundant or outdated language that duplicates provisions already established in statute. The revisions ensure consistency with current statutory requirements and Executive Order JML 25-38. This Rule is hereby adopted on the day of promulgation. </w:t>
      </w:r>
    </w:p>
    <w:p w14:paraId="3999286A" w14:textId="77777777" w:rsidR="00FC5566" w:rsidRPr="00FC5566" w:rsidRDefault="00FC5566" w:rsidP="00FC5566">
      <w:pPr>
        <w:keepNext/>
        <w:jc w:val="center"/>
        <w:rPr>
          <w:b/>
          <w:kern w:val="28"/>
        </w:rPr>
      </w:pPr>
      <w:r w:rsidRPr="00FC5566">
        <w:rPr>
          <w:b/>
          <w:kern w:val="28"/>
        </w:rPr>
        <w:t>Title 46</w:t>
      </w:r>
    </w:p>
    <w:p w14:paraId="43B0495E" w14:textId="77777777" w:rsidR="00FC5566" w:rsidRPr="00FC5566" w:rsidRDefault="00FC5566" w:rsidP="00FC5566">
      <w:pPr>
        <w:keepNext/>
        <w:jc w:val="center"/>
        <w:rPr>
          <w:b/>
          <w:kern w:val="28"/>
        </w:rPr>
      </w:pPr>
      <w:r w:rsidRPr="00FC5566">
        <w:rPr>
          <w:b/>
          <w:kern w:val="28"/>
        </w:rPr>
        <w:t xml:space="preserve">PROFESSIONAL AND OCCUPATIONAL STANDARDS </w:t>
      </w:r>
    </w:p>
    <w:p w14:paraId="5CFB7356" w14:textId="77777777" w:rsidR="00FC5566" w:rsidRPr="00FC5566" w:rsidRDefault="00FC5566" w:rsidP="00FC5566">
      <w:pPr>
        <w:keepNext/>
        <w:jc w:val="center"/>
        <w:rPr>
          <w:b/>
          <w:noProof/>
        </w:rPr>
      </w:pPr>
      <w:r w:rsidRPr="00FC5566">
        <w:rPr>
          <w:b/>
          <w:noProof/>
        </w:rPr>
        <w:t xml:space="preserve">Part LX.  Professional Counselors </w:t>
      </w:r>
    </w:p>
    <w:p w14:paraId="3584A26E" w14:textId="77777777" w:rsidR="00FC5566" w:rsidRPr="00FC5566" w:rsidRDefault="00FC5566" w:rsidP="00FC5566">
      <w:pPr>
        <w:keepNext/>
        <w:jc w:val="center"/>
        <w:rPr>
          <w:b/>
          <w:noProof/>
        </w:rPr>
      </w:pPr>
      <w:r w:rsidRPr="00FC5566">
        <w:rPr>
          <w:b/>
          <w:noProof/>
        </w:rPr>
        <w:t>Subpart 1.  Licensed Professional Counselors</w:t>
      </w:r>
    </w:p>
    <w:p w14:paraId="3C5816ED"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Chapter 3.</w:t>
      </w:r>
      <w:r w:rsidRPr="00FC5566">
        <w:rPr>
          <w:b/>
          <w:kern w:val="2"/>
        </w:rPr>
        <w:tab/>
        <w:t>Board Meetings, Procedures, Records, Powers and Duties</w:t>
      </w:r>
    </w:p>
    <w:p w14:paraId="1A744815"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§301.</w:t>
      </w:r>
      <w:r w:rsidRPr="00FC5566">
        <w:rPr>
          <w:b/>
          <w:kern w:val="2"/>
        </w:rPr>
        <w:tab/>
        <w:t>Officers</w:t>
      </w:r>
    </w:p>
    <w:p w14:paraId="79FE1A2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Repealed.</w:t>
      </w:r>
    </w:p>
    <w:p w14:paraId="243D4F4A"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37:1101-1122.</w:t>
      </w:r>
    </w:p>
    <w:p w14:paraId="5F17818E"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 xml:space="preserve">Promulgated by the Department of Health and Human Resources, Board of Examiners of Professional Counselors, LR 14:82 (February 1988), amended by the Department of Health and Hospitals, Licensed Professional Counselors Board of Examiners, LR 29:129 (February 2003), LR 39:1782 (July 2013), </w:t>
      </w:r>
      <w:r w:rsidRPr="00FC5566">
        <w:rPr>
          <w:rFonts w:cs="Aptos"/>
          <w:kern w:val="2"/>
          <w:sz w:val="18"/>
        </w:rPr>
        <w:t>repealed LR 52:1349 (August 2026).</w:t>
      </w:r>
    </w:p>
    <w:p w14:paraId="23D1FCDA"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§305.</w:t>
      </w:r>
      <w:r w:rsidRPr="00FC5566">
        <w:rPr>
          <w:b/>
          <w:kern w:val="2"/>
        </w:rPr>
        <w:tab/>
        <w:t>Board Staff</w:t>
      </w:r>
    </w:p>
    <w:p w14:paraId="49DE0FFC"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Repealed.</w:t>
      </w:r>
    </w:p>
    <w:p w14:paraId="671819C0"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37:1101-1122.</w:t>
      </w:r>
    </w:p>
    <w:p w14:paraId="22A0C779"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strike/>
          <w:kern w:val="2"/>
          <w:sz w:val="18"/>
        </w:rPr>
      </w:pPr>
      <w:r w:rsidRPr="00FC5566">
        <w:rPr>
          <w:kern w:val="2"/>
          <w:sz w:val="18"/>
        </w:rPr>
        <w:t>HISTORICAL NOTE:</w:t>
      </w:r>
      <w:r w:rsidRPr="00FC5566">
        <w:rPr>
          <w:kern w:val="2"/>
          <w:sz w:val="18"/>
        </w:rPr>
        <w:tab/>
        <w:t>Promulgated by the Department of Health and Human Resources, Board of Examiners of Professional Counselors, LR 14:82 (February 1988), amended by the Department of Health and Hospitals, Licensed Professional Counselors Board of Examiners, LR 15:544 (July 1989), LR 29:129 (February 2003</w:t>
      </w:r>
      <w:r w:rsidRPr="00FC5566">
        <w:rPr>
          <w:color w:val="000000"/>
          <w:kern w:val="2"/>
          <w:sz w:val="18"/>
        </w:rPr>
        <w:t>)</w:t>
      </w:r>
      <w:r w:rsidRPr="00FC5566">
        <w:rPr>
          <w:rFonts w:cs="Aptos"/>
          <w:color w:val="000000"/>
          <w:kern w:val="2"/>
          <w:sz w:val="18"/>
        </w:rPr>
        <w:t>, repealed LR 52:1349 (August 2026).</w:t>
      </w:r>
    </w:p>
    <w:p w14:paraId="0D1135F1"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§307.</w:t>
      </w:r>
      <w:r w:rsidRPr="00FC5566">
        <w:rPr>
          <w:b/>
          <w:kern w:val="2"/>
        </w:rPr>
        <w:tab/>
        <w:t>Meetings</w:t>
      </w:r>
    </w:p>
    <w:p w14:paraId="684F0EE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color w:val="000000"/>
          <w:kern w:val="2"/>
        </w:rPr>
        <w:t>A.</w:t>
      </w:r>
      <w:r w:rsidRPr="00FC5566">
        <w:rPr>
          <w:kern w:val="2"/>
        </w:rPr>
        <w:tab/>
        <w:t>Open Meetings Via Electronic Means</w:t>
      </w:r>
    </w:p>
    <w:p w14:paraId="3BFAADA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Repealed.</w:t>
      </w:r>
    </w:p>
    <w:p w14:paraId="1AE47FF7"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 - 3.d.</w:t>
      </w:r>
      <w:r w:rsidRPr="00FC5566">
        <w:rPr>
          <w:kern w:val="2"/>
        </w:rPr>
        <w:tab/>
        <w:t>…</w:t>
      </w:r>
    </w:p>
    <w:p w14:paraId="4B0DE538"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37:1101-1123 and Act 393 of the 2023 Regular Session of the Louisiana Legislature.</w:t>
      </w:r>
    </w:p>
    <w:p w14:paraId="6F1F81EA"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color w:val="000000"/>
          <w:kern w:val="2"/>
          <w:sz w:val="18"/>
        </w:rPr>
      </w:pPr>
      <w:r w:rsidRPr="00FC5566">
        <w:rPr>
          <w:kern w:val="2"/>
          <w:sz w:val="18"/>
        </w:rPr>
        <w:t>HISTORICAL NOTE:</w:t>
      </w:r>
      <w:r w:rsidRPr="00FC5566">
        <w:rPr>
          <w:kern w:val="2"/>
          <w:sz w:val="18"/>
        </w:rPr>
        <w:tab/>
        <w:t xml:space="preserve">Promulgated by the Department of Health and Human Resources, Board of Examiners of Professional Counselors, LR 14:82 (February 1988), amended by the Department of Health and Hospitals, Licensed Professional Counselors Board of Examiners, LR 29:129 (February 2003), 39:1782 (July 2013), LR 41:709 (April 2015), amended by the Department of Health, Licensed Professional Counselors Board of Examiners, LR 50:686 (May 2024), </w:t>
      </w:r>
      <w:r w:rsidRPr="00FC5566">
        <w:rPr>
          <w:rFonts w:cs="Aptos"/>
          <w:color w:val="000000"/>
          <w:kern w:val="2"/>
          <w:sz w:val="18"/>
        </w:rPr>
        <w:t>LR 52:1349 (August 2026).</w:t>
      </w:r>
    </w:p>
    <w:p w14:paraId="26C7CF6B"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br w:type="page"/>
      </w:r>
    </w:p>
    <w:p w14:paraId="5A6CF471"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lastRenderedPageBreak/>
        <w:t>§309.</w:t>
      </w:r>
      <w:r w:rsidRPr="00FC5566">
        <w:rPr>
          <w:b/>
          <w:kern w:val="2"/>
        </w:rPr>
        <w:tab/>
        <w:t>Quorum</w:t>
      </w:r>
    </w:p>
    <w:p w14:paraId="20EA723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Repealed.</w:t>
      </w:r>
    </w:p>
    <w:p w14:paraId="5D2C4F51"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37:1101-1123.</w:t>
      </w:r>
    </w:p>
    <w:p w14:paraId="07EBBE21"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Health and Hospitals, Licensed Professional Counselors Board of Examiners, LR 29:129 (February 2003), amended LR 29:2783 (December 2003), LR 41:709 (April 2015</w:t>
      </w:r>
      <w:r w:rsidRPr="00FC5566">
        <w:rPr>
          <w:color w:val="000000"/>
          <w:kern w:val="2"/>
          <w:sz w:val="18"/>
        </w:rPr>
        <w:t>)</w:t>
      </w:r>
      <w:r w:rsidRPr="00FC5566">
        <w:rPr>
          <w:rFonts w:cs="Aptos"/>
          <w:color w:val="000000"/>
          <w:kern w:val="2"/>
          <w:sz w:val="18"/>
        </w:rPr>
        <w:t>, repealed LR 52:1350 (August 2026).</w:t>
      </w:r>
    </w:p>
    <w:p w14:paraId="79E9BA72"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§311.</w:t>
      </w:r>
      <w:r w:rsidRPr="00FC5566">
        <w:rPr>
          <w:b/>
          <w:kern w:val="2"/>
        </w:rPr>
        <w:tab/>
        <w:t>Procedures</w:t>
      </w:r>
    </w:p>
    <w:p w14:paraId="16A2AC0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Repealed.</w:t>
      </w:r>
    </w:p>
    <w:p w14:paraId="79AEC29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37:1101-1122</w:t>
      </w:r>
    </w:p>
    <w:p w14:paraId="406BF538"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Health and Human Resources, Board of Examiners of Professional Counselors, LR 14:83 (February 1988), amended by the Department of Health and Hospitals, Licensed Professional Counselors Board of Examiners, LR 29:129 (February 2003</w:t>
      </w:r>
      <w:r w:rsidRPr="00FC5566">
        <w:rPr>
          <w:color w:val="000000"/>
          <w:kern w:val="2"/>
          <w:sz w:val="18"/>
        </w:rPr>
        <w:t>)</w:t>
      </w:r>
      <w:r w:rsidRPr="00FC5566">
        <w:rPr>
          <w:rFonts w:cs="Aptos"/>
          <w:color w:val="000000"/>
          <w:kern w:val="2"/>
          <w:sz w:val="18"/>
        </w:rPr>
        <w:t>, repealed LR 52:1350 (August 2026).</w:t>
      </w:r>
    </w:p>
    <w:p w14:paraId="08AB4196"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§313.</w:t>
      </w:r>
      <w:r w:rsidRPr="00FC5566">
        <w:rPr>
          <w:b/>
          <w:kern w:val="2"/>
        </w:rPr>
        <w:tab/>
        <w:t>Code of Ethics</w:t>
      </w:r>
    </w:p>
    <w:p w14:paraId="2CFFBB9C"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Repealed.</w:t>
      </w:r>
    </w:p>
    <w:p w14:paraId="69CD184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37:1101-1123.</w:t>
      </w:r>
    </w:p>
    <w:p w14:paraId="7C293601"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 xml:space="preserve">Promulgated by the Department of Health and Human Resources, Board of Examiners of Professional Counselors, LR 14:83 (February 1988), amended by the Department of Health and Hospitals, Licensed Professional Counselors Board of Examiners, LR 22:101 (February 1996), LR 29:130 (February 2003), LR 41:710 (April 2015), </w:t>
      </w:r>
      <w:r w:rsidRPr="00FC5566">
        <w:rPr>
          <w:rFonts w:cs="Aptos"/>
          <w:color w:val="000000"/>
          <w:kern w:val="2"/>
          <w:sz w:val="18"/>
        </w:rPr>
        <w:t>repealed LR 52:1350 (August 2026).</w:t>
      </w:r>
    </w:p>
    <w:p w14:paraId="5409B8E0"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§315.</w:t>
      </w:r>
      <w:r w:rsidRPr="00FC5566">
        <w:rPr>
          <w:b/>
          <w:kern w:val="2"/>
        </w:rPr>
        <w:tab/>
        <w:t>Records of Proceedings</w:t>
      </w:r>
    </w:p>
    <w:p w14:paraId="1406549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Repealed.</w:t>
      </w:r>
    </w:p>
    <w:p w14:paraId="51E848A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37:1101-1123.</w:t>
      </w:r>
    </w:p>
    <w:p w14:paraId="5737E4B1"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 xml:space="preserve">Promulgated by the Department of Health and Human Resources, Board of Examiners of Professional Counselors, LR 14:83 (February 1988), amended by the Department of Health and Hospitals, Licensed Professional Counselors Board of Examiners, LR 29:130 (February 2003), LR 41:710 (April 2015), </w:t>
      </w:r>
      <w:r w:rsidRPr="00FC5566">
        <w:rPr>
          <w:rFonts w:cs="Aptos"/>
          <w:color w:val="000000"/>
          <w:kern w:val="2"/>
          <w:sz w:val="18"/>
        </w:rPr>
        <w:t>repealed LR 52:1350 (August 2026).</w:t>
      </w:r>
    </w:p>
    <w:p w14:paraId="164D32B8"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p w14:paraId="2A9F7D35" w14:textId="77777777" w:rsidR="00FC5566" w:rsidRPr="00FC5566" w:rsidRDefault="00FC5566" w:rsidP="00FC5566">
      <w:pPr>
        <w:keepNext/>
        <w:ind w:left="2160"/>
        <w:jc w:val="both"/>
      </w:pPr>
      <w:r w:rsidRPr="00FC5566">
        <w:t>Jamie S. Doming</w:t>
      </w:r>
    </w:p>
    <w:p w14:paraId="43933538" w14:textId="77777777" w:rsidR="00FC5566" w:rsidRPr="00FC5566" w:rsidRDefault="00FC5566" w:rsidP="00FC5566">
      <w:pPr>
        <w:keepNext/>
        <w:ind w:left="2160"/>
        <w:jc w:val="both"/>
      </w:pPr>
      <w:r w:rsidRPr="00FC5566">
        <w:t>Executive Director</w:t>
      </w:r>
    </w:p>
    <w:p w14:paraId="016D6C74" w14:textId="77777777" w:rsidR="00FC5566" w:rsidRPr="00FC5566" w:rsidRDefault="00FC5566" w:rsidP="00FC5566">
      <w:pPr>
        <w:rPr>
          <w:noProof/>
          <w:sz w:val="16"/>
        </w:rPr>
      </w:pPr>
      <w:r w:rsidRPr="00FC5566">
        <w:rPr>
          <w:noProof/>
          <w:sz w:val="16"/>
        </w:rPr>
        <w:t>2608#037</w:t>
      </w:r>
    </w:p>
    <w:p w14:paraId="5DE66013" w14:textId="77777777" w:rsidR="00FC5566" w:rsidRPr="00FC5566" w:rsidRDefault="00FC5566" w:rsidP="00FC5566"/>
    <w:p w14:paraId="6A00B31C" w14:textId="77777777" w:rsidR="00FC5566" w:rsidRPr="00FC5566" w:rsidRDefault="00FC5566" w:rsidP="00FC5566">
      <w:pPr>
        <w:keepNext/>
        <w:tabs>
          <w:tab w:val="left" w:pos="-1440"/>
        </w:tabs>
        <w:spacing w:after="120"/>
        <w:jc w:val="center"/>
        <w:rPr>
          <w:b/>
          <w:noProof/>
        </w:rPr>
      </w:pPr>
      <w:r w:rsidRPr="00FC5566">
        <w:rPr>
          <w:b/>
          <w:noProof/>
        </w:rPr>
        <w:t>RULE</w:t>
      </w:r>
    </w:p>
    <w:p w14:paraId="37E4284B" w14:textId="77777777" w:rsidR="00FC5566" w:rsidRPr="00FC5566" w:rsidRDefault="00FC5566" w:rsidP="00FC5566">
      <w:pPr>
        <w:keepNext/>
        <w:jc w:val="center"/>
        <w:rPr>
          <w:b/>
          <w:noProof/>
        </w:rPr>
      </w:pPr>
      <w:r w:rsidRPr="00FC5566">
        <w:rPr>
          <w:b/>
          <w:noProof/>
        </w:rPr>
        <w:t>Department of Health</w:t>
      </w:r>
    </w:p>
    <w:p w14:paraId="46EA8708" w14:textId="77777777" w:rsidR="00FC5566" w:rsidRPr="00FC5566" w:rsidRDefault="00FC5566" w:rsidP="00FC5566">
      <w:pPr>
        <w:keepNext/>
        <w:jc w:val="center"/>
        <w:rPr>
          <w:b/>
          <w:noProof/>
        </w:rPr>
      </w:pPr>
      <w:r w:rsidRPr="00FC5566">
        <w:rPr>
          <w:b/>
          <w:noProof/>
        </w:rPr>
        <w:t>Licensed Professional Counselors Board of Examiners</w:t>
      </w:r>
    </w:p>
    <w:p w14:paraId="2E4B2A2E" w14:textId="77777777" w:rsidR="00FC5566" w:rsidRPr="00FC5566" w:rsidRDefault="00FC5566" w:rsidP="00FC5566">
      <w:pPr>
        <w:keepNext/>
        <w:spacing w:before="240" w:after="240"/>
        <w:jc w:val="center"/>
        <w:rPr>
          <w:noProof/>
        </w:rPr>
      </w:pPr>
      <w:r w:rsidRPr="00FC5566">
        <w:rPr>
          <w:noProof/>
        </w:rPr>
        <w:t xml:space="preserve">General Provisions (LAC 46:LX.Chapter 1) </w:t>
      </w:r>
    </w:p>
    <w:p w14:paraId="149DEC3F"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 xml:space="preserve">In accordance with the applicable provisions of the Louisiana Administrative Procedures Act (R.S.49:950 et seq.) and through the authority of the Mental Health Counselor Licensing Act (R.S. 37:1101 et seq.), </w:t>
      </w:r>
      <w:bookmarkStart w:id="279" w:name="_Hlk144970664"/>
      <w:bookmarkStart w:id="280" w:name="_Hlk123809130"/>
      <w:r w:rsidRPr="00FC5566">
        <w:rPr>
          <w:kern w:val="2"/>
        </w:rPr>
        <w:t xml:space="preserve">the Licensed Professional Counselors Board of Examiners has made rule changes to remove redundant or outdated language that duplicates provisions already established in statute. The revisions ensure consistency with current statutory requirements and Executive Order JML 25-38. </w:t>
      </w:r>
      <w:bookmarkEnd w:id="279"/>
      <w:bookmarkEnd w:id="280"/>
      <w:r w:rsidRPr="00FC5566">
        <w:rPr>
          <w:kern w:val="2"/>
        </w:rPr>
        <w:t xml:space="preserve">This Rule is hereby adopted on the day of promulgation. </w:t>
      </w:r>
    </w:p>
    <w:p w14:paraId="097CF5F2" w14:textId="77777777" w:rsidR="00FC5566" w:rsidRPr="00FC5566" w:rsidRDefault="00FC5566" w:rsidP="00FC5566">
      <w:pPr>
        <w:keepNext/>
        <w:jc w:val="center"/>
        <w:rPr>
          <w:b/>
          <w:kern w:val="28"/>
        </w:rPr>
      </w:pPr>
      <w:bookmarkStart w:id="281" w:name="_Hlk123809913"/>
      <w:r w:rsidRPr="00FC5566">
        <w:rPr>
          <w:b/>
          <w:kern w:val="28"/>
        </w:rPr>
        <w:t>Title 46</w:t>
      </w:r>
    </w:p>
    <w:p w14:paraId="19F3FC37" w14:textId="77777777" w:rsidR="00FC5566" w:rsidRPr="00FC5566" w:rsidRDefault="00FC5566" w:rsidP="00FC5566">
      <w:pPr>
        <w:keepNext/>
        <w:jc w:val="center"/>
        <w:rPr>
          <w:b/>
          <w:kern w:val="28"/>
        </w:rPr>
      </w:pPr>
      <w:r w:rsidRPr="00FC5566">
        <w:rPr>
          <w:b/>
          <w:kern w:val="28"/>
        </w:rPr>
        <w:t>PROFESSIONAL AND OCCUPATIONAL STANDARDS</w:t>
      </w:r>
    </w:p>
    <w:p w14:paraId="401F7F68" w14:textId="77777777" w:rsidR="00FC5566" w:rsidRPr="00FC5566" w:rsidRDefault="00FC5566" w:rsidP="00FC5566">
      <w:pPr>
        <w:keepNext/>
        <w:jc w:val="center"/>
        <w:rPr>
          <w:b/>
          <w:noProof/>
        </w:rPr>
      </w:pPr>
      <w:r w:rsidRPr="00FC5566">
        <w:rPr>
          <w:b/>
          <w:noProof/>
        </w:rPr>
        <w:t xml:space="preserve">Part LX.  Professional Counselors </w:t>
      </w:r>
    </w:p>
    <w:p w14:paraId="13677FD1" w14:textId="77777777" w:rsidR="00FC5566" w:rsidRPr="00FC5566" w:rsidRDefault="00FC5566" w:rsidP="00FC5566">
      <w:pPr>
        <w:keepNext/>
        <w:jc w:val="center"/>
        <w:rPr>
          <w:b/>
          <w:noProof/>
        </w:rPr>
      </w:pPr>
      <w:r w:rsidRPr="00FC5566">
        <w:rPr>
          <w:b/>
          <w:noProof/>
        </w:rPr>
        <w:t>Subpart 1.  Licensed Professional Counselors</w:t>
      </w:r>
    </w:p>
    <w:p w14:paraId="049F2FE6"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 xml:space="preserve">Chapter </w:t>
      </w:r>
      <w:bookmarkStart w:id="282" w:name="_Toc4490972"/>
      <w:r w:rsidRPr="00FC5566">
        <w:rPr>
          <w:b/>
          <w:kern w:val="2"/>
        </w:rPr>
        <w:t>1.</w:t>
      </w:r>
      <w:bookmarkStart w:id="283" w:name="TOCT_Chap5"/>
      <w:r w:rsidRPr="00FC5566">
        <w:rPr>
          <w:b/>
          <w:kern w:val="2"/>
        </w:rPr>
        <w:tab/>
        <w:t>General Provisions</w:t>
      </w:r>
      <w:bookmarkStart w:id="284" w:name="_Toc4490973"/>
      <w:bookmarkEnd w:id="282"/>
      <w:bookmarkEnd w:id="283"/>
    </w:p>
    <w:p w14:paraId="69FD3C28"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85" w:name="_Toc4490974"/>
      <w:bookmarkEnd w:id="284"/>
      <w:r w:rsidRPr="00FC5566">
        <w:rPr>
          <w:rFonts w:eastAsia="Calibri"/>
          <w:b/>
          <w:kern w:val="2"/>
        </w:rPr>
        <w:t>§103.</w:t>
      </w:r>
      <w:r w:rsidRPr="00FC5566">
        <w:rPr>
          <w:rFonts w:eastAsia="Calibri"/>
          <w:b/>
          <w:kern w:val="2"/>
        </w:rPr>
        <w:tab/>
        <w:t>Description of Organization</w:t>
      </w:r>
      <w:bookmarkEnd w:id="285"/>
    </w:p>
    <w:p w14:paraId="32F9ADD0"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The Louisiana Licensed Professional Counselors Board of Examiners, hereafter referred to as the board, resides in the Department of Health and Hospitals, and consists of 11 members, who shall be residents of the state of Louisiana. Each term shall be for four years. Each appointment by the governor shall be submitted to the Senate for confirmation. Board membership shall consist of three licensed professional counselors, three educators who are licensed professional counselors and whose function is the training of mental health counselors in accredited programs, four licensed marriage and family therapists, and one individual from the public at large. No board member shall serve more than two full consecutive terms. The professional membership of the board shall be licensed under this Chapter. No board member shall be liable in any civil action for any act performed in good faith in the execution of his duties under chapter 13 of title 37.</w:t>
      </w:r>
    </w:p>
    <w:p w14:paraId="2F8DD1E4"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The licensed professional counselor board shall establish a marriage and family therapy advisory committee, which shall consist of the four board members appointed by the governor.</w:t>
      </w:r>
    </w:p>
    <w:p w14:paraId="6EB9DCAF" w14:textId="77777777" w:rsidR="00FC5566" w:rsidRPr="00FC5566" w:rsidRDefault="00FC5566" w:rsidP="00FC5566">
      <w:pPr>
        <w:tabs>
          <w:tab w:val="left" w:pos="144"/>
          <w:tab w:val="left" w:pos="187"/>
          <w:tab w:val="left" w:pos="540"/>
          <w:tab w:val="left" w:pos="907"/>
          <w:tab w:val="left" w:pos="1170"/>
        </w:tabs>
        <w:ind w:firstLine="187"/>
        <w:jc w:val="both"/>
        <w:outlineLvl w:val="3"/>
        <w:rPr>
          <w:kern w:val="2"/>
        </w:rPr>
      </w:pPr>
      <w:r w:rsidRPr="00FC5566">
        <w:rPr>
          <w:kern w:val="2"/>
        </w:rPr>
        <w:t>A.2. - 3.d.</w:t>
      </w:r>
      <w:r w:rsidRPr="00FC5566">
        <w:rPr>
          <w:kern w:val="2"/>
        </w:rPr>
        <w:tab/>
        <w:t>…</w:t>
      </w:r>
    </w:p>
    <w:p w14:paraId="6B542300"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37:1101-1123.</w:t>
      </w:r>
    </w:p>
    <w:p w14:paraId="15CFB9E7"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color w:val="000000"/>
          <w:kern w:val="2"/>
          <w:sz w:val="18"/>
        </w:rPr>
      </w:pPr>
      <w:r w:rsidRPr="00FC5566">
        <w:rPr>
          <w:kern w:val="2"/>
          <w:sz w:val="18"/>
        </w:rPr>
        <w:t>HISTORICAL NOTE:</w:t>
      </w:r>
      <w:r w:rsidRPr="00FC5566">
        <w:rPr>
          <w:kern w:val="2"/>
          <w:sz w:val="18"/>
        </w:rPr>
        <w:tab/>
        <w:t xml:space="preserve">Promulgated by the Department of Health and Hospitals, Licensed Professional Counselors Board of Examiners, LR 29:128 (February 2003), amended LR 29:2782 (December 2003), LR 39:1782 (July 2013), LR 41:709 (April 2015), </w:t>
      </w:r>
      <w:r w:rsidRPr="00FC5566">
        <w:rPr>
          <w:color w:val="000000"/>
          <w:kern w:val="2"/>
          <w:sz w:val="18"/>
        </w:rPr>
        <w:t>LR 52:1350 (August 2026).</w:t>
      </w:r>
    </w:p>
    <w:p w14:paraId="5D1B92FB"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86" w:name="_Toc4490975"/>
      <w:r w:rsidRPr="00FC5566">
        <w:rPr>
          <w:b/>
          <w:kern w:val="2"/>
        </w:rPr>
        <w:t>§105.</w:t>
      </w:r>
      <w:r w:rsidRPr="00FC5566">
        <w:rPr>
          <w:b/>
          <w:kern w:val="2"/>
        </w:rPr>
        <w:tab/>
        <w:t>Vacancies</w:t>
      </w:r>
      <w:bookmarkEnd w:id="286"/>
    </w:p>
    <w:p w14:paraId="05E28CA4" w14:textId="77777777" w:rsidR="00FC5566" w:rsidRPr="00FC5566" w:rsidRDefault="00FC5566" w:rsidP="00FC5566">
      <w:pPr>
        <w:tabs>
          <w:tab w:val="left" w:pos="144"/>
          <w:tab w:val="left" w:pos="187"/>
          <w:tab w:val="left" w:pos="540"/>
          <w:tab w:val="left" w:pos="907"/>
          <w:tab w:val="left" w:pos="1080"/>
        </w:tabs>
        <w:ind w:firstLine="187"/>
        <w:jc w:val="both"/>
        <w:outlineLvl w:val="3"/>
        <w:rPr>
          <w:strike/>
          <w:kern w:val="2"/>
        </w:rPr>
      </w:pPr>
      <w:r w:rsidRPr="00FC5566">
        <w:rPr>
          <w:kern w:val="2"/>
        </w:rPr>
        <w:t>Repealed.</w:t>
      </w:r>
    </w:p>
    <w:p w14:paraId="5F3A20CE"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37:1101-1122.</w:t>
      </w:r>
    </w:p>
    <w:p w14:paraId="540965A3"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Health and Hospitals, Licensed Professional</w:t>
      </w:r>
      <w:r w:rsidRPr="00FC5566">
        <w:rPr>
          <w:strike/>
          <w:kern w:val="2"/>
          <w:sz w:val="18"/>
        </w:rPr>
        <w:t xml:space="preserve"> </w:t>
      </w:r>
      <w:r w:rsidRPr="00FC5566">
        <w:rPr>
          <w:kern w:val="2"/>
          <w:sz w:val="18"/>
        </w:rPr>
        <w:t>Counselors Board of Examiners, LR 29:128 (February 2003), amended LR 29:2783 (December 2003),</w:t>
      </w:r>
      <w:r w:rsidRPr="00FC5566">
        <w:rPr>
          <w:color w:val="EE0000"/>
          <w:kern w:val="2"/>
          <w:sz w:val="18"/>
        </w:rPr>
        <w:t xml:space="preserve"> </w:t>
      </w:r>
      <w:r w:rsidRPr="00FC5566">
        <w:rPr>
          <w:kern w:val="2"/>
          <w:sz w:val="18"/>
        </w:rPr>
        <w:t>repealed LR 52:1350 (August 2026).</w:t>
      </w:r>
      <w:bookmarkStart w:id="287" w:name="_Toc4490976"/>
    </w:p>
    <w:p w14:paraId="078D0026"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§107.</w:t>
      </w:r>
      <w:r w:rsidRPr="00FC5566">
        <w:rPr>
          <w:b/>
          <w:kern w:val="2"/>
        </w:rPr>
        <w:tab/>
        <w:t>Reimbursement</w:t>
      </w:r>
      <w:bookmarkEnd w:id="287"/>
    </w:p>
    <w:p w14:paraId="474B74C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Repealed.</w:t>
      </w:r>
    </w:p>
    <w:p w14:paraId="34CC520F"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37:1101-1122.</w:t>
      </w:r>
    </w:p>
    <w:p w14:paraId="1D74D9C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Health and Human Resources, Board of Examiners of Professional Counselors, LR 14:82 (February 1988), amended by the Department of Health and Hospitals, Licensed Professional Counselors Board of Examiners, LR 29:129 (February 2003), repealed LR 52:1350 (August 2026).</w:t>
      </w:r>
    </w:p>
    <w:p w14:paraId="26D34FFB"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88" w:name="_Toc4490977"/>
      <w:r w:rsidRPr="00FC5566">
        <w:rPr>
          <w:b/>
          <w:kern w:val="2"/>
        </w:rPr>
        <w:t>§109.</w:t>
      </w:r>
      <w:r w:rsidRPr="00FC5566">
        <w:rPr>
          <w:b/>
          <w:kern w:val="2"/>
        </w:rPr>
        <w:tab/>
        <w:t>Financially Self-Sufficient</w:t>
      </w:r>
      <w:bookmarkEnd w:id="288"/>
    </w:p>
    <w:p w14:paraId="13B01BDD" w14:textId="77777777" w:rsidR="00FC5566" w:rsidRPr="00FC5566" w:rsidRDefault="00FC5566" w:rsidP="00FC5566">
      <w:pPr>
        <w:tabs>
          <w:tab w:val="left" w:pos="144"/>
          <w:tab w:val="left" w:pos="187"/>
          <w:tab w:val="left" w:pos="540"/>
          <w:tab w:val="left" w:pos="907"/>
          <w:tab w:val="left" w:pos="1080"/>
        </w:tabs>
        <w:ind w:firstLine="187"/>
        <w:jc w:val="both"/>
        <w:outlineLvl w:val="3"/>
        <w:rPr>
          <w:strike/>
          <w:kern w:val="2"/>
        </w:rPr>
      </w:pPr>
      <w:r w:rsidRPr="00FC5566">
        <w:rPr>
          <w:kern w:val="2"/>
        </w:rPr>
        <w:t>Repealed.</w:t>
      </w:r>
    </w:p>
    <w:p w14:paraId="6629B24B"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37:1101-1122.</w:t>
      </w:r>
    </w:p>
    <w:p w14:paraId="68A9CC3F"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 xml:space="preserve">Promulgated by the Department of Health and Hospitals, Licensed Professional Counselors Board Examiners, LR 15:544 (July 1989), amended by the Department of </w:t>
      </w:r>
      <w:r w:rsidRPr="00FC5566">
        <w:rPr>
          <w:kern w:val="2"/>
          <w:sz w:val="18"/>
        </w:rPr>
        <w:br w:type="page"/>
      </w:r>
    </w:p>
    <w:p w14:paraId="550D8765"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both"/>
        <w:rPr>
          <w:kern w:val="2"/>
          <w:sz w:val="18"/>
        </w:rPr>
      </w:pPr>
      <w:r w:rsidRPr="00FC5566">
        <w:rPr>
          <w:kern w:val="2"/>
          <w:sz w:val="18"/>
        </w:rPr>
        <w:lastRenderedPageBreak/>
        <w:t>Health and Hospitals, Licensed Professional Counselors Board of Examiners, LR 29:129 (February 2003), repealed LR 52:1350 (August 2026).</w:t>
      </w:r>
    </w:p>
    <w:p w14:paraId="031006DC"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89" w:name="_Toc4490978"/>
      <w:r w:rsidRPr="00FC5566">
        <w:rPr>
          <w:b/>
          <w:kern w:val="2"/>
        </w:rPr>
        <w:t>§111.</w:t>
      </w:r>
      <w:r w:rsidRPr="00FC5566">
        <w:rPr>
          <w:b/>
          <w:kern w:val="2"/>
        </w:rPr>
        <w:tab/>
        <w:t>Notification of Change</w:t>
      </w:r>
      <w:bookmarkEnd w:id="289"/>
    </w:p>
    <w:p w14:paraId="18E3DF3F"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w:t>
      </w:r>
    </w:p>
    <w:p w14:paraId="78F825A3"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 xml:space="preserve">Every licensed or provisional licensed professional counselor </w:t>
      </w:r>
      <w:r w:rsidRPr="00FC5566">
        <w:rPr>
          <w:color w:val="000000"/>
          <w:kern w:val="2"/>
        </w:rPr>
        <w:t>and every licensed or provisional licensed marriage and family therapist s</w:t>
      </w:r>
      <w:r w:rsidRPr="00FC5566">
        <w:rPr>
          <w:kern w:val="2"/>
        </w:rPr>
        <w:t>hall immediately notify in writing the Licensed Professional Counselors Board of Examiners of any and all status changes with the justice system, including notification of arrest, charges, convictions. Failure to comply with this rule within 30 days of change will result in disciplinary action.</w:t>
      </w:r>
    </w:p>
    <w:p w14:paraId="62C8E66F"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37:1101-1123.</w:t>
      </w:r>
    </w:p>
    <w:p w14:paraId="503D12DB"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Health and Hospitals, Licensed Professional Counselors Board of Examiners, LR 26:493 (March 2000), amended LR 29:129 (February 2003), LR 41:709 (April 2015), LR 47:1528 (October 2021</w:t>
      </w:r>
      <w:r w:rsidRPr="00FC5566">
        <w:rPr>
          <w:color w:val="000000"/>
          <w:kern w:val="2"/>
          <w:sz w:val="18"/>
        </w:rPr>
        <w:t>), LR 52:1351 (August 2026).</w:t>
      </w:r>
    </w:p>
    <w:p w14:paraId="52092FE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p w14:paraId="4580852B" w14:textId="77777777" w:rsidR="00FC5566" w:rsidRPr="00FC5566" w:rsidRDefault="00FC5566" w:rsidP="00FC5566">
      <w:pPr>
        <w:keepNext/>
        <w:ind w:left="2160"/>
        <w:jc w:val="both"/>
      </w:pPr>
      <w:r w:rsidRPr="00FC5566">
        <w:t>Jamie S. Doming</w:t>
      </w:r>
    </w:p>
    <w:p w14:paraId="6E8195F0" w14:textId="77777777" w:rsidR="00FC5566" w:rsidRPr="00FC5566" w:rsidRDefault="00FC5566" w:rsidP="00FC5566">
      <w:pPr>
        <w:keepNext/>
        <w:ind w:left="2160"/>
        <w:jc w:val="both"/>
      </w:pPr>
      <w:r w:rsidRPr="00FC5566">
        <w:t>Executive Director</w:t>
      </w:r>
      <w:bookmarkEnd w:id="281"/>
    </w:p>
    <w:p w14:paraId="7C6217C9" w14:textId="77777777" w:rsidR="00FC5566" w:rsidRPr="00FC5566" w:rsidRDefault="00FC5566" w:rsidP="00FC5566">
      <w:pPr>
        <w:rPr>
          <w:noProof/>
          <w:sz w:val="16"/>
        </w:rPr>
      </w:pPr>
      <w:r w:rsidRPr="00FC5566">
        <w:rPr>
          <w:noProof/>
          <w:sz w:val="16"/>
        </w:rPr>
        <w:t>2608#036</w:t>
      </w:r>
    </w:p>
    <w:p w14:paraId="5A37871C" w14:textId="77777777" w:rsidR="00FC5566" w:rsidRPr="00FC5566" w:rsidRDefault="00FC5566" w:rsidP="00FC5566"/>
    <w:p w14:paraId="1F471836" w14:textId="77777777" w:rsidR="00FC5566" w:rsidRPr="00FC5566" w:rsidRDefault="00FC5566" w:rsidP="00FC5566">
      <w:pPr>
        <w:keepNext/>
        <w:tabs>
          <w:tab w:val="left" w:pos="-1440"/>
        </w:tabs>
        <w:spacing w:after="120"/>
        <w:jc w:val="center"/>
        <w:rPr>
          <w:b/>
          <w:noProof/>
        </w:rPr>
      </w:pPr>
      <w:r w:rsidRPr="00FC5566">
        <w:rPr>
          <w:b/>
          <w:noProof/>
        </w:rPr>
        <w:t>RULE</w:t>
      </w:r>
    </w:p>
    <w:p w14:paraId="05789DB2" w14:textId="77777777" w:rsidR="00FC5566" w:rsidRPr="00FC5566" w:rsidRDefault="00FC5566" w:rsidP="00FC5566">
      <w:pPr>
        <w:keepNext/>
        <w:jc w:val="center"/>
        <w:rPr>
          <w:b/>
          <w:noProof/>
        </w:rPr>
      </w:pPr>
      <w:r w:rsidRPr="00FC5566">
        <w:rPr>
          <w:b/>
          <w:noProof/>
        </w:rPr>
        <w:t>Department of Insurance</w:t>
      </w:r>
    </w:p>
    <w:p w14:paraId="7F46737A" w14:textId="77777777" w:rsidR="00FC5566" w:rsidRPr="00FC5566" w:rsidRDefault="00FC5566" w:rsidP="00FC5566">
      <w:pPr>
        <w:keepNext/>
        <w:jc w:val="center"/>
        <w:rPr>
          <w:b/>
          <w:noProof/>
        </w:rPr>
      </w:pPr>
      <w:r w:rsidRPr="00FC5566">
        <w:rPr>
          <w:b/>
          <w:noProof/>
        </w:rPr>
        <w:t>Office of the Commissioner</w:t>
      </w:r>
    </w:p>
    <w:p w14:paraId="4CC909E7" w14:textId="77777777" w:rsidR="00FC5566" w:rsidRPr="00FC5566" w:rsidRDefault="00FC5566" w:rsidP="00FC5566">
      <w:pPr>
        <w:keepNext/>
        <w:spacing w:before="240" w:after="240"/>
        <w:jc w:val="center"/>
        <w:rPr>
          <w:noProof/>
        </w:rPr>
      </w:pPr>
      <w:r w:rsidRPr="00FC5566">
        <w:rPr>
          <w:noProof/>
        </w:rPr>
        <w:t>Regulation 13</w:t>
      </w:r>
      <w:bookmarkStart w:id="290" w:name="_Hlk73606714"/>
      <w:r w:rsidRPr="00FC5566">
        <w:rPr>
          <w:noProof/>
        </w:rPr>
        <w:t>8—</w:t>
      </w:r>
      <w:bookmarkEnd w:id="290"/>
      <w:r w:rsidRPr="00FC5566">
        <w:rPr>
          <w:noProof/>
        </w:rPr>
        <w:t xml:space="preserve">Premium Discount for Dashboard Cameras with Telematic Systems: </w:t>
      </w:r>
      <w:r w:rsidRPr="00FC5566">
        <w:rPr>
          <w:noProof/>
        </w:rPr>
        <w:br/>
        <w:t>Commercial Motor Vehicles (LAC 37:XIII.Chapter 213)</w:t>
      </w:r>
    </w:p>
    <w:p w14:paraId="578DC30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bookmarkStart w:id="291" w:name="_Hlk21514300"/>
      <w:r w:rsidRPr="00FC5566">
        <w:rPr>
          <w:kern w:val="2"/>
        </w:rPr>
        <w:t>The Department of Insurance, pursuant to the authority of the Louisiana Insurance Code, R.S. 22:1 et seq., and in accordance with the Administrative Procedure Act, R.S. 49:950 et seq., hereby promulgates Regulation 138—Premium Discount for Dashboard Cameras with Telematic Systems: Commercial Motor Vehicles.</w:t>
      </w:r>
    </w:p>
    <w:p w14:paraId="7480A548"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 xml:space="preserve">The Premium Discount for Dashboard Cameras with Telematic Systems: Commercial Motor Vehicles, enacted through the passage of Act 19 of the 2025 Regular Session of the Louisiana Legislature, requires insurers to provide a premium discount for the liability portions of policies covering commercial motor vehicles equipped with dashboard cameras and telematics systems. This Rule is hereby adopted on the day of promulgation. </w:t>
      </w:r>
    </w:p>
    <w:bookmarkEnd w:id="291"/>
    <w:p w14:paraId="0651BA04" w14:textId="77777777" w:rsidR="00FC5566" w:rsidRPr="00FC5566" w:rsidRDefault="00FC5566" w:rsidP="00FC5566">
      <w:pPr>
        <w:keepNext/>
        <w:jc w:val="center"/>
        <w:rPr>
          <w:b/>
          <w:kern w:val="28"/>
        </w:rPr>
      </w:pPr>
      <w:r w:rsidRPr="00FC5566">
        <w:rPr>
          <w:b/>
          <w:kern w:val="28"/>
        </w:rPr>
        <w:t>Title 37</w:t>
      </w:r>
    </w:p>
    <w:p w14:paraId="0859CC80" w14:textId="77777777" w:rsidR="00FC5566" w:rsidRPr="00FC5566" w:rsidRDefault="00FC5566" w:rsidP="00FC5566">
      <w:pPr>
        <w:keepNext/>
        <w:jc w:val="center"/>
        <w:rPr>
          <w:b/>
          <w:kern w:val="28"/>
        </w:rPr>
      </w:pPr>
      <w:r w:rsidRPr="00FC5566">
        <w:rPr>
          <w:b/>
          <w:kern w:val="28"/>
        </w:rPr>
        <w:t>INSURANCE</w:t>
      </w:r>
    </w:p>
    <w:p w14:paraId="780701F2" w14:textId="77777777" w:rsidR="00FC5566" w:rsidRPr="00FC5566" w:rsidRDefault="00FC5566" w:rsidP="00FC5566">
      <w:pPr>
        <w:keepNext/>
        <w:jc w:val="center"/>
        <w:rPr>
          <w:b/>
          <w:noProof/>
        </w:rPr>
      </w:pPr>
      <w:r w:rsidRPr="00FC5566">
        <w:rPr>
          <w:b/>
          <w:noProof/>
        </w:rPr>
        <w:t>Part XIII.  Regulations</w:t>
      </w:r>
    </w:p>
    <w:p w14:paraId="3FE28AA3"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bCs/>
          <w:kern w:val="2"/>
        </w:rPr>
      </w:pPr>
      <w:r w:rsidRPr="00FC5566">
        <w:rPr>
          <w:b/>
          <w:kern w:val="2"/>
        </w:rPr>
        <w:t>Chapter 213.</w:t>
      </w:r>
      <w:r w:rsidRPr="00FC5566">
        <w:rPr>
          <w:b/>
          <w:kern w:val="2"/>
        </w:rPr>
        <w:tab/>
        <w:t>Regulation Number 138—Premium Discount for Dashboard Cameras with Telematic Systems: Commercial Motor Vehicles</w:t>
      </w:r>
    </w:p>
    <w:p w14:paraId="70ED7471"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92" w:name="_Toc41643424"/>
      <w:bookmarkStart w:id="293" w:name="_Toc41643432"/>
      <w:r w:rsidRPr="00FC5566">
        <w:rPr>
          <w:b/>
          <w:kern w:val="2"/>
        </w:rPr>
        <w:t>§21301.</w:t>
      </w:r>
      <w:r w:rsidRPr="00FC5566">
        <w:rPr>
          <w:b/>
          <w:kern w:val="2"/>
        </w:rPr>
        <w:tab/>
        <w:t>Purpose</w:t>
      </w:r>
      <w:bookmarkEnd w:id="292"/>
    </w:p>
    <w:p w14:paraId="6098FC19"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A.</w:t>
      </w:r>
      <w:r w:rsidRPr="00FC5566">
        <w:rPr>
          <w:rFonts w:eastAsia="Calibri"/>
          <w:kern w:val="2"/>
        </w:rPr>
        <w:tab/>
        <w:t xml:space="preserve">The purpose of Regulation 138 </w:t>
      </w:r>
      <w:r w:rsidRPr="00FC5566">
        <w:rPr>
          <w:kern w:val="2"/>
        </w:rPr>
        <w:t>is to enhance public safety, reduce insurance fraud, and lower costs of claims by incentivizing the use of dashboard cameras paired with telematics systems in commercial motor vehicles, thereby warranting a reduction in liability insurance premiums.</w:t>
      </w:r>
    </w:p>
    <w:p w14:paraId="680C3E65"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bookmarkStart w:id="294" w:name="_Hlk73018471"/>
      <w:r w:rsidRPr="00FC5566">
        <w:rPr>
          <w:kern w:val="2"/>
          <w:sz w:val="18"/>
        </w:rPr>
        <w:t>AUTHORITY NOTE:</w:t>
      </w:r>
      <w:r w:rsidRPr="00FC5566">
        <w:rPr>
          <w:kern w:val="2"/>
          <w:sz w:val="18"/>
        </w:rPr>
        <w:tab/>
        <w:t xml:space="preserve">Promulgated in accordance with R.S. 22:1, 22:11, 22:1482.2, Act 19, 2025 Regular Session of the </w:t>
      </w:r>
      <w:r w:rsidRPr="00FC5566">
        <w:rPr>
          <w:kern w:val="2"/>
          <w:sz w:val="18"/>
        </w:rPr>
        <w:t>Louisiana Legislature and the Administrative Procedure Act, R.S. 49:950 et seq.</w:t>
      </w:r>
    </w:p>
    <w:bookmarkEnd w:id="294"/>
    <w:p w14:paraId="38C29770"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Insurance, Office of the Commissioner, LR 52:1351 (August 2026).</w:t>
      </w:r>
    </w:p>
    <w:p w14:paraId="1C386900"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§21303.</w:t>
      </w:r>
      <w:bookmarkEnd w:id="293"/>
      <w:r w:rsidRPr="00FC5566">
        <w:rPr>
          <w:b/>
          <w:kern w:val="2"/>
        </w:rPr>
        <w:tab/>
        <w:t>Applicability and Scope</w:t>
      </w:r>
    </w:p>
    <w:p w14:paraId="3B20D927"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Regulation 138 shall apply to all admitted insurers authorized to issue commercial motor vehicle insurance in Louisiana.</w:t>
      </w:r>
    </w:p>
    <w:p w14:paraId="763770D3"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szCs w:val="18"/>
        </w:rPr>
      </w:pPr>
      <w:bookmarkStart w:id="295" w:name="_Hlk184797703"/>
      <w:r w:rsidRPr="00FC5566">
        <w:rPr>
          <w:kern w:val="2"/>
          <w:sz w:val="18"/>
          <w:szCs w:val="18"/>
        </w:rPr>
        <w:t>AUTHORITY NOTE:</w:t>
      </w:r>
      <w:r w:rsidRPr="00FC5566">
        <w:rPr>
          <w:kern w:val="2"/>
          <w:sz w:val="18"/>
          <w:szCs w:val="18"/>
        </w:rPr>
        <w:tab/>
      </w:r>
      <w:r w:rsidRPr="00FC5566">
        <w:rPr>
          <w:kern w:val="2"/>
          <w:sz w:val="18"/>
        </w:rPr>
        <w:t>Promulgated in accordance with R.S. 22:1, 22:11, 22:1482.2, Act 19, 2025 Regular Session of the Louisiana Legislature and the Administrative Procedure Act, R.S. 49:950 et seq.</w:t>
      </w:r>
    </w:p>
    <w:p w14:paraId="47F04FAE"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rFonts w:eastAsia="Calibri"/>
          <w:kern w:val="2"/>
          <w:sz w:val="18"/>
        </w:rPr>
      </w:pPr>
      <w:r w:rsidRPr="00FC5566">
        <w:rPr>
          <w:rFonts w:eastAsia="Calibri"/>
          <w:kern w:val="2"/>
          <w:sz w:val="18"/>
        </w:rPr>
        <w:t>HISTORICAL NOTE:</w:t>
      </w:r>
      <w:r w:rsidRPr="00FC5566">
        <w:rPr>
          <w:rFonts w:eastAsia="Calibri"/>
          <w:kern w:val="2"/>
          <w:sz w:val="18"/>
        </w:rPr>
        <w:tab/>
        <w:t>Promulgated by the Department of Insurance, Office of the Commissioner, LR 52:1351 (August 2026).</w:t>
      </w:r>
    </w:p>
    <w:p w14:paraId="692D97F5"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§21305.</w:t>
      </w:r>
      <w:r w:rsidRPr="00FC5566">
        <w:rPr>
          <w:b/>
          <w:kern w:val="2"/>
        </w:rPr>
        <w:tab/>
        <w:t>Definitions</w:t>
      </w:r>
    </w:p>
    <w:p w14:paraId="152B725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 xml:space="preserve">For the purposes of Regulation 138, the following terms are defined as follows: </w:t>
      </w:r>
    </w:p>
    <w:p w14:paraId="3ECF23E4"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r>
      <w:r w:rsidRPr="00FC5566">
        <w:rPr>
          <w:i/>
          <w:iCs/>
          <w:kern w:val="2"/>
        </w:rPr>
        <w:t>Commercial Motor Vehicle—</w:t>
      </w:r>
      <w:r w:rsidRPr="00FC5566">
        <w:rPr>
          <w:kern w:val="2"/>
        </w:rPr>
        <w:t>the same as the term is defined in R.S. 32:401 and includes fleet operations.</w:t>
      </w:r>
    </w:p>
    <w:p w14:paraId="2BA0ADF5"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r>
      <w:r w:rsidRPr="00FC5566">
        <w:rPr>
          <w:i/>
          <w:iCs/>
          <w:kern w:val="2"/>
        </w:rPr>
        <w:t>Commissioner—</w:t>
      </w:r>
      <w:r w:rsidRPr="00FC5566">
        <w:rPr>
          <w:kern w:val="2"/>
        </w:rPr>
        <w:t>the Louisiana Commissioner of Insurance.</w:t>
      </w:r>
    </w:p>
    <w:p w14:paraId="4E3E5876"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r>
      <w:r w:rsidRPr="00FC5566">
        <w:rPr>
          <w:i/>
          <w:iCs/>
          <w:kern w:val="2"/>
        </w:rPr>
        <w:t>Dashboard Camera</w:t>
      </w:r>
      <w:r w:rsidRPr="00FC5566">
        <w:rPr>
          <w:kern w:val="2"/>
        </w:rPr>
        <w:t>—a dashboard-mounted video recording device capable of continuous loop recording with a minimum resolution of 1080p, designed to capture footage of the road ahead of the vehicle.</w:t>
      </w:r>
    </w:p>
    <w:p w14:paraId="48D47325" w14:textId="77777777" w:rsidR="00FC5566" w:rsidRPr="00FC5566" w:rsidRDefault="00FC5566" w:rsidP="00FC5566">
      <w:pPr>
        <w:tabs>
          <w:tab w:val="left" w:pos="720"/>
          <w:tab w:val="left" w:pos="979"/>
          <w:tab w:val="left" w:pos="1152"/>
        </w:tabs>
        <w:ind w:firstLine="360"/>
        <w:jc w:val="both"/>
        <w:outlineLvl w:val="4"/>
        <w:rPr>
          <w:szCs w:val="22"/>
        </w:rPr>
      </w:pPr>
      <w:r w:rsidRPr="00FC5566">
        <w:rPr>
          <w:kern w:val="2"/>
        </w:rPr>
        <w:t>4.</w:t>
      </w:r>
      <w:r w:rsidRPr="00FC5566">
        <w:rPr>
          <w:kern w:val="2"/>
        </w:rPr>
        <w:tab/>
      </w:r>
      <w:r w:rsidRPr="00FC5566">
        <w:rPr>
          <w:i/>
          <w:iCs/>
          <w:kern w:val="2"/>
        </w:rPr>
        <w:t>Liability Premium</w:t>
      </w:r>
      <w:r w:rsidRPr="00FC5566">
        <w:rPr>
          <w:kern w:val="2"/>
        </w:rPr>
        <w:t>—the portion of an insurance premium attributable to bodily injury liability and property damage liability coverage under a commercial motor vehicle insurance policy</w:t>
      </w:r>
      <w:r w:rsidRPr="00FC5566">
        <w:rPr>
          <w:szCs w:val="22"/>
        </w:rPr>
        <w:t>.</w:t>
      </w:r>
    </w:p>
    <w:p w14:paraId="195228D6" w14:textId="77777777" w:rsidR="00FC5566" w:rsidRPr="00FC5566" w:rsidRDefault="00FC5566" w:rsidP="00FC5566">
      <w:pPr>
        <w:tabs>
          <w:tab w:val="left" w:pos="720"/>
          <w:tab w:val="left" w:pos="979"/>
          <w:tab w:val="left" w:pos="1152"/>
        </w:tabs>
        <w:ind w:firstLine="360"/>
        <w:jc w:val="both"/>
        <w:outlineLvl w:val="4"/>
        <w:rPr>
          <w:i/>
          <w:iCs/>
          <w:kern w:val="2"/>
        </w:rPr>
      </w:pPr>
      <w:r w:rsidRPr="00FC5566">
        <w:rPr>
          <w:kern w:val="2"/>
        </w:rPr>
        <w:t>5.</w:t>
      </w:r>
      <w:r w:rsidRPr="00FC5566">
        <w:rPr>
          <w:kern w:val="2"/>
        </w:rPr>
        <w:tab/>
      </w:r>
      <w:r w:rsidRPr="00FC5566">
        <w:rPr>
          <w:i/>
          <w:iCs/>
          <w:kern w:val="2"/>
        </w:rPr>
        <w:t>Telematics System—</w:t>
      </w:r>
      <w:r w:rsidRPr="00FC5566">
        <w:rPr>
          <w:kern w:val="2"/>
        </w:rPr>
        <w:t>a device or software integrated with a vehicle that collects and transmits real-time data on driving behavior, including but not limited to speed, braking, and mileage, to an insurer, fleet owner, or third-party vendor designated by an insurer or policyholder.</w:t>
      </w:r>
    </w:p>
    <w:p w14:paraId="7FF55DC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szCs w:val="18"/>
        </w:rPr>
      </w:pPr>
      <w:r w:rsidRPr="00FC5566">
        <w:rPr>
          <w:kern w:val="2"/>
          <w:sz w:val="18"/>
          <w:szCs w:val="18"/>
        </w:rPr>
        <w:t>AUTHORITY NOTE:</w:t>
      </w:r>
      <w:r w:rsidRPr="00FC5566">
        <w:rPr>
          <w:kern w:val="2"/>
          <w:sz w:val="18"/>
          <w:szCs w:val="18"/>
        </w:rPr>
        <w:tab/>
      </w:r>
      <w:r w:rsidRPr="00FC5566">
        <w:rPr>
          <w:kern w:val="2"/>
          <w:sz w:val="18"/>
        </w:rPr>
        <w:t>Promulgated in accordance with R.S. 22:1, 22:11, 22:1482.2, Act 19, 2025 Regular Session of the Louisiana Legislature and the Administrative Procedure Act, R.S. 49:950 et seq.</w:t>
      </w:r>
    </w:p>
    <w:p w14:paraId="031B7270"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rFonts w:eastAsia="Calibri"/>
          <w:kern w:val="2"/>
          <w:sz w:val="18"/>
        </w:rPr>
      </w:pPr>
      <w:r w:rsidRPr="00FC5566">
        <w:rPr>
          <w:rFonts w:eastAsia="Calibri"/>
          <w:kern w:val="2"/>
          <w:sz w:val="18"/>
        </w:rPr>
        <w:t>HISTORICAL NOTE:</w:t>
      </w:r>
      <w:r w:rsidRPr="00FC5566">
        <w:rPr>
          <w:rFonts w:eastAsia="Calibri"/>
          <w:kern w:val="2"/>
          <w:sz w:val="18"/>
        </w:rPr>
        <w:tab/>
        <w:t>Promulgated by the Department of Insurance, Office of the Commissioner, LR 52:1351 (August 2026).</w:t>
      </w:r>
    </w:p>
    <w:bookmarkEnd w:id="295"/>
    <w:p w14:paraId="4F01EFC1"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§21307.</w:t>
      </w:r>
      <w:r w:rsidRPr="00FC5566">
        <w:rPr>
          <w:b/>
          <w:kern w:val="2"/>
        </w:rPr>
        <w:tab/>
        <w:t>Premium Discounts Required</w:t>
      </w:r>
    </w:p>
    <w:p w14:paraId="18579A62"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Every insurer authorized to issue commercial motor vehicle insurance policies in this state, except for a surplus lines insurer, shall provide a discount on the liability premium for each commercial motor vehicle equipped with a dashboard camera and telematics system meeting the requirements set forth in this Regulation 138.</w:t>
      </w:r>
    </w:p>
    <w:p w14:paraId="73CA4EDB"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The discount required in this subsection does not extend to collision, comprehensive, or other coverage types unless otherwise determined by the insurer.</w:t>
      </w:r>
    </w:p>
    <w:p w14:paraId="33401CAC"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szCs w:val="18"/>
        </w:rPr>
      </w:pPr>
      <w:r w:rsidRPr="00FC5566">
        <w:rPr>
          <w:kern w:val="2"/>
          <w:sz w:val="18"/>
          <w:szCs w:val="18"/>
        </w:rPr>
        <w:t>AUTHORITY NOTE:</w:t>
      </w:r>
      <w:r w:rsidRPr="00FC5566">
        <w:rPr>
          <w:kern w:val="2"/>
          <w:sz w:val="18"/>
          <w:szCs w:val="18"/>
        </w:rPr>
        <w:tab/>
      </w:r>
      <w:r w:rsidRPr="00FC5566">
        <w:rPr>
          <w:kern w:val="2"/>
          <w:sz w:val="18"/>
        </w:rPr>
        <w:t>Promulgated in accordance with R.S. 22:1, 22:11, 22:1482.2, Act 19, 2025 Regular Session of the Louisiana Legislature and the Administrative Procedure Act, R.S. 49:950 et seq.</w:t>
      </w:r>
    </w:p>
    <w:p w14:paraId="3D98C8BA"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bCs/>
          <w:kern w:val="2"/>
        </w:rPr>
      </w:pPr>
      <w:r w:rsidRPr="00FC5566">
        <w:rPr>
          <w:rFonts w:eastAsia="Calibri"/>
          <w:kern w:val="2"/>
          <w:sz w:val="18"/>
        </w:rPr>
        <w:t>HISTORICAL NOTE:</w:t>
      </w:r>
      <w:r w:rsidRPr="00FC5566">
        <w:rPr>
          <w:rFonts w:eastAsia="Calibri"/>
          <w:kern w:val="2"/>
          <w:sz w:val="18"/>
        </w:rPr>
        <w:tab/>
        <w:t>Promulgated by the Department of Insurance, Office of the Commissioner, LR 52:1351 (August 2026).</w:t>
      </w:r>
    </w:p>
    <w:p w14:paraId="29596409"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§21309.</w:t>
      </w:r>
      <w:r w:rsidRPr="00FC5566">
        <w:rPr>
          <w:b/>
          <w:kern w:val="2"/>
        </w:rPr>
        <w:tab/>
        <w:t>Amount of Discount</w:t>
      </w:r>
    </w:p>
    <w:p w14:paraId="655F664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 xml:space="preserve">The insurer shall provide the discount in an amount actuarially justified based on loss experience, claims data, or other relevant factors. </w:t>
      </w:r>
    </w:p>
    <w:p w14:paraId="17E4077E"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szCs w:val="18"/>
        </w:rPr>
      </w:pPr>
      <w:bookmarkStart w:id="296" w:name="_Hlk184799420"/>
      <w:bookmarkStart w:id="297" w:name="_Hlk184735736"/>
      <w:r w:rsidRPr="00FC5566">
        <w:rPr>
          <w:kern w:val="2"/>
          <w:sz w:val="18"/>
          <w:szCs w:val="18"/>
        </w:rPr>
        <w:t>AUTHORITY NOTE:</w:t>
      </w:r>
      <w:r w:rsidRPr="00FC5566">
        <w:rPr>
          <w:kern w:val="2"/>
          <w:sz w:val="18"/>
          <w:szCs w:val="18"/>
        </w:rPr>
        <w:tab/>
      </w:r>
      <w:r w:rsidRPr="00FC5566">
        <w:rPr>
          <w:kern w:val="2"/>
          <w:sz w:val="18"/>
        </w:rPr>
        <w:t>Promulgated in accordance with R.S. 22:1, 22:11, 22:1482.2, Act 19, 2025 Regular Session of the Louisiana Legislature and the Administrative Procedure Act, R.S. 49:950 et seq.</w:t>
      </w:r>
    </w:p>
    <w:p w14:paraId="220021C0"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lastRenderedPageBreak/>
        <w:t>HISTORICAL NOTE:</w:t>
      </w:r>
      <w:r w:rsidRPr="00FC5566">
        <w:rPr>
          <w:kern w:val="2"/>
          <w:sz w:val="18"/>
        </w:rPr>
        <w:tab/>
        <w:t>Promulgated by the Department of Insurance, Office of the Commissioner, LR 52:1351 (August 2026).</w:t>
      </w:r>
    </w:p>
    <w:p w14:paraId="7A1B8655"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§21311.</w:t>
      </w:r>
      <w:r w:rsidRPr="00FC5566">
        <w:rPr>
          <w:b/>
          <w:kern w:val="2"/>
        </w:rPr>
        <w:tab/>
        <w:t>Technical Standards</w:t>
      </w:r>
    </w:p>
    <w:p w14:paraId="0CFD64F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Dashboard cameras:</w:t>
      </w:r>
      <w:bookmarkEnd w:id="296"/>
      <w:bookmarkEnd w:id="297"/>
    </w:p>
    <w:p w14:paraId="701620FA"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front facing;</w:t>
      </w:r>
    </w:p>
    <w:p w14:paraId="1BFC1633"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1080p resolution;</w:t>
      </w:r>
    </w:p>
    <w:p w14:paraId="30EC7446"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continuous loop recording;</w:t>
      </w:r>
    </w:p>
    <w:p w14:paraId="7A3581C9"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w:t>
      </w:r>
      <w:r w:rsidRPr="00FC5566">
        <w:rPr>
          <w:kern w:val="2"/>
        </w:rPr>
        <w:tab/>
        <w:t>mounted onto the dashboard according to Federal Motor Carrier Safety Administration standards;</w:t>
      </w:r>
    </w:p>
    <w:p w14:paraId="71C0EC7C"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Telematic Systems:</w:t>
      </w:r>
    </w:p>
    <w:p w14:paraId="113D439E"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device or software;</w:t>
      </w:r>
    </w:p>
    <w:p w14:paraId="7657AD88"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integrated with the vehicle;</w:t>
      </w:r>
    </w:p>
    <w:p w14:paraId="1CA92FE5"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transmits real time data of driving behavior</w:t>
      </w:r>
    </w:p>
    <w:p w14:paraId="219F36D7"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szCs w:val="18"/>
        </w:rPr>
      </w:pPr>
      <w:r w:rsidRPr="00FC5566">
        <w:rPr>
          <w:kern w:val="2"/>
          <w:sz w:val="18"/>
          <w:szCs w:val="18"/>
        </w:rPr>
        <w:t>AUTHORITY NOTE:</w:t>
      </w:r>
      <w:r w:rsidRPr="00FC5566">
        <w:rPr>
          <w:kern w:val="2"/>
          <w:sz w:val="18"/>
          <w:szCs w:val="18"/>
        </w:rPr>
        <w:tab/>
      </w:r>
      <w:r w:rsidRPr="00FC5566">
        <w:rPr>
          <w:kern w:val="2"/>
          <w:sz w:val="18"/>
        </w:rPr>
        <w:t>Promulgated in accordance with R.S. 22:1, 22:11, 22:1482.2, Act 19, 2025 Regular Session of the Louisiana Legislature and the Administrative Procedure Act, R.S. 49:950 et seq.</w:t>
      </w:r>
    </w:p>
    <w:p w14:paraId="740796FE"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Insurance, Office of the Commissioner, LR 52:1352 (August 2026).</w:t>
      </w:r>
    </w:p>
    <w:p w14:paraId="623873A6"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§21313.</w:t>
      </w:r>
      <w:r w:rsidRPr="00FC5566">
        <w:rPr>
          <w:b/>
          <w:kern w:val="2"/>
        </w:rPr>
        <w:tab/>
        <w:t>Qualification for Premium Discount</w:t>
      </w:r>
    </w:p>
    <w:p w14:paraId="2AB99E5E"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To qualify for the premium discount set forth in this regulation, the equipment used must:</w:t>
      </w:r>
    </w:p>
    <w:p w14:paraId="2DFD47AD"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be installed and operational at policy issuance or renewal;</w:t>
      </w:r>
    </w:p>
    <w:p w14:paraId="68B39548"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meet technical standards, including compatibility between equipment. Compatibility is subject to verification;</w:t>
      </w:r>
    </w:p>
    <w:p w14:paraId="4C72D867"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be in continuous use during the policy term. Use is subject to verification;</w:t>
      </w:r>
    </w:p>
    <w:p w14:paraId="6CE4BAD0"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Policyholders must provide proof of installation and/or operation via certificate from a vendor or a telematics data report upon request from insurer.</w:t>
      </w:r>
    </w:p>
    <w:p w14:paraId="1DDF9DC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szCs w:val="18"/>
        </w:rPr>
      </w:pPr>
      <w:bookmarkStart w:id="298" w:name="_Hlk184797878"/>
      <w:bookmarkStart w:id="299" w:name="_Hlk184797966"/>
      <w:bookmarkStart w:id="300" w:name="_Hlk182826306"/>
      <w:r w:rsidRPr="00FC5566">
        <w:rPr>
          <w:kern w:val="2"/>
          <w:sz w:val="18"/>
          <w:szCs w:val="18"/>
        </w:rPr>
        <w:t>AUTHORITY NOTE:</w:t>
      </w:r>
      <w:r w:rsidRPr="00FC5566">
        <w:rPr>
          <w:kern w:val="2"/>
          <w:sz w:val="18"/>
          <w:szCs w:val="18"/>
        </w:rPr>
        <w:tab/>
      </w:r>
      <w:r w:rsidRPr="00FC5566">
        <w:rPr>
          <w:kern w:val="2"/>
          <w:sz w:val="18"/>
        </w:rPr>
        <w:t>Promulgated in accordance with R.S. 22:1, 22:11, 22:1482.2, Act 19, 2025 Regular Session of the Louisiana Legislature and the Administrative Procedure Act, R.S. 49:950 et seq.</w:t>
      </w:r>
    </w:p>
    <w:p w14:paraId="26B47119"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Insurance, Office of the Commissioner, LR 52:1352 (August 2026).</w:t>
      </w:r>
    </w:p>
    <w:bookmarkEnd w:id="298"/>
    <w:bookmarkEnd w:id="299"/>
    <w:bookmarkEnd w:id="300"/>
    <w:p w14:paraId="7363A073"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§21315.</w:t>
      </w:r>
      <w:r w:rsidRPr="00FC5566">
        <w:rPr>
          <w:b/>
          <w:kern w:val="2"/>
        </w:rPr>
        <w:tab/>
        <w:t>Verification Procedures</w:t>
      </w:r>
    </w:p>
    <w:p w14:paraId="500F49D9"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Insurers are to annually verify compliance through policyholder’s submission of:</w:t>
      </w:r>
    </w:p>
    <w:p w14:paraId="7590DD39"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a telematics summary report, or;</w:t>
      </w:r>
    </w:p>
    <w:p w14:paraId="5183DA47"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a signed affidavit attesting to continuous operation of equipment.</w:t>
      </w:r>
    </w:p>
    <w:p w14:paraId="4A59B853"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Failure to maintain qualification for the premium discount may result in forfeiture of the discount at the next policy renewal, unless the discount is reinstated for proof of compliance.</w:t>
      </w:r>
    </w:p>
    <w:p w14:paraId="6F011C8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Insurers are to submit an annual report to the commissioner by March 1 of each calendar year detailing:</w:t>
      </w:r>
    </w:p>
    <w:p w14:paraId="18B00864"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number of commercial motor vehicles that are receiving the discount;</w:t>
      </w:r>
    </w:p>
    <w:p w14:paraId="343E915C"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aggregate savings provided to policyholders;</w:t>
      </w:r>
    </w:p>
    <w:p w14:paraId="5F5B56A1"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observed changes in claim frequency and severity.</w:t>
      </w:r>
    </w:p>
    <w:p w14:paraId="4E17410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D.</w:t>
      </w:r>
      <w:r w:rsidRPr="00FC5566">
        <w:rPr>
          <w:kern w:val="2"/>
        </w:rPr>
        <w:tab/>
        <w:t>Commissioner is to compile and submit a summary of the reports received.</w:t>
      </w:r>
    </w:p>
    <w:p w14:paraId="6D26312F"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szCs w:val="18"/>
        </w:rPr>
      </w:pPr>
      <w:r w:rsidRPr="00FC5566">
        <w:rPr>
          <w:kern w:val="2"/>
          <w:sz w:val="18"/>
          <w:szCs w:val="18"/>
        </w:rPr>
        <w:t>AUTHORITY NOTE:</w:t>
      </w:r>
      <w:r w:rsidRPr="00FC5566">
        <w:rPr>
          <w:kern w:val="2"/>
          <w:sz w:val="18"/>
          <w:szCs w:val="18"/>
        </w:rPr>
        <w:tab/>
      </w:r>
      <w:r w:rsidRPr="00FC5566">
        <w:rPr>
          <w:kern w:val="2"/>
          <w:sz w:val="18"/>
        </w:rPr>
        <w:t>Promulgated in accordance with R.S. 22:1, 22:11, 22:1482.2, Act 19, 2025 Regular Session of the Louisiana Legislature and the Administrative Procedure Act, R.S. 49:950 et seq.</w:t>
      </w:r>
    </w:p>
    <w:p w14:paraId="6D39C624"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Insurance, Office of the Commissioner, LR 52:1352 (August 2026).</w:t>
      </w:r>
    </w:p>
    <w:p w14:paraId="5C734CD6"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sz w:val="18"/>
          <w:szCs w:val="18"/>
        </w:rPr>
      </w:pPr>
      <w:r w:rsidRPr="00FC5566">
        <w:rPr>
          <w:b/>
          <w:bCs/>
          <w:kern w:val="2"/>
        </w:rPr>
        <w:t>§21317.</w:t>
      </w:r>
      <w:bookmarkStart w:id="301" w:name="_Hlk184800289"/>
      <w:r w:rsidRPr="00FC5566">
        <w:rPr>
          <w:b/>
          <w:bCs/>
          <w:kern w:val="2"/>
        </w:rPr>
        <w:tab/>
      </w:r>
      <w:r w:rsidRPr="00FC5566">
        <w:rPr>
          <w:b/>
          <w:kern w:val="2"/>
        </w:rPr>
        <w:t>Exemptions for Insurers</w:t>
      </w:r>
    </w:p>
    <w:bookmarkEnd w:id="301"/>
    <w:p w14:paraId="4E578E0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Insurers may qualify for an exemption but must:</w:t>
      </w:r>
    </w:p>
    <w:p w14:paraId="0FF065AF"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demonstrate the exemption is based upon actuarial justification that the discount is not warranted based on claims data specific to the insurer’s portfolio.</w:t>
      </w:r>
    </w:p>
    <w:p w14:paraId="1479947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szCs w:val="18"/>
        </w:rPr>
      </w:pPr>
      <w:r w:rsidRPr="00FC5566">
        <w:rPr>
          <w:kern w:val="2"/>
          <w:sz w:val="18"/>
          <w:szCs w:val="18"/>
        </w:rPr>
        <w:t>AUTHORITY NOTE:</w:t>
      </w:r>
      <w:r w:rsidRPr="00FC5566">
        <w:rPr>
          <w:kern w:val="2"/>
          <w:sz w:val="18"/>
          <w:szCs w:val="18"/>
        </w:rPr>
        <w:tab/>
      </w:r>
      <w:r w:rsidRPr="00FC5566">
        <w:rPr>
          <w:kern w:val="2"/>
          <w:sz w:val="18"/>
        </w:rPr>
        <w:t>Promulgated in accordance with R.S. 22:1, 22:11, 22:1482.2, Act 19, 2025 Regular Session of the Louisiana Legislature and the Administrative Procedure Act, R.S. 49:950 et seq.</w:t>
      </w:r>
    </w:p>
    <w:p w14:paraId="17413AF3"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Insurance, Office of the Commissioner, LR 52:1352 (August 2026).</w:t>
      </w:r>
    </w:p>
    <w:p w14:paraId="3C7F4C14"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§21319.</w:t>
      </w:r>
      <w:r w:rsidRPr="00FC5566">
        <w:rPr>
          <w:b/>
          <w:kern w:val="2"/>
        </w:rPr>
        <w:tab/>
        <w:t>Penalties</w:t>
      </w:r>
    </w:p>
    <w:p w14:paraId="7A965FE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Any insurer found to be in willful noncompliance with this Regulation 138, or the provisions of R.S. 22:1482.2, is subject to the penalties of R.S. 22:1969.</w:t>
      </w:r>
    </w:p>
    <w:p w14:paraId="75E9E314"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szCs w:val="18"/>
        </w:rPr>
      </w:pPr>
      <w:r w:rsidRPr="00FC5566">
        <w:rPr>
          <w:kern w:val="2"/>
          <w:sz w:val="18"/>
          <w:szCs w:val="18"/>
        </w:rPr>
        <w:t>AUTHORITY NOTE:</w:t>
      </w:r>
      <w:r w:rsidRPr="00FC5566">
        <w:rPr>
          <w:kern w:val="2"/>
          <w:sz w:val="18"/>
          <w:szCs w:val="18"/>
        </w:rPr>
        <w:tab/>
      </w:r>
      <w:r w:rsidRPr="00FC5566">
        <w:rPr>
          <w:kern w:val="2"/>
          <w:sz w:val="18"/>
        </w:rPr>
        <w:t>Promulgated in accordance with R.S. 22:1, 22:11, 22:1482.2, Act 19, 2025 Regular Session of the Louisiana Legislature and the Administrative Procedure Act, R.S. 49:950 et seq.</w:t>
      </w:r>
    </w:p>
    <w:p w14:paraId="28B95F18"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Insurance, Office of the Commissioner, LR 52:1352 (August 2026).</w:t>
      </w:r>
    </w:p>
    <w:p w14:paraId="6A81D3B0"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§21321.</w:t>
      </w:r>
      <w:r w:rsidRPr="00FC5566">
        <w:rPr>
          <w:b/>
          <w:kern w:val="2"/>
        </w:rPr>
        <w:tab/>
        <w:t>Effective Date</w:t>
      </w:r>
    </w:p>
    <w:p w14:paraId="11A2FB1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 xml:space="preserve">This regulation shall become effective upon final publication in the </w:t>
      </w:r>
      <w:r w:rsidRPr="00FC5566">
        <w:rPr>
          <w:i/>
          <w:iCs/>
          <w:kern w:val="2"/>
        </w:rPr>
        <w:t>Louisiana Register</w:t>
      </w:r>
      <w:r w:rsidRPr="00FC5566">
        <w:rPr>
          <w:kern w:val="2"/>
        </w:rPr>
        <w:t>.</w:t>
      </w:r>
    </w:p>
    <w:p w14:paraId="3486F693"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szCs w:val="18"/>
        </w:rPr>
      </w:pPr>
      <w:r w:rsidRPr="00FC5566">
        <w:rPr>
          <w:kern w:val="2"/>
          <w:sz w:val="18"/>
          <w:szCs w:val="18"/>
        </w:rPr>
        <w:t>AUTHORITY NOTE:</w:t>
      </w:r>
      <w:r w:rsidRPr="00FC5566">
        <w:rPr>
          <w:kern w:val="2"/>
          <w:sz w:val="18"/>
          <w:szCs w:val="18"/>
        </w:rPr>
        <w:tab/>
      </w:r>
      <w:r w:rsidRPr="00FC5566">
        <w:rPr>
          <w:kern w:val="2"/>
          <w:sz w:val="18"/>
        </w:rPr>
        <w:t>Promulgated in accordance with R.S. 22:1, 22:11, 22:1482.2, Act 19, 2025 Regular Session of the Louisiana Legislature and the Administrative Procedure Act, R.S. 49:950 et seq.</w:t>
      </w:r>
    </w:p>
    <w:p w14:paraId="38AE23BE"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Insurance, Office of the Commissioner, LR 52:1352 (August 2026).</w:t>
      </w:r>
    </w:p>
    <w:p w14:paraId="0B9E0EA9"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p>
    <w:p w14:paraId="49A52CAE" w14:textId="77777777" w:rsidR="00FC5566" w:rsidRPr="00FC5566" w:rsidRDefault="00FC5566" w:rsidP="00FC5566">
      <w:pPr>
        <w:keepNext/>
        <w:ind w:left="2160"/>
        <w:jc w:val="both"/>
        <w:rPr>
          <w:rFonts w:eastAsia="Calibri"/>
        </w:rPr>
      </w:pPr>
      <w:r w:rsidRPr="00FC5566">
        <w:rPr>
          <w:rFonts w:eastAsia="Calibri"/>
        </w:rPr>
        <w:t>Timothy J. Temple</w:t>
      </w:r>
    </w:p>
    <w:p w14:paraId="60AFED65" w14:textId="77777777" w:rsidR="00FC5566" w:rsidRPr="00FC5566" w:rsidRDefault="00FC5566" w:rsidP="00FC5566">
      <w:pPr>
        <w:keepNext/>
        <w:ind w:left="2160"/>
        <w:jc w:val="both"/>
        <w:rPr>
          <w:rFonts w:eastAsia="Calibri"/>
        </w:rPr>
      </w:pPr>
      <w:r w:rsidRPr="00FC5566">
        <w:rPr>
          <w:rFonts w:eastAsia="Calibri"/>
        </w:rPr>
        <w:t>Commissioner</w:t>
      </w:r>
    </w:p>
    <w:p w14:paraId="583321E4" w14:textId="77777777" w:rsidR="00FC5566" w:rsidRPr="00FC5566" w:rsidRDefault="00FC5566" w:rsidP="00FC5566">
      <w:pPr>
        <w:rPr>
          <w:noProof/>
          <w:sz w:val="16"/>
        </w:rPr>
      </w:pPr>
      <w:r w:rsidRPr="00FC5566">
        <w:rPr>
          <w:noProof/>
          <w:sz w:val="16"/>
        </w:rPr>
        <w:t>2608#050</w:t>
      </w:r>
    </w:p>
    <w:p w14:paraId="3CA81EBD" w14:textId="77777777" w:rsidR="00FC5566" w:rsidRPr="00FC5566" w:rsidRDefault="00FC5566" w:rsidP="00FC5566"/>
    <w:p w14:paraId="18B01C9E" w14:textId="77777777" w:rsidR="00FC5566" w:rsidRPr="00FC5566" w:rsidRDefault="00FC5566" w:rsidP="00FC5566">
      <w:pPr>
        <w:keepNext/>
        <w:tabs>
          <w:tab w:val="left" w:pos="-1440"/>
        </w:tabs>
        <w:spacing w:after="120"/>
        <w:jc w:val="center"/>
        <w:rPr>
          <w:rFonts w:eastAsia="Calibri"/>
          <w:b/>
          <w:noProof/>
        </w:rPr>
      </w:pPr>
      <w:r w:rsidRPr="00FC5566">
        <w:rPr>
          <w:rFonts w:eastAsia="Calibri"/>
          <w:b/>
          <w:noProof/>
        </w:rPr>
        <w:t>RULE</w:t>
      </w:r>
    </w:p>
    <w:p w14:paraId="374698B7" w14:textId="77777777" w:rsidR="00FC5566" w:rsidRPr="00FC5566" w:rsidRDefault="00FC5566" w:rsidP="00FC5566">
      <w:pPr>
        <w:keepNext/>
        <w:jc w:val="center"/>
        <w:rPr>
          <w:rFonts w:eastAsia="Calibri"/>
          <w:b/>
          <w:noProof/>
        </w:rPr>
      </w:pPr>
      <w:r w:rsidRPr="00FC5566">
        <w:rPr>
          <w:rFonts w:eastAsia="Calibri"/>
          <w:b/>
          <w:noProof/>
        </w:rPr>
        <w:t>Department of Insurance</w:t>
      </w:r>
    </w:p>
    <w:p w14:paraId="2A5D6A9D" w14:textId="77777777" w:rsidR="00FC5566" w:rsidRPr="00FC5566" w:rsidRDefault="00FC5566" w:rsidP="00FC5566">
      <w:pPr>
        <w:keepNext/>
        <w:jc w:val="center"/>
        <w:rPr>
          <w:rFonts w:eastAsia="Calibri"/>
          <w:b/>
          <w:noProof/>
        </w:rPr>
      </w:pPr>
      <w:r w:rsidRPr="00FC5566">
        <w:rPr>
          <w:rFonts w:eastAsia="Calibri"/>
          <w:b/>
          <w:noProof/>
        </w:rPr>
        <w:t>Office of the Commissioner</w:t>
      </w:r>
    </w:p>
    <w:p w14:paraId="5CCFE379" w14:textId="77777777" w:rsidR="00FC5566" w:rsidRPr="00FC5566" w:rsidRDefault="00FC5566" w:rsidP="00FC5566">
      <w:pPr>
        <w:keepNext/>
        <w:spacing w:before="240" w:after="240"/>
        <w:jc w:val="center"/>
        <w:rPr>
          <w:rFonts w:eastAsia="Calibri"/>
          <w:noProof/>
        </w:rPr>
      </w:pPr>
      <w:r w:rsidRPr="00FC5566">
        <w:rPr>
          <w:rFonts w:eastAsia="Calibri"/>
          <w:noProof/>
        </w:rPr>
        <w:t xml:space="preserve">Rule 13—Special Assessment; Creation of </w:t>
      </w:r>
      <w:r w:rsidRPr="00FC5566">
        <w:rPr>
          <w:rFonts w:eastAsia="Calibri"/>
          <w:noProof/>
        </w:rPr>
        <w:br/>
        <w:t xml:space="preserve">Dedicated Fund Account (LAC 37:XI.2309) </w:t>
      </w:r>
    </w:p>
    <w:p w14:paraId="2E567C03"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kern w:val="2"/>
        </w:rPr>
        <w:t>In accordance with the Administrative Procedure Act, and through the authority granted under R.S. 22:1 and 22:11 et seq., the Department of Insurance has amended Rule 13. Rule 13 was originally promulgated in 2000, in accordance with the authority provided through R.S. 40:1428 and 1429. Since Rule 13 was originally published, R.S. 40:1428 and 1429 have been amended by Act 369 of the 2001 Regular Session, Act 147 of the 2018 Regular Session, Act 340 of the 2024 Regular Legislative Session, which amended R.S. 40:1428 and repealed R.S. 40:1429, and now Act 83 of the 2025 Regular Session amends R.S. 40:1428. These amendments reflect the changes in the law as stated by current law under R.S. 40:1428. This Rule is hereby adopted on the day of promulgation.</w:t>
      </w:r>
    </w:p>
    <w:p w14:paraId="46E05DE0" w14:textId="77777777" w:rsidR="00FC5566" w:rsidRPr="00FC5566" w:rsidRDefault="00FC5566" w:rsidP="00FC5566">
      <w:pPr>
        <w:keepNext/>
        <w:jc w:val="center"/>
        <w:rPr>
          <w:rFonts w:eastAsia="Calibri"/>
          <w:b/>
          <w:kern w:val="28"/>
        </w:rPr>
      </w:pPr>
      <w:r w:rsidRPr="00FC5566">
        <w:rPr>
          <w:rFonts w:eastAsia="Calibri"/>
          <w:b/>
          <w:kern w:val="28"/>
        </w:rPr>
        <w:t>Title 37</w:t>
      </w:r>
    </w:p>
    <w:p w14:paraId="287E2B99" w14:textId="77777777" w:rsidR="00FC5566" w:rsidRPr="00FC5566" w:rsidRDefault="00FC5566" w:rsidP="00FC5566">
      <w:pPr>
        <w:keepNext/>
        <w:jc w:val="center"/>
        <w:rPr>
          <w:rFonts w:eastAsia="Calibri"/>
          <w:b/>
          <w:kern w:val="28"/>
        </w:rPr>
      </w:pPr>
      <w:r w:rsidRPr="00FC5566">
        <w:rPr>
          <w:rFonts w:eastAsia="Calibri"/>
          <w:b/>
          <w:kern w:val="28"/>
        </w:rPr>
        <w:t>INSURANCE</w:t>
      </w:r>
    </w:p>
    <w:p w14:paraId="0B5B6287" w14:textId="77777777" w:rsidR="00FC5566" w:rsidRPr="00FC5566" w:rsidRDefault="00FC5566" w:rsidP="00FC5566">
      <w:pPr>
        <w:keepNext/>
        <w:jc w:val="center"/>
        <w:rPr>
          <w:rFonts w:eastAsia="Calibri"/>
          <w:b/>
          <w:noProof/>
        </w:rPr>
      </w:pPr>
      <w:r w:rsidRPr="00FC5566">
        <w:rPr>
          <w:rFonts w:eastAsia="Calibri"/>
          <w:b/>
          <w:noProof/>
        </w:rPr>
        <w:t>Part XI.  Rules</w:t>
      </w:r>
    </w:p>
    <w:p w14:paraId="4BDF95A1"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rFonts w:eastAsia="Calibri"/>
          <w:b/>
          <w:kern w:val="2"/>
        </w:rPr>
      </w:pPr>
      <w:r w:rsidRPr="00FC5566">
        <w:rPr>
          <w:rFonts w:eastAsia="Calibri"/>
          <w:b/>
          <w:kern w:val="2"/>
        </w:rPr>
        <w:t>Chapter 23.</w:t>
      </w:r>
      <w:r w:rsidRPr="00FC5566">
        <w:rPr>
          <w:rFonts w:eastAsia="Calibri"/>
          <w:b/>
          <w:kern w:val="2"/>
        </w:rPr>
        <w:tab/>
        <w:t>Rule 13—Special Assessment; Creation of Dedicated Fund Account</w:t>
      </w:r>
    </w:p>
    <w:p w14:paraId="5B7C315B" w14:textId="77777777" w:rsidR="00FC5566" w:rsidRPr="00FC5566" w:rsidRDefault="00FC5566" w:rsidP="00FC5566">
      <w:pPr>
        <w:ind w:left="432" w:right="432"/>
        <w:jc w:val="both"/>
        <w:rPr>
          <w:rFonts w:eastAsia="Calibri"/>
          <w:noProof/>
          <w:sz w:val="16"/>
          <w:szCs w:val="16"/>
        </w:rPr>
      </w:pPr>
      <w:r w:rsidRPr="00FC5566">
        <w:rPr>
          <w:rFonts w:eastAsia="Calibri"/>
          <w:noProof/>
          <w:sz w:val="16"/>
          <w:szCs w:val="16"/>
        </w:rPr>
        <w:t>Editor’s Note: Refer to Act No. 369 of the 2001 Regular Legislative Session, Act 293 of the 2003 Regular Legislative Session; Act 1013 of the 2010 Regular Legislative Session; and Act 193 of the 2016 Regular Legislative Session.</w:t>
      </w:r>
    </w:p>
    <w:p w14:paraId="467E512A"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rFonts w:eastAsia="Calibri"/>
          <w:b/>
          <w:kern w:val="2"/>
        </w:rPr>
      </w:pPr>
      <w:r w:rsidRPr="00FC5566">
        <w:rPr>
          <w:rFonts w:eastAsia="Calibri"/>
          <w:b/>
          <w:kern w:val="2"/>
        </w:rPr>
        <w:lastRenderedPageBreak/>
        <w:t>§2309.</w:t>
      </w:r>
      <w:r w:rsidRPr="00FC5566">
        <w:rPr>
          <w:rFonts w:eastAsia="Calibri"/>
          <w:b/>
          <w:kern w:val="2"/>
        </w:rPr>
        <w:tab/>
        <w:t>Payment of the Fee Assessment</w:t>
      </w:r>
    </w:p>
    <w:p w14:paraId="76FCA1AE"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A.</w:t>
      </w:r>
      <w:r w:rsidRPr="00FC5566">
        <w:rPr>
          <w:rFonts w:eastAsia="Calibri"/>
          <w:kern w:val="2"/>
        </w:rPr>
        <w:tab/>
        <w:t>…</w:t>
      </w:r>
    </w:p>
    <w:p w14:paraId="54D37FDA"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B.</w:t>
      </w:r>
      <w:r w:rsidRPr="00FC5566">
        <w:rPr>
          <w:rFonts w:eastAsia="Calibri"/>
          <w:kern w:val="2"/>
        </w:rPr>
        <w:tab/>
        <w:t>After compliance with the requirements of Article VII, Section 9(B) of the Constitution of Louisiana relative to the Bond Security and Redemption Fund, an amount equal to that deposited as required by R.S. 40:1428 shall be credited to the Insurance Fraud Investigation Fund in the state treasury. The monies shall be irrevocably dedicated and deposited in the Insurance Fraud Investigation Fund and shall be used solely as provided in R.S. 40:1428(A) and only in the amounts appropriated by the legislature. Monies in the fund shall be appropriated, administered, and used solely and exclusively for the purposes of the fraud unit, fraud support unit, insurance fraud section, and as further provided in R.S. 40:1428. All unexpended and unencumbered monies in this fund at the end of the fiscal year remain in the account.</w:t>
      </w:r>
    </w:p>
    <w:p w14:paraId="50DCC0E9"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rFonts w:eastAsia="Calibri"/>
          <w:kern w:val="2"/>
          <w:sz w:val="18"/>
        </w:rPr>
      </w:pPr>
      <w:r w:rsidRPr="00FC5566">
        <w:rPr>
          <w:rFonts w:eastAsia="Calibri"/>
          <w:kern w:val="2"/>
          <w:sz w:val="18"/>
        </w:rPr>
        <w:t>AUTHORITY NOTE:</w:t>
      </w:r>
      <w:r w:rsidRPr="00FC5566">
        <w:rPr>
          <w:rFonts w:eastAsia="Calibri"/>
          <w:kern w:val="2"/>
          <w:sz w:val="18"/>
        </w:rPr>
        <w:tab/>
        <w:t>Promulgated in accordance with R.S. 22:2, and R.S. 40:1428.</w:t>
      </w:r>
    </w:p>
    <w:p w14:paraId="3FE18801"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rFonts w:eastAsia="Calibri"/>
          <w:bCs/>
          <w:kern w:val="2"/>
          <w:sz w:val="18"/>
        </w:rPr>
      </w:pPr>
      <w:r w:rsidRPr="00FC5566">
        <w:rPr>
          <w:rFonts w:eastAsia="Calibri"/>
          <w:kern w:val="2"/>
          <w:sz w:val="18"/>
        </w:rPr>
        <w:t>HISTORICAL NOTE:</w:t>
      </w:r>
      <w:r w:rsidRPr="00FC5566">
        <w:rPr>
          <w:rFonts w:eastAsia="Calibri"/>
          <w:kern w:val="2"/>
          <w:sz w:val="18"/>
        </w:rPr>
        <w:tab/>
      </w:r>
      <w:r w:rsidRPr="00FC5566">
        <w:rPr>
          <w:kern w:val="2"/>
          <w:sz w:val="18"/>
        </w:rPr>
        <w:t xml:space="preserve">Promulgated by the Department of Insurance, Office of the Commissioner, LR 26:323 (February 2000), amended LR 45:64 (January 2019), LR 50:526 (April 2024), LR 51:969 (July 2025), </w:t>
      </w:r>
      <w:r w:rsidRPr="00FC5566">
        <w:rPr>
          <w:rFonts w:eastAsia="Calibri"/>
          <w:kern w:val="2"/>
          <w:sz w:val="18"/>
        </w:rPr>
        <w:t>LR 52:1353 (August 2026).</w:t>
      </w:r>
    </w:p>
    <w:p w14:paraId="4A2B74A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p w14:paraId="00268F19" w14:textId="77777777" w:rsidR="00FC5566" w:rsidRPr="00FC5566" w:rsidRDefault="00FC5566" w:rsidP="00FC5566">
      <w:pPr>
        <w:keepNext/>
        <w:ind w:left="2160"/>
        <w:jc w:val="both"/>
      </w:pPr>
      <w:r w:rsidRPr="00FC5566">
        <w:t>Timothy J. Temple</w:t>
      </w:r>
    </w:p>
    <w:p w14:paraId="624C6B8D" w14:textId="77777777" w:rsidR="00FC5566" w:rsidRPr="00FC5566" w:rsidRDefault="00FC5566" w:rsidP="00FC5566">
      <w:pPr>
        <w:keepNext/>
        <w:ind w:left="2160"/>
        <w:jc w:val="both"/>
      </w:pPr>
      <w:r w:rsidRPr="00FC5566">
        <w:t>Commissioner</w:t>
      </w:r>
    </w:p>
    <w:p w14:paraId="28C6E647" w14:textId="77777777" w:rsidR="00FC5566" w:rsidRPr="00FC5566" w:rsidRDefault="00FC5566" w:rsidP="00FC5566">
      <w:pPr>
        <w:rPr>
          <w:noProof/>
          <w:sz w:val="16"/>
        </w:rPr>
      </w:pPr>
      <w:r w:rsidRPr="00FC5566">
        <w:rPr>
          <w:noProof/>
          <w:sz w:val="16"/>
        </w:rPr>
        <w:t>2608#051</w:t>
      </w:r>
    </w:p>
    <w:p w14:paraId="717D02CA" w14:textId="77777777" w:rsidR="00FC5566" w:rsidRPr="00FC5566" w:rsidRDefault="00FC5566" w:rsidP="00FC5566"/>
    <w:p w14:paraId="63E0E6C8" w14:textId="77777777" w:rsidR="00FC5566" w:rsidRPr="00FC5566" w:rsidRDefault="00FC5566" w:rsidP="00FC5566">
      <w:pPr>
        <w:keepNext/>
        <w:tabs>
          <w:tab w:val="left" w:pos="-1440"/>
        </w:tabs>
        <w:spacing w:after="120"/>
        <w:jc w:val="center"/>
        <w:rPr>
          <w:b/>
          <w:noProof/>
        </w:rPr>
      </w:pPr>
      <w:r w:rsidRPr="00FC5566">
        <w:rPr>
          <w:b/>
          <w:noProof/>
        </w:rPr>
        <w:t>RULE</w:t>
      </w:r>
    </w:p>
    <w:p w14:paraId="460279F9" w14:textId="77777777" w:rsidR="00FC5566" w:rsidRPr="00FC5566" w:rsidRDefault="00FC5566" w:rsidP="00FC5566">
      <w:pPr>
        <w:keepNext/>
        <w:jc w:val="center"/>
        <w:rPr>
          <w:b/>
          <w:noProof/>
        </w:rPr>
      </w:pPr>
      <w:r w:rsidRPr="00FC5566">
        <w:rPr>
          <w:b/>
          <w:noProof/>
        </w:rPr>
        <w:t>Louisiana Works</w:t>
      </w:r>
    </w:p>
    <w:p w14:paraId="680E0DD6" w14:textId="77777777" w:rsidR="00FC5566" w:rsidRPr="00FC5566" w:rsidRDefault="00FC5566" w:rsidP="00FC5566">
      <w:pPr>
        <w:keepNext/>
        <w:jc w:val="center"/>
        <w:rPr>
          <w:b/>
          <w:noProof/>
        </w:rPr>
      </w:pPr>
      <w:r w:rsidRPr="00FC5566">
        <w:rPr>
          <w:b/>
          <w:noProof/>
        </w:rPr>
        <w:t>Office of Workers' Compensation Administration</w:t>
      </w:r>
    </w:p>
    <w:p w14:paraId="7E35B669" w14:textId="77777777" w:rsidR="00FC5566" w:rsidRPr="00FC5566" w:rsidRDefault="00FC5566" w:rsidP="00FC5566">
      <w:pPr>
        <w:keepNext/>
        <w:spacing w:before="240" w:after="240"/>
        <w:jc w:val="center"/>
        <w:rPr>
          <w:noProof/>
        </w:rPr>
      </w:pPr>
      <w:r w:rsidRPr="00FC5566">
        <w:rPr>
          <w:noProof/>
        </w:rPr>
        <w:t xml:space="preserve">Drug Testing Programs in Job-Related Accident Cases </w:t>
      </w:r>
      <w:r w:rsidRPr="00FC5566">
        <w:rPr>
          <w:noProof/>
        </w:rPr>
        <w:br/>
        <w:t>(LAC 40:I.Chapter 15)</w:t>
      </w:r>
    </w:p>
    <w:p w14:paraId="6DA3DB0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 xml:space="preserve">The Louisiana Works has amended certain portions of the </w:t>
      </w:r>
      <w:r w:rsidRPr="00FC5566">
        <w:rPr>
          <w:i/>
          <w:iCs/>
          <w:kern w:val="2"/>
        </w:rPr>
        <w:t>Louisiana Administrative Code</w:t>
      </w:r>
      <w:r w:rsidRPr="00FC5566">
        <w:rPr>
          <w:kern w:val="2"/>
        </w:rPr>
        <w:t xml:space="preserve">, Title 40, Labor and Employment, Part I, Workers’ Compensation Administration, Subpart 1, General Administration, Chapter 15. The purpose of this amendment is to correct outdated references, modify testing requirements, and align with current practices. These changes modernize the rules for current OWCA administration. This Rule is promulgated by the authority vested in the assistant secretary of the Office of Workers’ Compensation Administration, found in R.S. 23:1081 and R.S. 23:1291. This Rule is hereby adopted on the day of promulgation. </w:t>
      </w:r>
    </w:p>
    <w:p w14:paraId="421638D7" w14:textId="77777777" w:rsidR="00FC5566" w:rsidRPr="00FC5566" w:rsidRDefault="00FC5566" w:rsidP="00FC5566">
      <w:pPr>
        <w:keepNext/>
        <w:jc w:val="center"/>
        <w:rPr>
          <w:b/>
          <w:kern w:val="28"/>
        </w:rPr>
      </w:pPr>
      <w:r w:rsidRPr="00FC5566">
        <w:rPr>
          <w:b/>
          <w:kern w:val="28"/>
        </w:rPr>
        <w:t>Title 40</w:t>
      </w:r>
    </w:p>
    <w:p w14:paraId="698F6AD7" w14:textId="77777777" w:rsidR="00FC5566" w:rsidRPr="00FC5566" w:rsidRDefault="00FC5566" w:rsidP="00FC5566">
      <w:pPr>
        <w:keepNext/>
        <w:jc w:val="center"/>
        <w:rPr>
          <w:b/>
          <w:kern w:val="28"/>
        </w:rPr>
      </w:pPr>
      <w:r w:rsidRPr="00FC5566">
        <w:rPr>
          <w:b/>
          <w:kern w:val="28"/>
        </w:rPr>
        <w:t>LABOR AND EMPLOYMENT</w:t>
      </w:r>
    </w:p>
    <w:p w14:paraId="3E02B909" w14:textId="77777777" w:rsidR="00FC5566" w:rsidRPr="00FC5566" w:rsidRDefault="00FC5566" w:rsidP="00FC5566">
      <w:pPr>
        <w:keepNext/>
        <w:jc w:val="center"/>
        <w:rPr>
          <w:b/>
          <w:noProof/>
        </w:rPr>
      </w:pPr>
      <w:r w:rsidRPr="00FC5566">
        <w:rPr>
          <w:b/>
          <w:noProof/>
        </w:rPr>
        <w:t>Part I.  Workers' Compensation Administration</w:t>
      </w:r>
    </w:p>
    <w:p w14:paraId="09815C93" w14:textId="77777777" w:rsidR="00FC5566" w:rsidRPr="00FC5566" w:rsidRDefault="00FC5566" w:rsidP="00FC5566">
      <w:pPr>
        <w:keepNext/>
        <w:jc w:val="center"/>
        <w:rPr>
          <w:b/>
          <w:noProof/>
        </w:rPr>
      </w:pPr>
      <w:r w:rsidRPr="00FC5566">
        <w:rPr>
          <w:b/>
          <w:noProof/>
        </w:rPr>
        <w:t>Subpart 1.  General Administration</w:t>
      </w:r>
    </w:p>
    <w:p w14:paraId="42C91FC3"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Chapter 15.</w:t>
      </w:r>
      <w:r w:rsidRPr="00FC5566">
        <w:rPr>
          <w:b/>
          <w:kern w:val="2"/>
        </w:rPr>
        <w:tab/>
        <w:t xml:space="preserve">Drug Testing Programs in Job Related Accident Cases </w:t>
      </w:r>
    </w:p>
    <w:p w14:paraId="38D443B2"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§1501.</w:t>
      </w:r>
      <w:r w:rsidRPr="00FC5566">
        <w:rPr>
          <w:b/>
          <w:kern w:val="2"/>
        </w:rPr>
        <w:tab/>
        <w:t xml:space="preserve">Introduction </w:t>
      </w:r>
    </w:p>
    <w:p w14:paraId="4235E4EC"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 xml:space="preserve">… </w:t>
      </w:r>
    </w:p>
    <w:p w14:paraId="289C02BC"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 xml:space="preserve">Laboratories may not deviate from the provisions of these guidelines without the written approval of the assistant secretary of the Office of Workers' Compensation Administration, or his designee. </w:t>
      </w:r>
    </w:p>
    <w:p w14:paraId="0421A757"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 xml:space="preserve">The assistant secretary of the Office of Workers' Compensation Administration or his designee may routinely update these guidelines for the purpose of conforming them to advances in technology or providing additional guidance. </w:t>
      </w:r>
    </w:p>
    <w:p w14:paraId="1A1D5B32"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 xml:space="preserve">Promulgated in accordance with R.S. 23:1081(9). </w:t>
      </w:r>
    </w:p>
    <w:p w14:paraId="7340558B"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Employment and Training, Office of Workers' Compensation, LR 16:851 (October 1990), repromulgated LR 17:773 (August 1991), amended by the Louisiana Works, Office of Workers' Compensation</w:t>
      </w:r>
      <w:r w:rsidRPr="00FC5566">
        <w:rPr>
          <w:kern w:val="2"/>
          <w:sz w:val="18"/>
          <w:lang w:eastAsia="x-none"/>
        </w:rPr>
        <w:t xml:space="preserve"> Administration</w:t>
      </w:r>
      <w:r w:rsidRPr="00FC5566">
        <w:rPr>
          <w:kern w:val="2"/>
          <w:sz w:val="18"/>
        </w:rPr>
        <w:t>, LR 52:1353 (August 2026).</w:t>
      </w:r>
    </w:p>
    <w:p w14:paraId="061EA12C"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§1503.</w:t>
      </w:r>
      <w:r w:rsidRPr="00FC5566">
        <w:rPr>
          <w:b/>
          <w:kern w:val="2"/>
        </w:rPr>
        <w:tab/>
        <w:t xml:space="preserve">Scientific and Technical Requirements </w:t>
      </w:r>
    </w:p>
    <w:p w14:paraId="6019C93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w:t>
      </w:r>
    </w:p>
    <w:p w14:paraId="5848E73F"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 xml:space="preserve">Definitions </w:t>
      </w:r>
    </w:p>
    <w:p w14:paraId="7FDC326D"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FC5566">
        <w:rPr>
          <w:kern w:val="2"/>
        </w:rPr>
        <w:t>* * *</w:t>
      </w:r>
    </w:p>
    <w:p w14:paraId="3D8777EF" w14:textId="77777777" w:rsidR="00FC5566" w:rsidRPr="00FC5566" w:rsidRDefault="00FC5566" w:rsidP="00FC5566">
      <w:pPr>
        <w:tabs>
          <w:tab w:val="left" w:pos="720"/>
          <w:tab w:val="left" w:pos="979"/>
          <w:tab w:val="left" w:pos="1152"/>
        </w:tabs>
        <w:ind w:firstLine="360"/>
        <w:jc w:val="both"/>
        <w:outlineLvl w:val="4"/>
        <w:rPr>
          <w:kern w:val="2"/>
        </w:rPr>
      </w:pPr>
      <w:r w:rsidRPr="00FC5566">
        <w:rPr>
          <w:i/>
          <w:kern w:val="2"/>
        </w:rPr>
        <w:t>Confirmatory Test</w:t>
      </w:r>
      <w:r w:rsidRPr="00FC5566">
        <w:rPr>
          <w:kern w:val="2"/>
        </w:rPr>
        <w:t xml:space="preserve">—a second analytical procedure used to identify the presence of a specific drug or metabolite in a specimen. The confirmatory test must be different in technique and chemical principle from that of the initial test procedure to ensure reliability and accuracy. At this time gas chromatography/mass spectrometry (GC/MS) is the only authorized confirmation method. Headspace gas chromatography is authorized for confirmation of alcohol (ethanol) concentrations in specimens. </w:t>
      </w:r>
    </w:p>
    <w:p w14:paraId="1110DAE0"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FC5566">
        <w:rPr>
          <w:kern w:val="2"/>
        </w:rPr>
        <w:t>* * *</w:t>
      </w:r>
    </w:p>
    <w:p w14:paraId="4EA98F0D"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 xml:space="preserve">Promulgated in accordance with R.S. 23:1081(9). </w:t>
      </w:r>
    </w:p>
    <w:p w14:paraId="59E1D118"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Employment and Training, Office of Workers' Compensation, LR 16:851 (October 1990), repromulgated LR 17:773 (August 1991), amended by the Louisiana Works, Office of Workers' Compensation</w:t>
      </w:r>
      <w:r w:rsidRPr="00FC5566">
        <w:rPr>
          <w:kern w:val="2"/>
          <w:sz w:val="18"/>
          <w:lang w:eastAsia="x-none"/>
        </w:rPr>
        <w:t xml:space="preserve"> Administration</w:t>
      </w:r>
      <w:r w:rsidRPr="00FC5566">
        <w:rPr>
          <w:kern w:val="2"/>
          <w:sz w:val="18"/>
        </w:rPr>
        <w:t xml:space="preserve">, LR 52:1353 (August 2026). </w:t>
      </w:r>
    </w:p>
    <w:p w14:paraId="471F6AB9"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§1505.</w:t>
      </w:r>
      <w:r w:rsidRPr="00FC5566">
        <w:rPr>
          <w:b/>
          <w:kern w:val="2"/>
        </w:rPr>
        <w:tab/>
        <w:t xml:space="preserve">Specimen Collection Procedures </w:t>
      </w:r>
    </w:p>
    <w:p w14:paraId="1B4E0F5B"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A.2.</w:t>
      </w:r>
      <w:r w:rsidRPr="00FC5566">
        <w:rPr>
          <w:kern w:val="2"/>
        </w:rPr>
        <w:tab/>
        <w:t>…</w:t>
      </w:r>
    </w:p>
    <w:p w14:paraId="1CAFC8D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 xml:space="preserve">Collection Procedures </w:t>
      </w:r>
    </w:p>
    <w:p w14:paraId="1EB97F9C"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 - 1.k.</w:t>
      </w:r>
      <w:r w:rsidRPr="00FC5566">
        <w:rPr>
          <w:kern w:val="2"/>
        </w:rPr>
        <w:tab/>
        <w:t xml:space="preserve">… </w:t>
      </w:r>
    </w:p>
    <w:p w14:paraId="4D61356C" w14:textId="77777777" w:rsidR="00FC5566" w:rsidRPr="00FC5566" w:rsidRDefault="00FC5566" w:rsidP="00FC5566">
      <w:pPr>
        <w:tabs>
          <w:tab w:val="left" w:pos="907"/>
        </w:tabs>
        <w:ind w:firstLine="547"/>
        <w:jc w:val="both"/>
        <w:outlineLvl w:val="5"/>
        <w:rPr>
          <w:kern w:val="2"/>
        </w:rPr>
      </w:pPr>
      <w:r w:rsidRPr="00FC5566">
        <w:rPr>
          <w:kern w:val="2"/>
        </w:rPr>
        <w:t>l.</w:t>
      </w:r>
      <w:r w:rsidRPr="00FC5566">
        <w:rPr>
          <w:kern w:val="2"/>
        </w:rPr>
        <w:tab/>
        <w:t xml:space="preserve">In the event blood is required, it should be collected in a tube containing sodium fluoride and potassium oxalate as a preservative. To ensure no adulteration of the blood specimen, alcohol shall not be used as a disinfectant, but benzalkonium chloride, green surgical soap, hydrogen peroxide, or a nonalcoholic equivalent, shall be used. </w:t>
      </w:r>
    </w:p>
    <w:p w14:paraId="254B6174"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 xml:space="preserve">During the performance of any part of the chain of custody procedures, it is essential that the specimen and custody documents be under the control of the involved collector. </w:t>
      </w:r>
    </w:p>
    <w:p w14:paraId="57E66439"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B.2.a. - C.</w:t>
      </w:r>
      <w:r w:rsidRPr="00FC5566">
        <w:rPr>
          <w:kern w:val="2"/>
        </w:rPr>
        <w:tab/>
        <w:t>…</w:t>
      </w:r>
    </w:p>
    <w:p w14:paraId="3C9FCAAE"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D.</w:t>
      </w:r>
      <w:r w:rsidRPr="00FC5566">
        <w:rPr>
          <w:kern w:val="2"/>
        </w:rPr>
        <w:tab/>
        <w:t xml:space="preserve">Transportation to Laboratory. After collection of specimens, collectors shall arrange to ship the specimens to the drug testing laboratory. The specimens shall be placed in appropriate containers (specimen boxes or padded mailers) that are securely sealed to eliminate the possibility of tampering. Collectors shall sign and date across the tape sealing the containers and ensure that the chain of custody documentation is attached to each sealed container. An outer mailing wrapper shall be placed around each sealed container. Specimens may be delivered to the drug testing laboratory using either the United States Postal Service, commercial air freight, air express, or may be hand-carried. It is unnecessary to send specimens by registered mail. </w:t>
      </w:r>
    </w:p>
    <w:p w14:paraId="592F453C"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 xml:space="preserve">AUTHORITY NOTE: Promulgated in accordance with R.S. 23:1081(9). </w:t>
      </w:r>
    </w:p>
    <w:p w14:paraId="057FE857"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 Promulgated by the Department of Employment and Training, Office of Workers' Compensation, LR 16:851 (October 1990), repromulgated LR 17:773 (August 1991), amended by the Louisiana Works, Office of Workers' Compensation</w:t>
      </w:r>
      <w:r w:rsidRPr="00FC5566">
        <w:rPr>
          <w:kern w:val="2"/>
          <w:sz w:val="18"/>
          <w:lang w:eastAsia="x-none"/>
        </w:rPr>
        <w:t xml:space="preserve"> Administration</w:t>
      </w:r>
      <w:r w:rsidRPr="00FC5566">
        <w:rPr>
          <w:kern w:val="2"/>
          <w:sz w:val="18"/>
        </w:rPr>
        <w:t>, LR 52:1353 (August 2026).</w:t>
      </w:r>
    </w:p>
    <w:p w14:paraId="17010768"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lastRenderedPageBreak/>
        <w:t>§1507.</w:t>
      </w:r>
      <w:r w:rsidRPr="00FC5566">
        <w:rPr>
          <w:b/>
          <w:kern w:val="2"/>
        </w:rPr>
        <w:tab/>
        <w:t xml:space="preserve">Laboratory Analysis Procedures </w:t>
      </w:r>
    </w:p>
    <w:p w14:paraId="1D85E44B"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 xml:space="preserve">Receiving/Preparation </w:t>
      </w:r>
    </w:p>
    <w:p w14:paraId="3493DDF9"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 - 2.</w:t>
      </w:r>
      <w:r w:rsidRPr="00FC5566">
        <w:rPr>
          <w:kern w:val="2"/>
        </w:rPr>
        <w:tab/>
        <w:t>…</w:t>
      </w:r>
    </w:p>
    <w:p w14:paraId="27B7734C"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 xml:space="preserve">Initial Test. If the initial drug test is negative, there shall be no confirmation test. The initial testing shall use an immunoassay which meets the requirements of the Food and Drug Administration for commercial distribution. The following initial cutoff levels shall be used when screening specimens to determine usage of these drugs or classes of drugs. </w:t>
      </w:r>
    </w:p>
    <w:p w14:paraId="43CEFC48"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tbl>
      <w:tblPr>
        <w:tblW w:w="4747" w:type="dxa"/>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132" w:type="dxa"/>
          <w:right w:w="132" w:type="dxa"/>
        </w:tblCellMar>
        <w:tblLook w:val="0000" w:firstRow="0" w:lastRow="0" w:firstColumn="0" w:lastColumn="0" w:noHBand="0" w:noVBand="0"/>
      </w:tblPr>
      <w:tblGrid>
        <w:gridCol w:w="2857"/>
        <w:gridCol w:w="1890"/>
      </w:tblGrid>
      <w:tr w:rsidR="00FC5566" w:rsidRPr="00FC5566" w14:paraId="0BFD03C0" w14:textId="77777777" w:rsidTr="00B247D5">
        <w:trPr>
          <w:cantSplit/>
          <w:trHeight w:hRule="exact" w:val="259"/>
          <w:tblHeader/>
          <w:jc w:val="center"/>
        </w:trPr>
        <w:tc>
          <w:tcPr>
            <w:tcW w:w="2857" w:type="dxa"/>
            <w:shd w:val="clear" w:color="auto" w:fill="BFBFBF"/>
          </w:tcPr>
          <w:p w14:paraId="76B12F8B"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rPr>
                <w:kern w:val="2"/>
                <w:sz w:val="16"/>
                <w:szCs w:val="16"/>
              </w:rPr>
            </w:pPr>
            <w:r w:rsidRPr="00FC5566">
              <w:rPr>
                <w:kern w:val="2"/>
                <w:sz w:val="16"/>
                <w:szCs w:val="16"/>
              </w:rPr>
              <w:t xml:space="preserve"> </w:t>
            </w:r>
          </w:p>
        </w:tc>
        <w:tc>
          <w:tcPr>
            <w:tcW w:w="1890" w:type="dxa"/>
            <w:shd w:val="clear" w:color="auto" w:fill="BFBFBF"/>
          </w:tcPr>
          <w:p w14:paraId="0679DC17"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center"/>
              <w:rPr>
                <w:b/>
                <w:bCs/>
                <w:kern w:val="2"/>
                <w:sz w:val="16"/>
                <w:szCs w:val="16"/>
              </w:rPr>
            </w:pPr>
            <w:r w:rsidRPr="00FC5566">
              <w:rPr>
                <w:b/>
                <w:bCs/>
                <w:kern w:val="2"/>
                <w:sz w:val="16"/>
                <w:szCs w:val="16"/>
              </w:rPr>
              <w:t>Initial Test Level (ng/ml)</w:t>
            </w:r>
          </w:p>
        </w:tc>
      </w:tr>
      <w:tr w:rsidR="00FC5566" w:rsidRPr="00FC5566" w14:paraId="0A9116A5" w14:textId="77777777" w:rsidTr="00B247D5">
        <w:trPr>
          <w:cantSplit/>
          <w:tblHeader/>
          <w:jc w:val="center"/>
        </w:trPr>
        <w:tc>
          <w:tcPr>
            <w:tcW w:w="2857" w:type="dxa"/>
          </w:tcPr>
          <w:p w14:paraId="0485825E"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rPr>
                <w:kern w:val="2"/>
                <w:sz w:val="16"/>
                <w:szCs w:val="16"/>
              </w:rPr>
            </w:pPr>
            <w:r w:rsidRPr="00FC5566">
              <w:rPr>
                <w:kern w:val="2"/>
                <w:sz w:val="16"/>
                <w:szCs w:val="16"/>
              </w:rPr>
              <w:t>Marijuana Metabolite (THCA)</w:t>
            </w:r>
          </w:p>
        </w:tc>
        <w:tc>
          <w:tcPr>
            <w:tcW w:w="1890" w:type="dxa"/>
          </w:tcPr>
          <w:p w14:paraId="10E70AAC"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center"/>
              <w:rPr>
                <w:kern w:val="2"/>
                <w:sz w:val="16"/>
                <w:szCs w:val="16"/>
              </w:rPr>
            </w:pPr>
            <w:r w:rsidRPr="00FC5566">
              <w:rPr>
                <w:kern w:val="2"/>
                <w:sz w:val="16"/>
                <w:szCs w:val="16"/>
              </w:rPr>
              <w:t>50</w:t>
            </w:r>
          </w:p>
        </w:tc>
      </w:tr>
      <w:tr w:rsidR="00FC5566" w:rsidRPr="00FC5566" w14:paraId="1272B929" w14:textId="77777777" w:rsidTr="00B247D5">
        <w:trPr>
          <w:cantSplit/>
          <w:tblHeader/>
          <w:jc w:val="center"/>
        </w:trPr>
        <w:tc>
          <w:tcPr>
            <w:tcW w:w="2857" w:type="dxa"/>
          </w:tcPr>
          <w:p w14:paraId="7B1E6738"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rPr>
                <w:kern w:val="2"/>
                <w:sz w:val="16"/>
                <w:szCs w:val="16"/>
              </w:rPr>
            </w:pPr>
            <w:r w:rsidRPr="00FC5566">
              <w:rPr>
                <w:kern w:val="2"/>
                <w:sz w:val="16"/>
                <w:szCs w:val="16"/>
              </w:rPr>
              <w:t>Cocaine Metabolites (Benzoylecgonine)</w:t>
            </w:r>
          </w:p>
        </w:tc>
        <w:tc>
          <w:tcPr>
            <w:tcW w:w="1890" w:type="dxa"/>
          </w:tcPr>
          <w:p w14:paraId="586AC0C9"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center"/>
              <w:rPr>
                <w:strike/>
                <w:kern w:val="2"/>
                <w:sz w:val="16"/>
                <w:szCs w:val="16"/>
              </w:rPr>
            </w:pPr>
            <w:r w:rsidRPr="00FC5566">
              <w:rPr>
                <w:kern w:val="2"/>
                <w:sz w:val="16"/>
                <w:szCs w:val="16"/>
              </w:rPr>
              <w:t>150</w:t>
            </w:r>
          </w:p>
        </w:tc>
      </w:tr>
      <w:tr w:rsidR="00FC5566" w:rsidRPr="00FC5566" w14:paraId="0D5BF8B6" w14:textId="77777777" w:rsidTr="00B247D5">
        <w:trPr>
          <w:cantSplit/>
          <w:tblHeader/>
          <w:jc w:val="center"/>
        </w:trPr>
        <w:tc>
          <w:tcPr>
            <w:tcW w:w="2857" w:type="dxa"/>
          </w:tcPr>
          <w:p w14:paraId="56362113"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rPr>
                <w:kern w:val="2"/>
                <w:sz w:val="16"/>
                <w:szCs w:val="16"/>
              </w:rPr>
            </w:pPr>
            <w:r w:rsidRPr="00FC5566">
              <w:rPr>
                <w:kern w:val="2"/>
                <w:sz w:val="16"/>
                <w:szCs w:val="16"/>
              </w:rPr>
              <w:t>Morphine/Codeine</w:t>
            </w:r>
          </w:p>
        </w:tc>
        <w:tc>
          <w:tcPr>
            <w:tcW w:w="1890" w:type="dxa"/>
          </w:tcPr>
          <w:p w14:paraId="759FC52B"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center"/>
              <w:rPr>
                <w:strike/>
                <w:kern w:val="2"/>
                <w:sz w:val="16"/>
                <w:szCs w:val="16"/>
              </w:rPr>
            </w:pPr>
            <w:r w:rsidRPr="00FC5566">
              <w:rPr>
                <w:kern w:val="2"/>
                <w:sz w:val="16"/>
                <w:szCs w:val="16"/>
              </w:rPr>
              <w:t>2000</w:t>
            </w:r>
          </w:p>
        </w:tc>
      </w:tr>
      <w:tr w:rsidR="00FC5566" w:rsidRPr="00FC5566" w14:paraId="75D8D658" w14:textId="77777777" w:rsidTr="00B247D5">
        <w:trPr>
          <w:cantSplit/>
          <w:tblHeader/>
          <w:jc w:val="center"/>
        </w:trPr>
        <w:tc>
          <w:tcPr>
            <w:tcW w:w="2857" w:type="dxa"/>
          </w:tcPr>
          <w:p w14:paraId="1C611BC9"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rPr>
                <w:kern w:val="2"/>
                <w:sz w:val="16"/>
                <w:szCs w:val="16"/>
              </w:rPr>
            </w:pPr>
            <w:r w:rsidRPr="00FC5566">
              <w:rPr>
                <w:kern w:val="2"/>
                <w:sz w:val="16"/>
                <w:szCs w:val="16"/>
              </w:rPr>
              <w:t>Phencyclidine</w:t>
            </w:r>
          </w:p>
        </w:tc>
        <w:tc>
          <w:tcPr>
            <w:tcW w:w="1890" w:type="dxa"/>
          </w:tcPr>
          <w:p w14:paraId="5473B44D"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center"/>
              <w:rPr>
                <w:kern w:val="2"/>
                <w:sz w:val="16"/>
                <w:szCs w:val="16"/>
              </w:rPr>
            </w:pPr>
            <w:r w:rsidRPr="00FC5566">
              <w:rPr>
                <w:kern w:val="2"/>
                <w:sz w:val="16"/>
                <w:szCs w:val="16"/>
              </w:rPr>
              <w:t>25</w:t>
            </w:r>
          </w:p>
        </w:tc>
      </w:tr>
      <w:tr w:rsidR="00FC5566" w:rsidRPr="00FC5566" w14:paraId="6FC869FF" w14:textId="77777777" w:rsidTr="00B247D5">
        <w:trPr>
          <w:cantSplit/>
          <w:tblHeader/>
          <w:jc w:val="center"/>
        </w:trPr>
        <w:tc>
          <w:tcPr>
            <w:tcW w:w="2857" w:type="dxa"/>
          </w:tcPr>
          <w:p w14:paraId="1AA3EF26"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rPr>
                <w:kern w:val="2"/>
                <w:sz w:val="16"/>
                <w:szCs w:val="16"/>
              </w:rPr>
            </w:pPr>
            <w:r w:rsidRPr="00FC5566">
              <w:rPr>
                <w:kern w:val="2"/>
                <w:sz w:val="16"/>
                <w:szCs w:val="16"/>
              </w:rPr>
              <w:t>Amphetamines/Methamphetamines</w:t>
            </w:r>
          </w:p>
        </w:tc>
        <w:tc>
          <w:tcPr>
            <w:tcW w:w="1890" w:type="dxa"/>
          </w:tcPr>
          <w:p w14:paraId="1E1A3DFA"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center"/>
              <w:rPr>
                <w:kern w:val="2"/>
                <w:sz w:val="16"/>
                <w:szCs w:val="16"/>
              </w:rPr>
            </w:pPr>
            <w:r w:rsidRPr="00FC5566">
              <w:rPr>
                <w:kern w:val="2"/>
                <w:sz w:val="16"/>
                <w:szCs w:val="16"/>
              </w:rPr>
              <w:t>500</w:t>
            </w:r>
          </w:p>
        </w:tc>
      </w:tr>
      <w:tr w:rsidR="00FC5566" w:rsidRPr="00FC5566" w14:paraId="25240978" w14:textId="77777777" w:rsidTr="00B247D5">
        <w:trPr>
          <w:cantSplit/>
          <w:tblHeader/>
          <w:jc w:val="center"/>
        </w:trPr>
        <w:tc>
          <w:tcPr>
            <w:tcW w:w="2857" w:type="dxa"/>
            <w:shd w:val="clear" w:color="auto" w:fill="FFFFFF"/>
          </w:tcPr>
          <w:p w14:paraId="76975518"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rPr>
                <w:kern w:val="2"/>
                <w:sz w:val="16"/>
                <w:szCs w:val="16"/>
              </w:rPr>
            </w:pPr>
            <w:r w:rsidRPr="00FC5566">
              <w:rPr>
                <w:kern w:val="2"/>
                <w:sz w:val="16"/>
                <w:szCs w:val="16"/>
              </w:rPr>
              <w:t>Hydrocodone/ Hydromorphone</w:t>
            </w:r>
          </w:p>
        </w:tc>
        <w:tc>
          <w:tcPr>
            <w:tcW w:w="1890" w:type="dxa"/>
            <w:shd w:val="clear" w:color="auto" w:fill="FFFFFF"/>
          </w:tcPr>
          <w:p w14:paraId="26A8647E"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center"/>
              <w:rPr>
                <w:kern w:val="2"/>
                <w:sz w:val="16"/>
                <w:szCs w:val="16"/>
              </w:rPr>
            </w:pPr>
            <w:r w:rsidRPr="00FC5566">
              <w:rPr>
                <w:kern w:val="2"/>
                <w:sz w:val="16"/>
                <w:szCs w:val="16"/>
              </w:rPr>
              <w:t xml:space="preserve">300 </w:t>
            </w:r>
          </w:p>
        </w:tc>
      </w:tr>
      <w:tr w:rsidR="00FC5566" w:rsidRPr="00FC5566" w14:paraId="6809811D" w14:textId="77777777" w:rsidTr="00B247D5">
        <w:trPr>
          <w:cantSplit/>
          <w:tblHeader/>
          <w:jc w:val="center"/>
        </w:trPr>
        <w:tc>
          <w:tcPr>
            <w:tcW w:w="2857" w:type="dxa"/>
            <w:shd w:val="clear" w:color="auto" w:fill="FFFFFF"/>
          </w:tcPr>
          <w:p w14:paraId="728C164F"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rPr>
                <w:kern w:val="2"/>
                <w:sz w:val="16"/>
                <w:szCs w:val="16"/>
              </w:rPr>
            </w:pPr>
            <w:r w:rsidRPr="00FC5566">
              <w:rPr>
                <w:kern w:val="2"/>
                <w:sz w:val="16"/>
                <w:szCs w:val="16"/>
              </w:rPr>
              <w:t>Oxycodone/ Oxymorphone</w:t>
            </w:r>
          </w:p>
        </w:tc>
        <w:tc>
          <w:tcPr>
            <w:tcW w:w="1890" w:type="dxa"/>
            <w:shd w:val="clear" w:color="auto" w:fill="FFFFFF"/>
          </w:tcPr>
          <w:p w14:paraId="0340CD1D"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center"/>
              <w:rPr>
                <w:kern w:val="2"/>
                <w:sz w:val="16"/>
                <w:szCs w:val="16"/>
              </w:rPr>
            </w:pPr>
            <w:r w:rsidRPr="00FC5566">
              <w:rPr>
                <w:kern w:val="2"/>
                <w:sz w:val="16"/>
                <w:szCs w:val="16"/>
              </w:rPr>
              <w:t xml:space="preserve">100 </w:t>
            </w:r>
          </w:p>
        </w:tc>
      </w:tr>
      <w:tr w:rsidR="00FC5566" w:rsidRPr="00FC5566" w14:paraId="6BB25A69" w14:textId="77777777" w:rsidTr="00B247D5">
        <w:trPr>
          <w:cantSplit/>
          <w:tblHeader/>
          <w:jc w:val="center"/>
        </w:trPr>
        <w:tc>
          <w:tcPr>
            <w:tcW w:w="2857" w:type="dxa"/>
            <w:shd w:val="clear" w:color="auto" w:fill="FFFFFF"/>
          </w:tcPr>
          <w:p w14:paraId="4FAB1C7D"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rPr>
                <w:kern w:val="2"/>
                <w:sz w:val="16"/>
                <w:szCs w:val="16"/>
              </w:rPr>
            </w:pPr>
            <w:r w:rsidRPr="00FC5566">
              <w:rPr>
                <w:kern w:val="2"/>
                <w:sz w:val="16"/>
                <w:szCs w:val="16"/>
              </w:rPr>
              <w:t>6-Acetylmorphine</w:t>
            </w:r>
          </w:p>
        </w:tc>
        <w:tc>
          <w:tcPr>
            <w:tcW w:w="1890" w:type="dxa"/>
            <w:shd w:val="clear" w:color="auto" w:fill="FFFFFF"/>
          </w:tcPr>
          <w:p w14:paraId="7270C7EA"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center"/>
              <w:rPr>
                <w:kern w:val="2"/>
                <w:sz w:val="16"/>
                <w:szCs w:val="16"/>
              </w:rPr>
            </w:pPr>
            <w:r w:rsidRPr="00FC5566">
              <w:rPr>
                <w:kern w:val="2"/>
                <w:sz w:val="16"/>
                <w:szCs w:val="16"/>
              </w:rPr>
              <w:t xml:space="preserve">10 </w:t>
            </w:r>
          </w:p>
        </w:tc>
      </w:tr>
      <w:tr w:rsidR="00FC5566" w:rsidRPr="00FC5566" w14:paraId="7056FD8C" w14:textId="77777777" w:rsidTr="00B247D5">
        <w:trPr>
          <w:cantSplit/>
          <w:tblHeader/>
          <w:jc w:val="center"/>
        </w:trPr>
        <w:tc>
          <w:tcPr>
            <w:tcW w:w="2857" w:type="dxa"/>
            <w:shd w:val="clear" w:color="auto" w:fill="FFFFFF"/>
          </w:tcPr>
          <w:p w14:paraId="34435878"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rPr>
                <w:kern w:val="2"/>
                <w:sz w:val="16"/>
                <w:szCs w:val="16"/>
              </w:rPr>
            </w:pPr>
            <w:r w:rsidRPr="00FC5566">
              <w:rPr>
                <w:kern w:val="2"/>
                <w:sz w:val="16"/>
                <w:szCs w:val="16"/>
              </w:rPr>
              <w:t>MDMA/MDA</w:t>
            </w:r>
          </w:p>
        </w:tc>
        <w:tc>
          <w:tcPr>
            <w:tcW w:w="1890" w:type="dxa"/>
            <w:shd w:val="clear" w:color="auto" w:fill="FFFFFF"/>
          </w:tcPr>
          <w:p w14:paraId="16A5C3D8"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center"/>
              <w:rPr>
                <w:kern w:val="2"/>
                <w:sz w:val="16"/>
                <w:szCs w:val="16"/>
              </w:rPr>
            </w:pPr>
            <w:r w:rsidRPr="00FC5566">
              <w:rPr>
                <w:kern w:val="2"/>
                <w:sz w:val="16"/>
                <w:szCs w:val="16"/>
              </w:rPr>
              <w:t xml:space="preserve">500 </w:t>
            </w:r>
          </w:p>
        </w:tc>
      </w:tr>
      <w:tr w:rsidR="00FC5566" w:rsidRPr="00FC5566" w14:paraId="504FDFF5" w14:textId="77777777" w:rsidTr="00B247D5">
        <w:trPr>
          <w:cantSplit/>
          <w:tblHeader/>
          <w:jc w:val="center"/>
        </w:trPr>
        <w:tc>
          <w:tcPr>
            <w:tcW w:w="2857" w:type="dxa"/>
          </w:tcPr>
          <w:p w14:paraId="5449DA05"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rPr>
                <w:kern w:val="2"/>
                <w:sz w:val="16"/>
                <w:szCs w:val="16"/>
              </w:rPr>
            </w:pPr>
            <w:r w:rsidRPr="00FC5566">
              <w:rPr>
                <w:kern w:val="2"/>
                <w:sz w:val="16"/>
                <w:szCs w:val="16"/>
              </w:rPr>
              <w:t>Alcohol/Ethanol</w:t>
            </w:r>
          </w:p>
        </w:tc>
        <w:tc>
          <w:tcPr>
            <w:tcW w:w="1890" w:type="dxa"/>
          </w:tcPr>
          <w:p w14:paraId="303DDCE4"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center"/>
              <w:rPr>
                <w:kern w:val="2"/>
                <w:sz w:val="16"/>
                <w:szCs w:val="16"/>
              </w:rPr>
            </w:pPr>
            <w:r w:rsidRPr="00FC5566">
              <w:rPr>
                <w:kern w:val="2"/>
                <w:sz w:val="16"/>
                <w:szCs w:val="16"/>
              </w:rPr>
              <w:t>0.02 gram %/ml</w:t>
            </w:r>
          </w:p>
        </w:tc>
      </w:tr>
    </w:tbl>
    <w:p w14:paraId="234F9EA2"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p w14:paraId="40858485"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w:t>
      </w:r>
    </w:p>
    <w:p w14:paraId="5D39A9B9"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 xml:space="preserve">The laboratory will use scientifically accepted initial cutoff levels when screening specimens for other drugs in 21 U.S.C. 812, Schedules I, II, III, IV, and V. </w:t>
      </w:r>
    </w:p>
    <w:p w14:paraId="0830FC05"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 xml:space="preserve">Some specimens may be subjected to initial testing by methods other than immunoassays, where the latter are unavailable for the detection of specific drugs of special concern. These methods are thin layer, high pressure liquid, and/or gas chromatography. Alternate initial test methods and testing levels shall be submitted for written approval to the assistant secretary of the Office of Workers' Compensation, or his designee. </w:t>
      </w:r>
    </w:p>
    <w:p w14:paraId="5A410F2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Confirmatory Test. All specimens identified as positive on the initial test shall be confirmed using gas chromatography for alcohol (ethanol) and gas chromatography/mass spectrometry (GC/MS) techniques for drugs in 21 U.S.C. 812, Schedules I, II, III, IV, and V at the following cutoff values.</w:t>
      </w:r>
    </w:p>
    <w:p w14:paraId="0CF0168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tbl>
      <w:tblPr>
        <w:tblW w:w="4802" w:type="dxa"/>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132" w:type="dxa"/>
          <w:right w:w="132" w:type="dxa"/>
        </w:tblCellMar>
        <w:tblLook w:val="0000" w:firstRow="0" w:lastRow="0" w:firstColumn="0" w:lastColumn="0" w:noHBand="0" w:noVBand="0"/>
      </w:tblPr>
      <w:tblGrid>
        <w:gridCol w:w="3272"/>
        <w:gridCol w:w="1530"/>
      </w:tblGrid>
      <w:tr w:rsidR="00FC5566" w:rsidRPr="00FC5566" w14:paraId="0A2E4229" w14:textId="77777777" w:rsidTr="00B247D5">
        <w:trPr>
          <w:cantSplit/>
          <w:tblHeader/>
          <w:jc w:val="center"/>
        </w:trPr>
        <w:tc>
          <w:tcPr>
            <w:tcW w:w="3272" w:type="dxa"/>
            <w:shd w:val="clear" w:color="auto" w:fill="BFBFBF"/>
          </w:tcPr>
          <w:p w14:paraId="719C0E94"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rPr>
                <w:b/>
                <w:bCs/>
                <w:kern w:val="2"/>
                <w:sz w:val="16"/>
                <w:szCs w:val="16"/>
              </w:rPr>
            </w:pPr>
          </w:p>
        </w:tc>
        <w:tc>
          <w:tcPr>
            <w:tcW w:w="1530" w:type="dxa"/>
            <w:shd w:val="clear" w:color="auto" w:fill="BFBFBF"/>
          </w:tcPr>
          <w:p w14:paraId="0AE83B0E"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center"/>
              <w:rPr>
                <w:b/>
                <w:bCs/>
                <w:kern w:val="2"/>
                <w:sz w:val="16"/>
                <w:szCs w:val="16"/>
              </w:rPr>
            </w:pPr>
            <w:r w:rsidRPr="00FC5566">
              <w:rPr>
                <w:b/>
                <w:bCs/>
                <w:kern w:val="2"/>
                <w:sz w:val="16"/>
                <w:szCs w:val="16"/>
              </w:rPr>
              <w:t xml:space="preserve">Confirmatory Test Level (ng/ml) </w:t>
            </w:r>
          </w:p>
        </w:tc>
      </w:tr>
      <w:tr w:rsidR="00FC5566" w:rsidRPr="00FC5566" w14:paraId="21887742" w14:textId="77777777" w:rsidTr="00B247D5">
        <w:trPr>
          <w:cantSplit/>
          <w:tblHeader/>
          <w:jc w:val="center"/>
        </w:trPr>
        <w:tc>
          <w:tcPr>
            <w:tcW w:w="3272" w:type="dxa"/>
          </w:tcPr>
          <w:p w14:paraId="2BACC99B"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rPr>
                <w:kern w:val="2"/>
                <w:sz w:val="16"/>
                <w:szCs w:val="16"/>
              </w:rPr>
            </w:pPr>
            <w:r w:rsidRPr="00FC5566">
              <w:rPr>
                <w:kern w:val="2"/>
                <w:sz w:val="16"/>
                <w:szCs w:val="16"/>
              </w:rPr>
              <w:t>Marijuana Metabolite*</w:t>
            </w:r>
          </w:p>
        </w:tc>
        <w:tc>
          <w:tcPr>
            <w:tcW w:w="1530" w:type="dxa"/>
          </w:tcPr>
          <w:p w14:paraId="1EBF0751"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center"/>
              <w:rPr>
                <w:kern w:val="2"/>
                <w:sz w:val="16"/>
                <w:szCs w:val="16"/>
              </w:rPr>
            </w:pPr>
            <w:r w:rsidRPr="00FC5566">
              <w:rPr>
                <w:kern w:val="2"/>
                <w:sz w:val="16"/>
                <w:szCs w:val="16"/>
              </w:rPr>
              <w:t xml:space="preserve"> 15</w:t>
            </w:r>
          </w:p>
        </w:tc>
      </w:tr>
      <w:tr w:rsidR="00FC5566" w:rsidRPr="00FC5566" w14:paraId="3BADE6E7" w14:textId="77777777" w:rsidTr="00B247D5">
        <w:trPr>
          <w:cantSplit/>
          <w:tblHeader/>
          <w:jc w:val="center"/>
        </w:trPr>
        <w:tc>
          <w:tcPr>
            <w:tcW w:w="3272" w:type="dxa"/>
          </w:tcPr>
          <w:p w14:paraId="0B53E7BC"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rPr>
                <w:kern w:val="2"/>
                <w:sz w:val="16"/>
                <w:szCs w:val="16"/>
              </w:rPr>
            </w:pPr>
            <w:r w:rsidRPr="00FC5566">
              <w:rPr>
                <w:kern w:val="2"/>
                <w:sz w:val="16"/>
                <w:szCs w:val="16"/>
              </w:rPr>
              <w:t>Cocaine Metabolites**</w:t>
            </w:r>
          </w:p>
        </w:tc>
        <w:tc>
          <w:tcPr>
            <w:tcW w:w="1530" w:type="dxa"/>
          </w:tcPr>
          <w:p w14:paraId="2CEDD91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center"/>
              <w:rPr>
                <w:kern w:val="2"/>
                <w:sz w:val="16"/>
                <w:szCs w:val="16"/>
              </w:rPr>
            </w:pPr>
            <w:r w:rsidRPr="00FC5566">
              <w:rPr>
                <w:kern w:val="2"/>
                <w:sz w:val="16"/>
                <w:szCs w:val="16"/>
              </w:rPr>
              <w:t>100</w:t>
            </w:r>
          </w:p>
        </w:tc>
      </w:tr>
      <w:tr w:rsidR="00FC5566" w:rsidRPr="00FC5566" w14:paraId="38CD33D3" w14:textId="77777777" w:rsidTr="00B247D5">
        <w:trPr>
          <w:cantSplit/>
          <w:tblHeader/>
          <w:jc w:val="center"/>
        </w:trPr>
        <w:tc>
          <w:tcPr>
            <w:tcW w:w="3272" w:type="dxa"/>
          </w:tcPr>
          <w:p w14:paraId="197FF174"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rPr>
                <w:kern w:val="2"/>
                <w:sz w:val="16"/>
                <w:szCs w:val="16"/>
              </w:rPr>
            </w:pPr>
            <w:r w:rsidRPr="00FC5566">
              <w:rPr>
                <w:kern w:val="2"/>
                <w:sz w:val="16"/>
                <w:szCs w:val="16"/>
              </w:rPr>
              <w:t>Morphine/Codeine</w:t>
            </w:r>
          </w:p>
        </w:tc>
        <w:tc>
          <w:tcPr>
            <w:tcW w:w="1530" w:type="dxa"/>
          </w:tcPr>
          <w:p w14:paraId="5C5EB832"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center"/>
              <w:rPr>
                <w:strike/>
                <w:kern w:val="2"/>
                <w:sz w:val="16"/>
                <w:szCs w:val="16"/>
              </w:rPr>
            </w:pPr>
            <w:r w:rsidRPr="00FC5566">
              <w:rPr>
                <w:kern w:val="2"/>
                <w:sz w:val="16"/>
                <w:szCs w:val="16"/>
              </w:rPr>
              <w:t>2000</w:t>
            </w:r>
          </w:p>
        </w:tc>
      </w:tr>
      <w:tr w:rsidR="00FC5566" w:rsidRPr="00FC5566" w14:paraId="04B6EDF7" w14:textId="77777777" w:rsidTr="00B247D5">
        <w:trPr>
          <w:cantSplit/>
          <w:tblHeader/>
          <w:jc w:val="center"/>
        </w:trPr>
        <w:tc>
          <w:tcPr>
            <w:tcW w:w="3272" w:type="dxa"/>
          </w:tcPr>
          <w:p w14:paraId="334A0171"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rPr>
                <w:kern w:val="2"/>
                <w:sz w:val="16"/>
                <w:szCs w:val="16"/>
              </w:rPr>
            </w:pPr>
            <w:r w:rsidRPr="00FC5566">
              <w:rPr>
                <w:kern w:val="2"/>
                <w:sz w:val="16"/>
                <w:szCs w:val="16"/>
              </w:rPr>
              <w:t>Phencyclidine</w:t>
            </w:r>
          </w:p>
        </w:tc>
        <w:tc>
          <w:tcPr>
            <w:tcW w:w="1530" w:type="dxa"/>
          </w:tcPr>
          <w:p w14:paraId="39261315"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center"/>
              <w:rPr>
                <w:kern w:val="2"/>
                <w:sz w:val="16"/>
                <w:szCs w:val="16"/>
              </w:rPr>
            </w:pPr>
            <w:r w:rsidRPr="00FC5566">
              <w:rPr>
                <w:kern w:val="2"/>
                <w:sz w:val="16"/>
                <w:szCs w:val="16"/>
              </w:rPr>
              <w:t xml:space="preserve"> 25</w:t>
            </w:r>
          </w:p>
        </w:tc>
      </w:tr>
      <w:tr w:rsidR="00FC5566" w:rsidRPr="00FC5566" w14:paraId="3084D04C" w14:textId="77777777" w:rsidTr="00B247D5">
        <w:trPr>
          <w:cantSplit/>
          <w:tblHeader/>
          <w:jc w:val="center"/>
        </w:trPr>
        <w:tc>
          <w:tcPr>
            <w:tcW w:w="3272" w:type="dxa"/>
          </w:tcPr>
          <w:p w14:paraId="78D3CE54"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rPr>
                <w:kern w:val="2"/>
                <w:sz w:val="16"/>
                <w:szCs w:val="16"/>
              </w:rPr>
            </w:pPr>
            <w:r w:rsidRPr="00FC5566">
              <w:rPr>
                <w:kern w:val="2"/>
                <w:sz w:val="16"/>
                <w:szCs w:val="16"/>
              </w:rPr>
              <w:t>Amphetamines</w:t>
            </w:r>
          </w:p>
        </w:tc>
        <w:tc>
          <w:tcPr>
            <w:tcW w:w="1530" w:type="dxa"/>
          </w:tcPr>
          <w:p w14:paraId="709F7628"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center"/>
              <w:rPr>
                <w:strike/>
                <w:kern w:val="2"/>
                <w:sz w:val="16"/>
                <w:szCs w:val="16"/>
              </w:rPr>
            </w:pPr>
            <w:r w:rsidRPr="00FC5566">
              <w:rPr>
                <w:kern w:val="2"/>
                <w:sz w:val="16"/>
                <w:szCs w:val="16"/>
              </w:rPr>
              <w:t>250</w:t>
            </w:r>
          </w:p>
        </w:tc>
      </w:tr>
      <w:tr w:rsidR="00FC5566" w:rsidRPr="00FC5566" w14:paraId="1EF6D381" w14:textId="77777777" w:rsidTr="00B247D5">
        <w:trPr>
          <w:cantSplit/>
          <w:tblHeader/>
          <w:jc w:val="center"/>
        </w:trPr>
        <w:tc>
          <w:tcPr>
            <w:tcW w:w="3272" w:type="dxa"/>
          </w:tcPr>
          <w:p w14:paraId="7237BF82"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rPr>
                <w:kern w:val="2"/>
                <w:sz w:val="16"/>
                <w:szCs w:val="16"/>
              </w:rPr>
            </w:pPr>
            <w:r w:rsidRPr="00FC5566">
              <w:rPr>
                <w:kern w:val="2"/>
                <w:sz w:val="16"/>
                <w:szCs w:val="16"/>
              </w:rPr>
              <w:t>Hydrocodone/ Hydromorphone</w:t>
            </w:r>
          </w:p>
        </w:tc>
        <w:tc>
          <w:tcPr>
            <w:tcW w:w="1530" w:type="dxa"/>
          </w:tcPr>
          <w:p w14:paraId="5FBADE81"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center"/>
              <w:rPr>
                <w:kern w:val="2"/>
                <w:sz w:val="16"/>
                <w:szCs w:val="16"/>
              </w:rPr>
            </w:pPr>
            <w:r w:rsidRPr="00FC5566">
              <w:rPr>
                <w:kern w:val="2"/>
                <w:sz w:val="16"/>
                <w:szCs w:val="16"/>
              </w:rPr>
              <w:t xml:space="preserve">100 </w:t>
            </w:r>
          </w:p>
        </w:tc>
      </w:tr>
      <w:tr w:rsidR="00FC5566" w:rsidRPr="00FC5566" w14:paraId="52C2FFF2" w14:textId="77777777" w:rsidTr="00B247D5">
        <w:trPr>
          <w:cantSplit/>
          <w:tblHeader/>
          <w:jc w:val="center"/>
        </w:trPr>
        <w:tc>
          <w:tcPr>
            <w:tcW w:w="3272" w:type="dxa"/>
          </w:tcPr>
          <w:p w14:paraId="7E1CD121"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rPr>
                <w:kern w:val="2"/>
                <w:sz w:val="16"/>
                <w:szCs w:val="16"/>
              </w:rPr>
            </w:pPr>
            <w:r w:rsidRPr="00FC5566">
              <w:rPr>
                <w:kern w:val="2"/>
                <w:sz w:val="16"/>
                <w:szCs w:val="16"/>
              </w:rPr>
              <w:t>Oxycodone/ Oxymorphone</w:t>
            </w:r>
          </w:p>
        </w:tc>
        <w:tc>
          <w:tcPr>
            <w:tcW w:w="1530" w:type="dxa"/>
          </w:tcPr>
          <w:p w14:paraId="328FD3F4"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center"/>
              <w:rPr>
                <w:kern w:val="2"/>
                <w:sz w:val="16"/>
                <w:szCs w:val="16"/>
              </w:rPr>
            </w:pPr>
            <w:r w:rsidRPr="00FC5566">
              <w:rPr>
                <w:kern w:val="2"/>
                <w:sz w:val="16"/>
                <w:szCs w:val="16"/>
              </w:rPr>
              <w:t xml:space="preserve">100 </w:t>
            </w:r>
          </w:p>
        </w:tc>
      </w:tr>
      <w:tr w:rsidR="00FC5566" w:rsidRPr="00FC5566" w14:paraId="02445B8F" w14:textId="77777777" w:rsidTr="00B247D5">
        <w:trPr>
          <w:cantSplit/>
          <w:tblHeader/>
          <w:jc w:val="center"/>
        </w:trPr>
        <w:tc>
          <w:tcPr>
            <w:tcW w:w="3272" w:type="dxa"/>
          </w:tcPr>
          <w:p w14:paraId="1DE1CB9F"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rPr>
                <w:kern w:val="2"/>
                <w:sz w:val="16"/>
                <w:szCs w:val="16"/>
              </w:rPr>
            </w:pPr>
            <w:r w:rsidRPr="00FC5566">
              <w:rPr>
                <w:kern w:val="2"/>
                <w:sz w:val="16"/>
                <w:szCs w:val="16"/>
              </w:rPr>
              <w:t>6-Acetylmorphine</w:t>
            </w:r>
          </w:p>
        </w:tc>
        <w:tc>
          <w:tcPr>
            <w:tcW w:w="1530" w:type="dxa"/>
          </w:tcPr>
          <w:p w14:paraId="7A4D4B08"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center"/>
              <w:rPr>
                <w:kern w:val="2"/>
                <w:sz w:val="16"/>
                <w:szCs w:val="16"/>
              </w:rPr>
            </w:pPr>
            <w:r w:rsidRPr="00FC5566">
              <w:rPr>
                <w:kern w:val="2"/>
                <w:sz w:val="16"/>
                <w:szCs w:val="16"/>
              </w:rPr>
              <w:t xml:space="preserve">10 </w:t>
            </w:r>
          </w:p>
        </w:tc>
      </w:tr>
      <w:tr w:rsidR="00FC5566" w:rsidRPr="00FC5566" w14:paraId="338FF3E6" w14:textId="77777777" w:rsidTr="00B247D5">
        <w:trPr>
          <w:cantSplit/>
          <w:tblHeader/>
          <w:jc w:val="center"/>
        </w:trPr>
        <w:tc>
          <w:tcPr>
            <w:tcW w:w="3272" w:type="dxa"/>
          </w:tcPr>
          <w:p w14:paraId="137934EC"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rPr>
                <w:kern w:val="2"/>
                <w:sz w:val="16"/>
                <w:szCs w:val="16"/>
              </w:rPr>
            </w:pPr>
            <w:r w:rsidRPr="00FC5566">
              <w:rPr>
                <w:kern w:val="2"/>
                <w:sz w:val="16"/>
                <w:szCs w:val="16"/>
              </w:rPr>
              <w:t>MDMA/MDA</w:t>
            </w:r>
          </w:p>
        </w:tc>
        <w:tc>
          <w:tcPr>
            <w:tcW w:w="1530" w:type="dxa"/>
          </w:tcPr>
          <w:p w14:paraId="2BF00F84"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center"/>
              <w:rPr>
                <w:kern w:val="2"/>
                <w:sz w:val="16"/>
                <w:szCs w:val="16"/>
              </w:rPr>
            </w:pPr>
            <w:r w:rsidRPr="00FC5566">
              <w:rPr>
                <w:kern w:val="2"/>
                <w:sz w:val="16"/>
                <w:szCs w:val="16"/>
              </w:rPr>
              <w:t xml:space="preserve">250 </w:t>
            </w:r>
          </w:p>
        </w:tc>
      </w:tr>
      <w:tr w:rsidR="00FC5566" w:rsidRPr="00FC5566" w14:paraId="11042943" w14:textId="77777777" w:rsidTr="00B247D5">
        <w:trPr>
          <w:cantSplit/>
          <w:tblHeader/>
          <w:jc w:val="center"/>
        </w:trPr>
        <w:tc>
          <w:tcPr>
            <w:tcW w:w="4802" w:type="dxa"/>
            <w:gridSpan w:val="2"/>
          </w:tcPr>
          <w:p w14:paraId="348C9A31"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rPr>
                <w:kern w:val="2"/>
                <w:sz w:val="16"/>
                <w:szCs w:val="16"/>
              </w:rPr>
            </w:pPr>
            <w:r w:rsidRPr="00FC5566">
              <w:rPr>
                <w:kern w:val="2"/>
                <w:sz w:val="16"/>
                <w:szCs w:val="16"/>
              </w:rPr>
              <w:t xml:space="preserve"> * Delta-9-tetrahydrocannabinol-9-carboxylic acid</w:t>
            </w:r>
            <w:r w:rsidRPr="00FC5566">
              <w:rPr>
                <w:kern w:val="2"/>
                <w:sz w:val="16"/>
                <w:szCs w:val="16"/>
              </w:rPr>
              <w:br/>
              <w:t>** Benzoylecgonine</w:t>
            </w:r>
          </w:p>
        </w:tc>
      </w:tr>
    </w:tbl>
    <w:p w14:paraId="67AFB28C"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p w14:paraId="5A61A270"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 xml:space="preserve">… </w:t>
      </w:r>
    </w:p>
    <w:p w14:paraId="6EA18D02"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 xml:space="preserve">Confirmation methods and levels for other drugs tested shall be submitted by the employer to the assistant secretary of the Office of Workers' Compensation, or his designee, for approval. In the absence of an accepted quantitative GC/MS assay procedure, preference will be given to a confirmation of qualitative identification by means of full-scan GC/MS analysis and quantification by an </w:t>
      </w:r>
      <w:r w:rsidRPr="00FC5566">
        <w:rPr>
          <w:kern w:val="2"/>
        </w:rPr>
        <w:t xml:space="preserve">alternate chromatographic method. All methods shall meet commonly accepted analytical standards. </w:t>
      </w:r>
    </w:p>
    <w:p w14:paraId="46AB7C43"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 xml:space="preserve">… </w:t>
      </w:r>
    </w:p>
    <w:p w14:paraId="3BCAFDF7"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D.</w:t>
      </w:r>
      <w:r w:rsidRPr="00FC5566">
        <w:rPr>
          <w:kern w:val="2"/>
        </w:rPr>
        <w:tab/>
        <w:t xml:space="preserve">Reporting Results </w:t>
      </w:r>
    </w:p>
    <w:p w14:paraId="757DCE95"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 xml:space="preserve">Test results shall be reported to the employer within an average of five working days of receipt of the specimens. The report should contain the specimen number assigned by the submitting employer, the drug testing laboratory accession number, and the results of the drug tests. All specimens negative on the initial test or negative on the confirmatory test shall be reported as negative. Only specimens confirmed positive shall be reported positive for a specific drug. Results may be transmitted to the employer by various electronic means (e.g., facsimile, or secure portal) in a manner consistent with maintaining confidentiality. It is impermissible to provide results verbally by telephone. A certified copy of the original chain of custody form, signed by the laboratory director or laboratory certifying officer, shall be sent to the employer. Certified copies of all analytical results shall be available from the laboratory when requested by the appropriate authority. </w:t>
      </w:r>
    </w:p>
    <w:p w14:paraId="766B32DF"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D.2. - F.</w:t>
      </w:r>
      <w:r w:rsidRPr="00FC5566">
        <w:rPr>
          <w:kern w:val="2"/>
        </w:rPr>
        <w:tab/>
        <w:t>…</w:t>
      </w:r>
    </w:p>
    <w:p w14:paraId="098B81E3"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G.</w:t>
      </w:r>
      <w:r w:rsidRPr="00FC5566">
        <w:rPr>
          <w:kern w:val="2"/>
        </w:rPr>
        <w:tab/>
        <w:t xml:space="preserve">Subcontractors. The drug testing laboratory shall perform all work with its own personnel and equipment, unless otherwise authorized by the employer or assistant secretary of the Office of Workers' Compensation Administration. Subcontractors shall follow all procedures and regulations as set out in these rules. </w:t>
      </w:r>
    </w:p>
    <w:p w14:paraId="48029218"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H.</w:t>
      </w:r>
      <w:r w:rsidRPr="00FC5566">
        <w:rPr>
          <w:kern w:val="2"/>
        </w:rPr>
        <w:tab/>
        <w:t xml:space="preserve">… </w:t>
      </w:r>
    </w:p>
    <w:p w14:paraId="25AB782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I.</w:t>
      </w:r>
      <w:r w:rsidRPr="00FC5566">
        <w:rPr>
          <w:kern w:val="2"/>
        </w:rPr>
        <w:tab/>
        <w:t xml:space="preserve">Laboratory Personnel </w:t>
      </w:r>
    </w:p>
    <w:p w14:paraId="3E2CB340"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 xml:space="preserve">The laboratory director/scientific director of the drug testing laboratory shall meet the following criteria. He or she must hold a doctoral-level degree in pharmacology, toxicology, or analytical chemistry and have at least two years of active laboratory experience in analytical toxicology (the analysis of biological materials for drugs of abuse) and appropriate training and/or forensic applications of analytical toxicology (court testimony, research, and publications in analytical toxicology of drug abuse, etc.). The director must be qualified to handle professional, scientific, consultative, organizational, and educational aspects of the laboratory's services. </w:t>
      </w:r>
    </w:p>
    <w:p w14:paraId="53E5849A"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 xml:space="preserve">… </w:t>
      </w:r>
    </w:p>
    <w:p w14:paraId="271CE66F"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 xml:space="preserve">Supervisors of analysts must possess a B.S. degree in chemistry, or at least the education and experience comparable to a Medical Technologist/Medical Laboratory Specialist certified by the American Society of Clinical Pathologists, MLS(ASCP)CM, or its equivalent. These individuals must have training in the theory and practice of the procedures used, and an understanding of quality control concepts. Periodic verification of their skills must be documented. Other technicians or nontechnical staff must possess the necessary training and skills for the task assigned. In-service continuing education programs to meet the needs of all laboratory personnel are desirable. Personnel files must include a resume of training and experience; certification or license, if any; references; job descriptions; health records; records of performance evaluations and advancements; incident reports; and results of tests for color blindness. </w:t>
      </w:r>
    </w:p>
    <w:p w14:paraId="1AC0E5AD"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w:t>
      </w:r>
      <w:r w:rsidRPr="00FC5566">
        <w:rPr>
          <w:kern w:val="2"/>
        </w:rPr>
        <w:tab/>
        <w:t xml:space="preserve">Laboratory screening personnel performing initial tests shall comply with personnel requirements to provide reasonable assurance of the accuracy of test results. </w:t>
      </w:r>
    </w:p>
    <w:p w14:paraId="7537DDE9"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lastRenderedPageBreak/>
        <w:t>J. - L.</w:t>
      </w:r>
      <w:r w:rsidRPr="00FC5566">
        <w:rPr>
          <w:kern w:val="2"/>
        </w:rPr>
        <w:tab/>
        <w:t>…</w:t>
      </w:r>
    </w:p>
    <w:p w14:paraId="7B491918"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M.</w:t>
      </w:r>
      <w:r w:rsidRPr="00FC5566">
        <w:rPr>
          <w:kern w:val="2"/>
        </w:rPr>
        <w:tab/>
        <w:t xml:space="preserve">Judicial Proceedings. The laboratory must have qualified personnel available to testify in an administrative or legal proceeding against an employee based on a positive drug or alcohol result reported. </w:t>
      </w:r>
    </w:p>
    <w:p w14:paraId="3E54ABD3"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 xml:space="preserve">Promulgated in accordance with R.S. 23:1081(9). </w:t>
      </w:r>
    </w:p>
    <w:p w14:paraId="51508C1A"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Employment and Training, Office of Workers' Compensation, LR 16:853 (October 1990), repromulgated LR 17:774 (August 1991), amended by the Louisiana Works, Office of Workers' Compensation</w:t>
      </w:r>
      <w:r w:rsidRPr="00FC5566">
        <w:rPr>
          <w:kern w:val="2"/>
          <w:sz w:val="18"/>
          <w:lang w:eastAsia="x-none"/>
        </w:rPr>
        <w:t xml:space="preserve"> Administration</w:t>
      </w:r>
      <w:r w:rsidRPr="00FC5566">
        <w:rPr>
          <w:kern w:val="2"/>
          <w:sz w:val="18"/>
        </w:rPr>
        <w:t>, LR 52:1354 (August 2026).</w:t>
      </w:r>
    </w:p>
    <w:p w14:paraId="1A1BA21B"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§1509.</w:t>
      </w:r>
      <w:r w:rsidRPr="00FC5566">
        <w:rPr>
          <w:b/>
          <w:kern w:val="2"/>
        </w:rPr>
        <w:tab/>
        <w:t xml:space="preserve">Reporting and Review of Results </w:t>
      </w:r>
    </w:p>
    <w:p w14:paraId="3126A56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 xml:space="preserve">… </w:t>
      </w:r>
    </w:p>
    <w:p w14:paraId="32A5023E"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 xml:space="preserve">Medical Review Officer―a licensed physician responsible for receiving laboratory results generated by an employer or testing entities' drug testing program, who has knowledge of substance abuse disorders and has appropriate medical training to interpret and evaluate an individual's positive test result together with his medical history and any other relevant biomedical information. The role of the MRO is to review and interpret positive test results obtained through the office's testing program. In the conduct of this responsibility, the MRO should undertake the examination of alternative medical explanations for a positive test result. This action could include conducting of employee medical interviews, review of employee medical history, or the review of any other relevant biomedical factors. </w:t>
      </w:r>
    </w:p>
    <w:p w14:paraId="7F53CE79"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 xml:space="preserve">The MRO is required to review all medical records made available by the tested employee when a confirmed positive test could have resulted from legally prescribed medication. After the MRO has reviewed the pertinent information and the laboratory assessment is verified, the results are to be forwarded to the employer and, if applicable, the Office of Workers' Compensation. Should any question arise as to the veracity of a positive test result, the MRO is authorized to order a reanalysis of the original sample. If the MRO determines there is a legitimate medical explanation for the positive test result, the MRO may deem that the result is consistent with legal drug use and take no further action. </w:t>
      </w:r>
    </w:p>
    <w:p w14:paraId="4D2502E0"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 xml:space="preserve">Promulgated in accordance with R.S. 23:1081(9). </w:t>
      </w:r>
    </w:p>
    <w:p w14:paraId="1FEC1C3A"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Employment and Training, Office of Workers' Compensation, LR 16:854 (October 1990), repromulgated LR 17:776 (August 1991), amended by the Louisiana Works, Office of Workers' Compensation</w:t>
      </w:r>
      <w:r w:rsidRPr="00FC5566">
        <w:rPr>
          <w:kern w:val="2"/>
          <w:sz w:val="18"/>
          <w:lang w:eastAsia="x-none"/>
        </w:rPr>
        <w:t xml:space="preserve"> Administration</w:t>
      </w:r>
      <w:r w:rsidRPr="00FC5566">
        <w:rPr>
          <w:kern w:val="2"/>
          <w:sz w:val="18"/>
        </w:rPr>
        <w:t>, LR 52:1355 (August 2026).</w:t>
      </w:r>
    </w:p>
    <w:p w14:paraId="4003902C"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p w14:paraId="63BEBD2D" w14:textId="77777777" w:rsidR="00FC5566" w:rsidRPr="00FC5566" w:rsidRDefault="00FC5566" w:rsidP="00FC5566">
      <w:pPr>
        <w:keepNext/>
        <w:ind w:left="2160"/>
        <w:jc w:val="both"/>
      </w:pPr>
      <w:r w:rsidRPr="00FC5566">
        <w:t>Susana Schowen</w:t>
      </w:r>
    </w:p>
    <w:p w14:paraId="276C5558" w14:textId="77777777" w:rsidR="00FC5566" w:rsidRPr="00FC5566" w:rsidRDefault="00FC5566" w:rsidP="00FC5566">
      <w:pPr>
        <w:keepNext/>
        <w:ind w:left="2160"/>
        <w:jc w:val="both"/>
      </w:pPr>
      <w:r w:rsidRPr="00FC5566">
        <w:t>Secretary</w:t>
      </w:r>
    </w:p>
    <w:p w14:paraId="0212DD53" w14:textId="77777777" w:rsidR="00FC5566" w:rsidRPr="00FC5566" w:rsidRDefault="00FC5566" w:rsidP="00FC5566">
      <w:pPr>
        <w:rPr>
          <w:noProof/>
          <w:sz w:val="16"/>
          <w:szCs w:val="16"/>
        </w:rPr>
      </w:pPr>
      <w:r w:rsidRPr="00FC5566">
        <w:rPr>
          <w:noProof/>
          <w:sz w:val="16"/>
          <w:szCs w:val="16"/>
        </w:rPr>
        <w:t>2608#055</w:t>
      </w:r>
    </w:p>
    <w:p w14:paraId="28C17027" w14:textId="77777777" w:rsidR="00FC5566" w:rsidRPr="00FC5566" w:rsidRDefault="00FC5566" w:rsidP="00FC5566"/>
    <w:p w14:paraId="1FF84816" w14:textId="77777777" w:rsidR="00FC5566" w:rsidRPr="00FC5566" w:rsidRDefault="00FC5566" w:rsidP="00FC5566">
      <w:pPr>
        <w:keepNext/>
        <w:tabs>
          <w:tab w:val="left" w:pos="-1440"/>
        </w:tabs>
        <w:spacing w:after="120"/>
        <w:jc w:val="center"/>
        <w:rPr>
          <w:b/>
          <w:noProof/>
        </w:rPr>
      </w:pPr>
      <w:r w:rsidRPr="00FC5566">
        <w:rPr>
          <w:b/>
          <w:noProof/>
        </w:rPr>
        <w:t>RULE</w:t>
      </w:r>
    </w:p>
    <w:p w14:paraId="12F23C27" w14:textId="77777777" w:rsidR="00FC5566" w:rsidRPr="00FC5566" w:rsidRDefault="00FC5566" w:rsidP="00FC5566">
      <w:pPr>
        <w:keepNext/>
        <w:jc w:val="center"/>
        <w:rPr>
          <w:b/>
          <w:noProof/>
        </w:rPr>
      </w:pPr>
      <w:r w:rsidRPr="00FC5566">
        <w:rPr>
          <w:b/>
          <w:noProof/>
        </w:rPr>
        <w:t>Louisiana Works</w:t>
      </w:r>
    </w:p>
    <w:p w14:paraId="71FA5492" w14:textId="77777777" w:rsidR="00FC5566" w:rsidRPr="00FC5566" w:rsidRDefault="00FC5566" w:rsidP="00FC5566">
      <w:pPr>
        <w:keepNext/>
        <w:jc w:val="center"/>
        <w:rPr>
          <w:b/>
          <w:noProof/>
        </w:rPr>
      </w:pPr>
      <w:r w:rsidRPr="00FC5566">
        <w:rPr>
          <w:b/>
          <w:noProof/>
        </w:rPr>
        <w:t>Office of Workers' Compensation Administration</w:t>
      </w:r>
    </w:p>
    <w:p w14:paraId="2B8B4BEB" w14:textId="77777777" w:rsidR="00FC5566" w:rsidRPr="00FC5566" w:rsidRDefault="00FC5566" w:rsidP="00FC5566">
      <w:pPr>
        <w:keepNext/>
        <w:spacing w:before="240" w:after="240"/>
        <w:jc w:val="center"/>
        <w:rPr>
          <w:noProof/>
        </w:rPr>
      </w:pPr>
      <w:r w:rsidRPr="00FC5566">
        <w:rPr>
          <w:noProof/>
        </w:rPr>
        <w:t>Independent Medical Examination Form</w:t>
      </w:r>
      <w:r w:rsidRPr="00FC5566">
        <w:rPr>
          <w:noProof/>
          <w:webHidden/>
        </w:rPr>
        <w:br/>
      </w:r>
      <w:r w:rsidRPr="00FC5566">
        <w:rPr>
          <w:noProof/>
        </w:rPr>
        <w:t>(LAC 40:I.6727)</w:t>
      </w:r>
    </w:p>
    <w:p w14:paraId="19EC38FC"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 xml:space="preserve">The Louisiana Works does hereby amend certain portions of the </w:t>
      </w:r>
      <w:r w:rsidRPr="00FC5566">
        <w:rPr>
          <w:i/>
          <w:iCs/>
          <w:kern w:val="2"/>
        </w:rPr>
        <w:t>Louisiana Administrative Code</w:t>
      </w:r>
      <w:r w:rsidRPr="00FC5566">
        <w:rPr>
          <w:kern w:val="2"/>
        </w:rPr>
        <w:t xml:space="preserve">, Title 40, Labor and Employment, Part I, Workers’ Compensation Administration, Subpart 3, Hearing Rules, Chapter 67, Section 6727. The revisions to IME Form 1015 are administrative updates intended to improve clarity, completeness, and efficiency in processing IME requests. The changes—such as adding fields for claim number, adjuster contact information, and standardized signature requirements, as well as clarifying submission methods—ensure more accurate identification, communication, and documentation. These updates align the form with current operational practices. This Rule is promulgated by the authority vested in the Assistant Secretary of the Office of Workers’ Compensation found in R.S. 23:1291 and R.S. 23:1123. This Rule is hereby adopted on the day of promulgation. </w:t>
      </w:r>
    </w:p>
    <w:p w14:paraId="1652E162" w14:textId="77777777" w:rsidR="00FC5566" w:rsidRPr="00FC5566" w:rsidRDefault="00FC5566" w:rsidP="00FC5566">
      <w:pPr>
        <w:keepNext/>
        <w:jc w:val="center"/>
        <w:rPr>
          <w:b/>
          <w:kern w:val="28"/>
        </w:rPr>
      </w:pPr>
      <w:r w:rsidRPr="00FC5566">
        <w:rPr>
          <w:b/>
          <w:kern w:val="28"/>
        </w:rPr>
        <w:t>Title 40</w:t>
      </w:r>
    </w:p>
    <w:p w14:paraId="049D2B2C" w14:textId="77777777" w:rsidR="00FC5566" w:rsidRPr="00FC5566" w:rsidRDefault="00FC5566" w:rsidP="00FC5566">
      <w:pPr>
        <w:keepNext/>
        <w:jc w:val="center"/>
        <w:rPr>
          <w:b/>
          <w:kern w:val="28"/>
        </w:rPr>
      </w:pPr>
      <w:r w:rsidRPr="00FC5566">
        <w:rPr>
          <w:b/>
          <w:kern w:val="28"/>
        </w:rPr>
        <w:t>LABOR AND EMPLOYMENT</w:t>
      </w:r>
    </w:p>
    <w:p w14:paraId="1C8DDDCD" w14:textId="77777777" w:rsidR="00FC5566" w:rsidRPr="00FC5566" w:rsidRDefault="00FC5566" w:rsidP="00FC5566">
      <w:pPr>
        <w:keepNext/>
        <w:jc w:val="center"/>
        <w:rPr>
          <w:b/>
          <w:noProof/>
        </w:rPr>
      </w:pPr>
      <w:r w:rsidRPr="00FC5566">
        <w:rPr>
          <w:b/>
          <w:noProof/>
        </w:rPr>
        <w:t>Part I.  Workers' Compensation Administration</w:t>
      </w:r>
    </w:p>
    <w:p w14:paraId="0982B866" w14:textId="77777777" w:rsidR="00FC5566" w:rsidRPr="00FC5566" w:rsidRDefault="00FC5566" w:rsidP="00FC5566">
      <w:pPr>
        <w:keepNext/>
        <w:jc w:val="center"/>
        <w:rPr>
          <w:b/>
          <w:noProof/>
        </w:rPr>
      </w:pPr>
      <w:r w:rsidRPr="00FC5566">
        <w:rPr>
          <w:b/>
          <w:noProof/>
        </w:rPr>
        <w:t>Subpart 3.  Hearing Rules</w:t>
      </w:r>
    </w:p>
    <w:p w14:paraId="76E8D9FF"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Chapter 67.</w:t>
      </w:r>
      <w:r w:rsidRPr="00FC5566">
        <w:rPr>
          <w:b/>
          <w:kern w:val="2"/>
        </w:rPr>
        <w:tab/>
        <w:t>Forms</w:t>
      </w:r>
    </w:p>
    <w:p w14:paraId="5E000DA3"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color w:val="000000"/>
          <w:kern w:val="2"/>
        </w:rPr>
      </w:pPr>
      <w:bookmarkStart w:id="302" w:name="_Toc216980685"/>
      <w:r w:rsidRPr="00FC5566">
        <w:rPr>
          <w:b/>
          <w:kern w:val="2"/>
        </w:rPr>
        <w:t>§6727.</w:t>
      </w:r>
      <w:r w:rsidRPr="00FC5566">
        <w:rPr>
          <w:b/>
          <w:kern w:val="2"/>
        </w:rPr>
        <w:tab/>
        <w:t>Request for Independent Medical Examination; Form LW-WC-1015</w:t>
      </w:r>
      <w:bookmarkEnd w:id="302"/>
    </w:p>
    <w:p w14:paraId="431805C0" w14:textId="77777777" w:rsidR="00FC5566" w:rsidRPr="00FC5566" w:rsidRDefault="00FC5566" w:rsidP="00FC5566">
      <w:pPr>
        <w:keepNext/>
        <w:rPr>
          <w:sz w:val="16"/>
        </w:rPr>
        <w:sectPr w:rsidR="00FC5566" w:rsidRPr="00FC5566" w:rsidSect="00FC5566">
          <w:type w:val="continuous"/>
          <w:pgSz w:w="12240" w:h="15840" w:code="1"/>
          <w:pgMar w:top="720" w:right="864" w:bottom="317" w:left="864" w:header="576" w:footer="432" w:gutter="0"/>
          <w:cols w:num="2" w:space="720"/>
        </w:sectPr>
      </w:pPr>
    </w:p>
    <w:tbl>
      <w:tblPr>
        <w:tblpPr w:leftFromText="180" w:rightFromText="180" w:vertAnchor="page" w:horzAnchor="margin" w:tblpX="-459" w:tblpY="573"/>
        <w:tblW w:w="11372" w:type="dxa"/>
        <w:tblLayout w:type="fixed"/>
        <w:tblCellMar>
          <w:left w:w="120" w:type="dxa"/>
          <w:right w:w="120" w:type="dxa"/>
        </w:tblCellMar>
        <w:tblLook w:val="0000" w:firstRow="0" w:lastRow="0" w:firstColumn="0" w:lastColumn="0" w:noHBand="0" w:noVBand="0"/>
      </w:tblPr>
      <w:tblGrid>
        <w:gridCol w:w="11372"/>
      </w:tblGrid>
      <w:tr w:rsidR="00FC5566" w:rsidRPr="00FC5566" w14:paraId="388E54DE" w14:textId="77777777" w:rsidTr="00B247D5">
        <w:trPr>
          <w:cantSplit/>
          <w:trHeight w:val="12583"/>
        </w:trPr>
        <w:tc>
          <w:tcPr>
            <w:tcW w:w="11372" w:type="dxa"/>
            <w:tcBorders>
              <w:top w:val="single" w:sz="7" w:space="0" w:color="000000"/>
              <w:left w:val="single" w:sz="7" w:space="0" w:color="000000"/>
              <w:bottom w:val="single" w:sz="7" w:space="0" w:color="000000"/>
              <w:right w:val="single" w:sz="7" w:space="0" w:color="000000"/>
            </w:tcBorders>
          </w:tcPr>
          <w:p w14:paraId="0BA160EF" w14:textId="77777777" w:rsidR="00FC5566" w:rsidRPr="00FC5566" w:rsidRDefault="00FC5566" w:rsidP="00FC5566">
            <w:pPr>
              <w:rPr>
                <w:sz w:val="16"/>
                <w:szCs w:val="16"/>
              </w:rPr>
            </w:pPr>
            <w:r w:rsidRPr="00FC5566">
              <w:rPr>
                <w:sz w:val="18"/>
                <w:szCs w:val="18"/>
              </w:rPr>
              <w:lastRenderedPageBreak/>
              <w:t xml:space="preserve">          </w:t>
            </w:r>
            <w:r w:rsidRPr="00FC5566">
              <w:rPr>
                <w:sz w:val="16"/>
                <w:szCs w:val="16"/>
              </w:rPr>
              <w:t xml:space="preserve">RETURN VIA MAIL ONLY TO:                                                                         1.   Social Security No. </w:t>
            </w:r>
            <w:r w:rsidRPr="00FC5566">
              <w:rPr>
                <w:sz w:val="16"/>
                <w:szCs w:val="16"/>
                <w:u w:val="single"/>
              </w:rPr>
              <w:t xml:space="preserve">         </w:t>
            </w:r>
            <w:r w:rsidRPr="00FC5566">
              <w:rPr>
                <w:sz w:val="16"/>
                <w:szCs w:val="16"/>
              </w:rPr>
              <w:t>-</w:t>
            </w:r>
            <w:r w:rsidRPr="00FC5566">
              <w:rPr>
                <w:sz w:val="16"/>
                <w:szCs w:val="16"/>
                <w:u w:val="single"/>
              </w:rPr>
              <w:t xml:space="preserve">          </w:t>
            </w:r>
            <w:r w:rsidRPr="00FC5566">
              <w:rPr>
                <w:sz w:val="16"/>
                <w:szCs w:val="16"/>
              </w:rPr>
              <w:t>- _____</w:t>
            </w:r>
          </w:p>
          <w:p w14:paraId="49105D8E" w14:textId="77777777" w:rsidR="00FC5566" w:rsidRPr="00FC5566" w:rsidRDefault="00FC5566" w:rsidP="00FC5566">
            <w:pPr>
              <w:rPr>
                <w:sz w:val="16"/>
                <w:szCs w:val="16"/>
              </w:rPr>
            </w:pPr>
            <w:r w:rsidRPr="00FC5566">
              <w:rPr>
                <w:sz w:val="16"/>
                <w:szCs w:val="16"/>
              </w:rPr>
              <w:t>OFFICE OF WORKERS' COMPENSATION</w:t>
            </w:r>
            <w:r w:rsidRPr="00FC5566">
              <w:rPr>
                <w:sz w:val="16"/>
                <w:szCs w:val="16"/>
              </w:rPr>
              <w:tab/>
              <w:t xml:space="preserve">                                                     2.   Date of Injury/Illness     </w:t>
            </w:r>
            <w:r w:rsidRPr="00FC5566">
              <w:rPr>
                <w:sz w:val="16"/>
                <w:szCs w:val="16"/>
                <w:u w:val="single"/>
              </w:rPr>
              <w:t xml:space="preserve">             </w:t>
            </w:r>
            <w:r w:rsidRPr="00FC5566">
              <w:rPr>
                <w:sz w:val="16"/>
                <w:szCs w:val="16"/>
              </w:rPr>
              <w:t>-</w:t>
            </w:r>
            <w:r w:rsidRPr="00FC5566">
              <w:rPr>
                <w:sz w:val="16"/>
                <w:szCs w:val="16"/>
                <w:u w:val="single"/>
              </w:rPr>
              <w:t xml:space="preserve">              </w:t>
            </w:r>
            <w:r w:rsidRPr="00FC5566">
              <w:rPr>
                <w:sz w:val="16"/>
                <w:szCs w:val="16"/>
              </w:rPr>
              <w:t>-</w:t>
            </w:r>
            <w:r w:rsidRPr="00FC5566">
              <w:rPr>
                <w:sz w:val="16"/>
                <w:szCs w:val="16"/>
                <w:u w:val="single"/>
              </w:rPr>
              <w:t xml:space="preserve">              </w:t>
            </w:r>
            <w:r w:rsidRPr="00FC5566">
              <w:rPr>
                <w:sz w:val="16"/>
                <w:szCs w:val="16"/>
              </w:rPr>
              <w:t>_</w:t>
            </w:r>
          </w:p>
          <w:p w14:paraId="13E1FB49" w14:textId="77777777" w:rsidR="00FC5566" w:rsidRPr="00FC5566" w:rsidRDefault="00FC5566" w:rsidP="00FC5566">
            <w:pPr>
              <w:rPr>
                <w:sz w:val="16"/>
                <w:szCs w:val="16"/>
              </w:rPr>
            </w:pPr>
            <w:r w:rsidRPr="00FC5566">
              <w:rPr>
                <w:sz w:val="16"/>
                <w:szCs w:val="16"/>
              </w:rPr>
              <w:t xml:space="preserve">          ATTN: MEDICAL SERVICES</w:t>
            </w:r>
            <w:r w:rsidRPr="00FC5566">
              <w:rPr>
                <w:sz w:val="16"/>
                <w:szCs w:val="16"/>
              </w:rPr>
              <w:tab/>
            </w:r>
            <w:r w:rsidRPr="00FC5566">
              <w:rPr>
                <w:sz w:val="16"/>
                <w:szCs w:val="16"/>
              </w:rPr>
              <w:tab/>
            </w:r>
            <w:r w:rsidRPr="00FC5566">
              <w:rPr>
                <w:sz w:val="16"/>
                <w:szCs w:val="16"/>
              </w:rPr>
              <w:tab/>
              <w:t xml:space="preserve">                                    3.   Part(s) of Body Injured_____________________________</w:t>
            </w:r>
          </w:p>
          <w:p w14:paraId="5F71EC2B" w14:textId="77777777" w:rsidR="00FC5566" w:rsidRPr="00FC5566" w:rsidRDefault="00FC5566" w:rsidP="00FC5566">
            <w:pPr>
              <w:rPr>
                <w:sz w:val="16"/>
                <w:szCs w:val="16"/>
              </w:rPr>
            </w:pPr>
            <w:r w:rsidRPr="00FC5566">
              <w:rPr>
                <w:sz w:val="16"/>
                <w:szCs w:val="16"/>
              </w:rPr>
              <w:t xml:space="preserve">           POST OFFICE BOX 94040</w:t>
            </w:r>
            <w:r w:rsidRPr="00FC5566">
              <w:rPr>
                <w:sz w:val="16"/>
                <w:szCs w:val="16"/>
              </w:rPr>
              <w:tab/>
            </w:r>
            <w:r w:rsidRPr="00FC5566">
              <w:rPr>
                <w:sz w:val="16"/>
                <w:szCs w:val="16"/>
              </w:rPr>
              <w:tab/>
              <w:t xml:space="preserve">                                                      __________________________________________________                                </w:t>
            </w:r>
          </w:p>
          <w:p w14:paraId="307E26DB" w14:textId="77777777" w:rsidR="00FC5566" w:rsidRPr="00FC5566" w:rsidRDefault="00FC5566" w:rsidP="00FC5566">
            <w:pPr>
              <w:rPr>
                <w:sz w:val="16"/>
                <w:szCs w:val="16"/>
                <w:u w:val="single"/>
              </w:rPr>
            </w:pPr>
            <w:r w:rsidRPr="00FC5566">
              <w:rPr>
                <w:sz w:val="16"/>
                <w:szCs w:val="16"/>
              </w:rPr>
              <w:t xml:space="preserve">           BATON ROUGE, LA 70804-9040                                                                      4.   Date of Birth              </w:t>
            </w:r>
            <w:r w:rsidRPr="00FC5566">
              <w:rPr>
                <w:sz w:val="16"/>
                <w:szCs w:val="16"/>
                <w:u w:val="single"/>
              </w:rPr>
              <w:t xml:space="preserve">               </w:t>
            </w:r>
            <w:r w:rsidRPr="00FC5566">
              <w:rPr>
                <w:sz w:val="16"/>
                <w:szCs w:val="16"/>
              </w:rPr>
              <w:t>-</w:t>
            </w:r>
            <w:r w:rsidRPr="00FC5566">
              <w:rPr>
                <w:sz w:val="16"/>
                <w:szCs w:val="16"/>
                <w:u w:val="single"/>
              </w:rPr>
              <w:t xml:space="preserve">               </w:t>
            </w:r>
            <w:r w:rsidRPr="00FC5566">
              <w:rPr>
                <w:sz w:val="16"/>
                <w:szCs w:val="16"/>
              </w:rPr>
              <w:t>-</w:t>
            </w:r>
            <w:r w:rsidRPr="00FC5566">
              <w:rPr>
                <w:sz w:val="16"/>
                <w:szCs w:val="16"/>
                <w:u w:val="single"/>
              </w:rPr>
              <w:t xml:space="preserve"> _____</w:t>
            </w:r>
          </w:p>
          <w:p w14:paraId="72A57559" w14:textId="77777777" w:rsidR="00FC5566" w:rsidRPr="00FC5566" w:rsidRDefault="00FC5566" w:rsidP="00FC5566">
            <w:pPr>
              <w:rPr>
                <w:sz w:val="16"/>
                <w:szCs w:val="16"/>
              </w:rPr>
            </w:pPr>
            <w:r w:rsidRPr="00FC5566">
              <w:rPr>
                <w:sz w:val="16"/>
                <w:szCs w:val="16"/>
              </w:rPr>
              <w:t xml:space="preserve">           PHONE: (225) 342-2030                                     </w:t>
            </w:r>
            <w:r w:rsidRPr="00FC5566">
              <w:rPr>
                <w:sz w:val="16"/>
                <w:szCs w:val="16"/>
              </w:rPr>
              <w:tab/>
              <w:t xml:space="preserve">                                     5.   No 1008/suit is pending   </w:t>
            </w:r>
            <w:r w:rsidRPr="00FC5566">
              <w:rPr>
                <w:kern w:val="2"/>
                <w:sz w:val="16"/>
                <w:szCs w:val="16"/>
              </w:rPr>
              <w:t></w:t>
            </w:r>
            <w:r w:rsidRPr="00FC5566">
              <w:rPr>
                <w:sz w:val="16"/>
                <w:szCs w:val="16"/>
              </w:rPr>
              <w:t xml:space="preserve"> (check if applicable)</w:t>
            </w:r>
          </w:p>
          <w:p w14:paraId="5093D6B6" w14:textId="77777777" w:rsidR="00FC5566" w:rsidRPr="00FC5566" w:rsidRDefault="00FC5566" w:rsidP="00FC5566">
            <w:pPr>
              <w:ind w:left="5539" w:hanging="5539"/>
              <w:rPr>
                <w:sz w:val="16"/>
                <w:szCs w:val="16"/>
              </w:rPr>
            </w:pPr>
            <w:r w:rsidRPr="00FC5566">
              <w:rPr>
                <w:sz w:val="16"/>
                <w:szCs w:val="16"/>
              </w:rPr>
              <w:t xml:space="preserve">           TOLL FREE (800) 201-2494                                                                               6.   OWCA Docket Number _____________________________      </w:t>
            </w:r>
          </w:p>
          <w:p w14:paraId="52A0D5DD" w14:textId="77777777" w:rsidR="00FC5566" w:rsidRPr="00FC5566" w:rsidRDefault="00FC5566" w:rsidP="00FC5566">
            <w:pPr>
              <w:rPr>
                <w:sz w:val="16"/>
                <w:szCs w:val="16"/>
                <w:u w:val="single"/>
              </w:rPr>
            </w:pPr>
            <w:r w:rsidRPr="00FC5566">
              <w:rPr>
                <w:sz w:val="16"/>
                <w:szCs w:val="16"/>
              </w:rPr>
              <w:t xml:space="preserve">                                                                                                                                       7.   OWCA District Number</w:t>
            </w:r>
            <w:r w:rsidRPr="00FC5566">
              <w:rPr>
                <w:sz w:val="16"/>
                <w:szCs w:val="16"/>
                <w:u w:val="single"/>
              </w:rPr>
              <w:t>_____________________________</w:t>
            </w:r>
          </w:p>
          <w:p w14:paraId="7F395FA4" w14:textId="77777777" w:rsidR="00FC5566" w:rsidRPr="00FC5566" w:rsidRDefault="00FC5566" w:rsidP="00FC5566">
            <w:pPr>
              <w:rPr>
                <w:sz w:val="16"/>
                <w:szCs w:val="16"/>
                <w:u w:val="single"/>
              </w:rPr>
            </w:pPr>
            <w:r w:rsidRPr="00FC5566">
              <w:rPr>
                <w:sz w:val="16"/>
                <w:szCs w:val="16"/>
              </w:rPr>
              <w:t xml:space="preserve">                                                                                                                                        8.  Claim Number:</w:t>
            </w:r>
            <w:r w:rsidRPr="00FC5566">
              <w:rPr>
                <w:sz w:val="16"/>
                <w:szCs w:val="16"/>
                <w:u w:val="single"/>
              </w:rPr>
              <w:t>_____________________________________</w:t>
            </w:r>
          </w:p>
          <w:p w14:paraId="5717070B" w14:textId="77777777" w:rsidR="00FC5566" w:rsidRPr="00FC5566" w:rsidRDefault="00FC5566" w:rsidP="00FC5566">
            <w:pPr>
              <w:keepNext/>
              <w:tabs>
                <w:tab w:val="center" w:pos="5325"/>
                <w:tab w:val="left" w:pos="5400"/>
                <w:tab w:val="left" w:pos="5580"/>
                <w:tab w:val="left" w:pos="5760"/>
                <w:tab w:val="left" w:pos="5940"/>
                <w:tab w:val="left" w:pos="6120"/>
                <w:tab w:val="left" w:pos="6300"/>
                <w:tab w:val="left" w:pos="6480"/>
                <w:tab w:val="left" w:pos="6660"/>
                <w:tab w:val="left" w:pos="6840"/>
                <w:tab w:val="left" w:pos="7020"/>
              </w:tabs>
              <w:rPr>
                <w:b/>
                <w:kern w:val="2"/>
                <w:sz w:val="16"/>
              </w:rPr>
            </w:pPr>
          </w:p>
          <w:p w14:paraId="29762390" w14:textId="77777777" w:rsidR="00FC5566" w:rsidRPr="00FC5566" w:rsidRDefault="00FC5566" w:rsidP="00FC5566">
            <w:pPr>
              <w:keepNext/>
              <w:tabs>
                <w:tab w:val="center" w:pos="5325"/>
                <w:tab w:val="left" w:pos="5400"/>
                <w:tab w:val="left" w:pos="5580"/>
                <w:tab w:val="left" w:pos="5760"/>
                <w:tab w:val="left" w:pos="5940"/>
                <w:tab w:val="left" w:pos="6120"/>
                <w:tab w:val="left" w:pos="6300"/>
                <w:tab w:val="left" w:pos="6480"/>
                <w:tab w:val="left" w:pos="6660"/>
                <w:tab w:val="left" w:pos="6840"/>
                <w:tab w:val="left" w:pos="7020"/>
              </w:tabs>
              <w:jc w:val="center"/>
              <w:rPr>
                <w:b/>
                <w:kern w:val="2"/>
                <w:sz w:val="16"/>
              </w:rPr>
            </w:pPr>
            <w:r w:rsidRPr="00FC5566">
              <w:rPr>
                <w:b/>
                <w:kern w:val="2"/>
                <w:sz w:val="16"/>
              </w:rPr>
              <w:t>REQUEST FOR La. R.S. 23:1123 INDEPENDENT MEDICAL EXAMINATION</w:t>
            </w:r>
          </w:p>
          <w:p w14:paraId="343F1ABD"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rPr>
                <w:kern w:val="2"/>
                <w:sz w:val="16"/>
              </w:rPr>
            </w:pPr>
          </w:p>
          <w:p w14:paraId="73F18CD0"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80" w:hanging="180"/>
              <w:rPr>
                <w:kern w:val="2"/>
                <w:sz w:val="16"/>
              </w:rPr>
            </w:pPr>
            <w:r w:rsidRPr="00FC5566">
              <w:rPr>
                <w:kern w:val="2"/>
                <w:sz w:val="16"/>
              </w:rPr>
              <w:tab/>
            </w:r>
            <w:r w:rsidRPr="00FC5566">
              <w:rPr>
                <w:b/>
                <w:kern w:val="2"/>
                <w:sz w:val="16"/>
              </w:rPr>
              <w:t>Issues in Dispute</w:t>
            </w:r>
            <w:r w:rsidRPr="00FC5566">
              <w:rPr>
                <w:kern w:val="2"/>
                <w:sz w:val="16"/>
              </w:rPr>
              <w:t xml:space="preserve"> (</w:t>
            </w:r>
            <w:r w:rsidRPr="00FC5566">
              <w:rPr>
                <w:i/>
                <w:kern w:val="2"/>
                <w:sz w:val="16"/>
              </w:rPr>
              <w:t>check all that apply</w:t>
            </w:r>
            <w:r w:rsidRPr="00FC5566">
              <w:rPr>
                <w:kern w:val="2"/>
                <w:sz w:val="16"/>
              </w:rPr>
              <w:t>):</w:t>
            </w:r>
          </w:p>
          <w:p w14:paraId="14B404B2"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2700" w:hanging="2520"/>
              <w:rPr>
                <w:kern w:val="2"/>
                <w:sz w:val="16"/>
              </w:rPr>
            </w:pPr>
            <w:r w:rsidRPr="00FC5566">
              <w:rPr>
                <w:kern w:val="2"/>
                <w:sz w:val="16"/>
              </w:rPr>
              <w:t xml:space="preserve">  </w:t>
            </w:r>
            <w:r w:rsidRPr="00FC5566">
              <w:rPr>
                <w:kern w:val="2"/>
                <w:sz w:val="16"/>
              </w:rPr>
              <w:t>    Employee’s condition</w:t>
            </w:r>
            <w:r w:rsidRPr="00FC5566">
              <w:rPr>
                <w:kern w:val="2"/>
                <w:sz w:val="16"/>
              </w:rPr>
              <w:tab/>
              <w:t xml:space="preserve"> </w:t>
            </w:r>
            <w:r w:rsidRPr="00FC5566">
              <w:rPr>
                <w:kern w:val="2"/>
                <w:sz w:val="16"/>
              </w:rPr>
              <w:t xml:space="preserve">  Employee’s capacity to work       </w:t>
            </w:r>
          </w:p>
          <w:p w14:paraId="5924E153" w14:textId="77777777" w:rsidR="00FC5566" w:rsidRPr="00FC5566" w:rsidRDefault="00FC5566" w:rsidP="00FC5566">
            <w:pPr>
              <w:keepNext/>
              <w:numPr>
                <w:ilvl w:val="0"/>
                <w:numId w:val="2"/>
              </w:num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contextualSpacing/>
              <w:rPr>
                <w:rFonts w:eastAsia="Aptos"/>
                <w:kern w:val="2"/>
                <w:sz w:val="16"/>
              </w:rPr>
            </w:pPr>
            <w:r w:rsidRPr="00FC5566">
              <w:rPr>
                <w:rFonts w:eastAsia="Aptos"/>
                <w:kern w:val="2"/>
                <w:sz w:val="16"/>
              </w:rPr>
              <w:t xml:space="preserve">    The Assistant Secretary of the Office of Workers’ Compensation shall choose the medical practitioner to conduct the IME per La. R. S. 23:1123.</w:t>
            </w:r>
          </w:p>
          <w:p w14:paraId="76E523FC"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80"/>
              <w:rPr>
                <w:kern w:val="2"/>
                <w:sz w:val="16"/>
              </w:rPr>
            </w:pPr>
          </w:p>
          <w:p w14:paraId="4FA27DE5"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540" w:hanging="360"/>
              <w:rPr>
                <w:kern w:val="2"/>
                <w:sz w:val="16"/>
                <w:u w:val="single"/>
              </w:rPr>
            </w:pPr>
            <w:r w:rsidRPr="00FC5566">
              <w:rPr>
                <w:kern w:val="2"/>
                <w:sz w:val="16"/>
              </w:rPr>
              <w:t>B.</w:t>
            </w:r>
            <w:r w:rsidRPr="00FC5566">
              <w:rPr>
                <w:kern w:val="2"/>
                <w:sz w:val="16"/>
              </w:rPr>
              <w:tab/>
            </w:r>
            <w:r w:rsidRPr="00FC5566">
              <w:rPr>
                <w:kern w:val="2"/>
                <w:sz w:val="16"/>
              </w:rPr>
              <w:tab/>
              <w:t>All requests to the OWCA for an IME shall include the following:</w:t>
            </w:r>
          </w:p>
          <w:p w14:paraId="27C4A411" w14:textId="77777777" w:rsidR="00FC5566" w:rsidRPr="00FC5566" w:rsidRDefault="00FC5566" w:rsidP="00FC5566">
            <w:pPr>
              <w:keepNext/>
              <w:numPr>
                <w:ilvl w:val="0"/>
                <w:numId w:val="1"/>
              </w:num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contextualSpacing/>
              <w:rPr>
                <w:rFonts w:eastAsia="Aptos"/>
                <w:kern w:val="2"/>
                <w:sz w:val="16"/>
              </w:rPr>
            </w:pPr>
            <w:r w:rsidRPr="00FC5566">
              <w:rPr>
                <w:rFonts w:eastAsia="Aptos"/>
                <w:kern w:val="2"/>
                <w:sz w:val="16"/>
              </w:rPr>
              <w:t>A cover letter explaining the conflicting medical issue(s) in dispute (reason for request) along with the conflicting medical reports must be attached to this form.  The reports that document the dispute shall be most current.</w:t>
            </w:r>
          </w:p>
          <w:p w14:paraId="3DD6ECE7" w14:textId="77777777" w:rsidR="00FC5566" w:rsidRPr="00FC5566" w:rsidRDefault="00FC5566" w:rsidP="00FC5566">
            <w:pPr>
              <w:keepNext/>
              <w:numPr>
                <w:ilvl w:val="0"/>
                <w:numId w:val="1"/>
              </w:num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contextualSpacing/>
              <w:rPr>
                <w:rFonts w:eastAsia="Aptos"/>
                <w:kern w:val="2"/>
                <w:sz w:val="16"/>
              </w:rPr>
            </w:pPr>
            <w:r w:rsidRPr="00FC5566">
              <w:rPr>
                <w:rFonts w:eastAsia="Aptos"/>
                <w:kern w:val="2"/>
                <w:sz w:val="16"/>
              </w:rPr>
              <w:t>A list of names, addresses, and phone numbers of all physicians/medical providers who have treated or examined the injured employee for this injury.  For each physician/medical provider listed, please state which party chose the provider.</w:t>
            </w:r>
          </w:p>
          <w:p w14:paraId="794B33C1"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929"/>
              <w:contextualSpacing/>
              <w:rPr>
                <w:kern w:val="2"/>
                <w:sz w:val="16"/>
              </w:rPr>
            </w:pPr>
          </w:p>
          <w:p w14:paraId="550D6B26"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540" w:hanging="360"/>
              <w:rPr>
                <w:kern w:val="2"/>
                <w:sz w:val="16"/>
              </w:rPr>
            </w:pPr>
            <w:r w:rsidRPr="00FC5566">
              <w:rPr>
                <w:kern w:val="2"/>
                <w:sz w:val="16"/>
              </w:rPr>
              <w:t>C.</w:t>
            </w:r>
            <w:r w:rsidRPr="00FC5566">
              <w:rPr>
                <w:kern w:val="2"/>
                <w:sz w:val="16"/>
              </w:rPr>
              <w:tab/>
            </w:r>
            <w:r w:rsidRPr="00FC5566">
              <w:rPr>
                <w:kern w:val="2"/>
                <w:sz w:val="16"/>
              </w:rPr>
              <w:tab/>
              <w:t>The submitting party shall mail a copy of this request and all included documents to all parties and their attorneys on the same day.</w:t>
            </w:r>
          </w:p>
          <w:p w14:paraId="7ED46A57"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540" w:hanging="360"/>
              <w:rPr>
                <w:kern w:val="2"/>
                <w:sz w:val="16"/>
              </w:rPr>
            </w:pPr>
          </w:p>
          <w:p w14:paraId="36008E22"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540" w:hanging="360"/>
              <w:rPr>
                <w:kern w:val="2"/>
                <w:sz w:val="16"/>
              </w:rPr>
            </w:pPr>
            <w:r w:rsidRPr="00FC5566">
              <w:rPr>
                <w:kern w:val="2"/>
                <w:sz w:val="16"/>
              </w:rPr>
              <w:t xml:space="preserve">D.     The Assistant Secretary will not appoint an IME unless there is a dispute as to the employee’s condition or capacity to work pursuant to La. R.S. 23:1123. </w:t>
            </w:r>
          </w:p>
          <w:p w14:paraId="4E597203"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rPr>
                <w:kern w:val="2"/>
                <w:sz w:val="16"/>
              </w:rPr>
            </w:pPr>
          </w:p>
          <w:p w14:paraId="5877B7C0"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540" w:hanging="360"/>
              <w:rPr>
                <w:kern w:val="2"/>
                <w:sz w:val="16"/>
                <w:szCs w:val="16"/>
              </w:rPr>
            </w:pPr>
            <w:r w:rsidRPr="00FC5566">
              <w:rPr>
                <w:kern w:val="2"/>
                <w:sz w:val="16"/>
              </w:rPr>
              <w:t>E.      Upon notice that your request for an IME is granted, you shall forward medical documents from all parties’ medical providers (including but not limited to applicable reports, notes, test results, FCEs, X-rays, MRIs, and CT scans) to the IME physician’s office</w:t>
            </w:r>
            <w:r w:rsidRPr="00FC5566">
              <w:rPr>
                <w:kern w:val="2"/>
                <w:sz w:val="16"/>
                <w:szCs w:val="16"/>
              </w:rPr>
              <w:t xml:space="preserve"> with a copy of the OWCA IME Agreement and the OWCA letter to the doctor.  </w:t>
            </w:r>
            <w:r w:rsidRPr="00FC5566">
              <w:rPr>
                <w:b/>
                <w:kern w:val="2"/>
                <w:sz w:val="16"/>
                <w:szCs w:val="16"/>
              </w:rPr>
              <w:t>Do not</w:t>
            </w:r>
            <w:r w:rsidRPr="00FC5566">
              <w:rPr>
                <w:kern w:val="2"/>
                <w:sz w:val="16"/>
                <w:szCs w:val="16"/>
              </w:rPr>
              <w:t xml:space="preserve"> attach a private cover letter.  </w:t>
            </w:r>
            <w:r w:rsidRPr="00FC5566">
              <w:rPr>
                <w:sz w:val="16"/>
                <w:szCs w:val="16"/>
              </w:rPr>
              <w:t xml:space="preserve">You shall forward a statement to all parties and their attorneys identifying any films provided to the IME by provider name, type, and date of service in addition to identical copies of all documents, excluding films, you sent to the IME physician’s office. </w:t>
            </w:r>
          </w:p>
          <w:p w14:paraId="03D138B7"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540" w:hanging="360"/>
              <w:rPr>
                <w:kern w:val="2"/>
                <w:sz w:val="16"/>
              </w:rPr>
            </w:pPr>
          </w:p>
          <w:p w14:paraId="0C79708B"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540" w:hanging="360"/>
              <w:rPr>
                <w:kern w:val="2"/>
                <w:sz w:val="16"/>
              </w:rPr>
            </w:pPr>
            <w:r w:rsidRPr="00FC5566">
              <w:rPr>
                <w:kern w:val="2"/>
                <w:sz w:val="16"/>
              </w:rPr>
              <w:t>F.      You shall not communicate verbally or in writing with the IME prior to the IME rendering the IME report unless otherwise directed by Medical Services for limited processing issues.</w:t>
            </w:r>
          </w:p>
          <w:p w14:paraId="29DF307B"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540" w:hanging="360"/>
              <w:rPr>
                <w:kern w:val="2"/>
                <w:sz w:val="16"/>
              </w:rPr>
            </w:pPr>
          </w:p>
          <w:p w14:paraId="7253AA0F"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540" w:hanging="360"/>
              <w:rPr>
                <w:kern w:val="2"/>
                <w:sz w:val="16"/>
              </w:rPr>
            </w:pPr>
            <w:r w:rsidRPr="00FC5566">
              <w:rPr>
                <w:kern w:val="2"/>
                <w:sz w:val="16"/>
              </w:rPr>
              <w:t>G.     The type of indemnity benefit, if any, an employee may be entitled to is a legal determination outside of the scope of the IME.</w:t>
            </w:r>
          </w:p>
          <w:p w14:paraId="0EAFF751"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rPr>
                <w:b/>
                <w:kern w:val="2"/>
                <w:sz w:val="16"/>
              </w:rPr>
            </w:pPr>
          </w:p>
          <w:p w14:paraId="0FAF8744"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center" w:pos="5325"/>
                <w:tab w:val="left" w:pos="5400"/>
                <w:tab w:val="left" w:pos="5580"/>
                <w:tab w:val="left" w:pos="5760"/>
                <w:tab w:val="left" w:pos="5940"/>
                <w:tab w:val="left" w:pos="6120"/>
                <w:tab w:val="left" w:pos="6300"/>
                <w:tab w:val="left" w:pos="6480"/>
                <w:tab w:val="left" w:pos="6660"/>
                <w:tab w:val="left" w:pos="6840"/>
                <w:tab w:val="left" w:pos="7020"/>
              </w:tabs>
              <w:ind w:left="6120" w:hanging="5760"/>
              <w:rPr>
                <w:b/>
                <w:kern w:val="2"/>
                <w:sz w:val="16"/>
              </w:rPr>
            </w:pPr>
            <w:r w:rsidRPr="00FC5566">
              <w:rPr>
                <w:b/>
                <w:kern w:val="2"/>
                <w:sz w:val="16"/>
              </w:rPr>
              <w:t xml:space="preserve">              </w:t>
            </w:r>
            <w:r w:rsidRPr="00FC5566">
              <w:rPr>
                <w:b/>
                <w:kern w:val="2"/>
                <w:sz w:val="16"/>
              </w:rPr>
              <w:tab/>
            </w:r>
            <w:r w:rsidRPr="00FC5566">
              <w:rPr>
                <w:b/>
                <w:kern w:val="2"/>
                <w:sz w:val="16"/>
              </w:rPr>
              <w:tab/>
            </w:r>
            <w:r w:rsidRPr="00FC5566">
              <w:rPr>
                <w:b/>
                <w:kern w:val="2"/>
                <w:sz w:val="16"/>
              </w:rPr>
              <w:tab/>
            </w:r>
            <w:r w:rsidRPr="00FC5566">
              <w:rPr>
                <w:b/>
                <w:kern w:val="2"/>
                <w:sz w:val="16"/>
              </w:rPr>
              <w:tab/>
            </w:r>
            <w:r w:rsidRPr="00FC5566">
              <w:rPr>
                <w:b/>
                <w:kern w:val="2"/>
                <w:sz w:val="16"/>
              </w:rPr>
              <w:tab/>
              <w:t>EMPLOYEE</w:t>
            </w:r>
            <w:r w:rsidRPr="00FC5566">
              <w:rPr>
                <w:kern w:val="2"/>
                <w:sz w:val="16"/>
              </w:rPr>
              <w:tab/>
            </w:r>
            <w:r w:rsidRPr="00FC5566">
              <w:rPr>
                <w:kern w:val="2"/>
                <w:sz w:val="16"/>
              </w:rPr>
              <w:tab/>
              <w:t xml:space="preserve">                          </w:t>
            </w:r>
            <w:r w:rsidRPr="00FC5566">
              <w:rPr>
                <w:kern w:val="2"/>
                <w:sz w:val="16"/>
              </w:rPr>
              <w:tab/>
              <w:t xml:space="preserve">      </w:t>
            </w:r>
            <w:r w:rsidRPr="00FC5566">
              <w:rPr>
                <w:b/>
                <w:kern w:val="2"/>
                <w:sz w:val="16"/>
              </w:rPr>
              <w:t>EMPLOYEE'S ATTORNEY</w:t>
            </w:r>
          </w:p>
          <w:p w14:paraId="5BE4EEF4"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rPr>
                <w:b/>
                <w:kern w:val="2"/>
                <w:sz w:val="16"/>
              </w:rPr>
            </w:pPr>
          </w:p>
          <w:p w14:paraId="78AFE9C5" w14:textId="77777777" w:rsidR="00FC5566" w:rsidRPr="00FC5566" w:rsidRDefault="00FC5566" w:rsidP="00FC5566">
            <w:pPr>
              <w:keepNext/>
              <w:tabs>
                <w:tab w:val="left" w:pos="0"/>
                <w:tab w:val="left" w:pos="180"/>
                <w:tab w:val="left" w:pos="309"/>
                <w:tab w:val="left" w:pos="4140"/>
                <w:tab w:val="left" w:pos="4320"/>
                <w:tab w:val="left" w:pos="4500"/>
                <w:tab w:val="left" w:pos="4680"/>
                <w:tab w:val="left" w:pos="4860"/>
                <w:tab w:val="left" w:pos="5040"/>
                <w:tab w:val="left" w:pos="5220"/>
                <w:tab w:val="left" w:pos="5400"/>
                <w:tab w:val="left" w:pos="5580"/>
                <w:tab w:val="left" w:pos="9909"/>
              </w:tabs>
              <w:rPr>
                <w:kern w:val="2"/>
                <w:sz w:val="18"/>
              </w:rPr>
            </w:pPr>
            <w:r w:rsidRPr="00FC5566">
              <w:rPr>
                <w:kern w:val="2"/>
                <w:sz w:val="18"/>
              </w:rPr>
              <w:t xml:space="preserve">9.    Name </w:t>
            </w:r>
            <w:r w:rsidRPr="00FC5566">
              <w:rPr>
                <w:kern w:val="2"/>
                <w:sz w:val="18"/>
                <w:u w:val="single"/>
              </w:rPr>
              <w:tab/>
            </w:r>
            <w:r w:rsidRPr="00FC5566">
              <w:rPr>
                <w:kern w:val="2"/>
                <w:sz w:val="18"/>
              </w:rPr>
              <w:t xml:space="preserve">   </w:t>
            </w:r>
            <w:r w:rsidRPr="00FC5566">
              <w:rPr>
                <w:kern w:val="2"/>
                <w:sz w:val="18"/>
              </w:rPr>
              <w:tab/>
            </w:r>
            <w:r w:rsidRPr="00FC5566">
              <w:rPr>
                <w:kern w:val="2"/>
                <w:sz w:val="18"/>
              </w:rPr>
              <w:tab/>
            </w:r>
            <w:r w:rsidRPr="00FC5566">
              <w:rPr>
                <w:kern w:val="2"/>
                <w:sz w:val="18"/>
              </w:rPr>
              <w:tab/>
            </w:r>
            <w:r w:rsidRPr="00FC5566">
              <w:rPr>
                <w:kern w:val="2"/>
                <w:sz w:val="18"/>
              </w:rPr>
              <w:tab/>
            </w:r>
            <w:r w:rsidRPr="00FC5566">
              <w:rPr>
                <w:kern w:val="2"/>
                <w:sz w:val="18"/>
              </w:rPr>
              <w:tab/>
            </w:r>
            <w:r w:rsidRPr="00FC5566">
              <w:rPr>
                <w:kern w:val="2"/>
                <w:sz w:val="18"/>
              </w:rPr>
              <w:tab/>
              <w:t xml:space="preserve">10.  </w:t>
            </w:r>
            <w:r w:rsidRPr="00FC5566">
              <w:rPr>
                <w:kern w:val="2"/>
                <w:sz w:val="18"/>
              </w:rPr>
              <w:tab/>
              <w:t>Name</w:t>
            </w:r>
            <w:r w:rsidRPr="00FC5566">
              <w:rPr>
                <w:kern w:val="2"/>
                <w:sz w:val="18"/>
                <w:u w:val="single"/>
              </w:rPr>
              <w:tab/>
            </w:r>
          </w:p>
          <w:p w14:paraId="0FA81053" w14:textId="77777777" w:rsidR="00FC5566" w:rsidRPr="00FC5566" w:rsidRDefault="00FC5566" w:rsidP="00FC5566">
            <w:pPr>
              <w:keepNext/>
              <w:tabs>
                <w:tab w:val="left" w:pos="0"/>
                <w:tab w:val="left" w:pos="180"/>
                <w:tab w:val="left" w:pos="309"/>
                <w:tab w:val="left" w:pos="4140"/>
                <w:tab w:val="left" w:pos="4320"/>
                <w:tab w:val="left" w:pos="4500"/>
                <w:tab w:val="left" w:pos="4680"/>
                <w:tab w:val="left" w:pos="4860"/>
                <w:tab w:val="left" w:pos="5040"/>
                <w:tab w:val="left" w:pos="5220"/>
                <w:tab w:val="left" w:pos="5400"/>
                <w:tab w:val="left" w:pos="5580"/>
                <w:tab w:val="left" w:pos="9909"/>
              </w:tabs>
              <w:rPr>
                <w:kern w:val="2"/>
                <w:sz w:val="18"/>
              </w:rPr>
            </w:pPr>
            <w:r w:rsidRPr="00FC5566">
              <w:rPr>
                <w:kern w:val="2"/>
                <w:sz w:val="18"/>
              </w:rPr>
              <w:t xml:space="preserve">       Street or Box</w:t>
            </w:r>
            <w:r w:rsidRPr="00FC5566">
              <w:rPr>
                <w:kern w:val="2"/>
                <w:sz w:val="18"/>
                <w:u w:val="single"/>
              </w:rPr>
              <w:tab/>
            </w:r>
            <w:r w:rsidRPr="00FC5566">
              <w:rPr>
                <w:kern w:val="2"/>
                <w:sz w:val="18"/>
              </w:rPr>
              <w:tab/>
              <w:t xml:space="preserve">      </w:t>
            </w:r>
            <w:r w:rsidRPr="00FC5566">
              <w:rPr>
                <w:kern w:val="2"/>
                <w:sz w:val="18"/>
              </w:rPr>
              <w:tab/>
            </w:r>
            <w:r w:rsidRPr="00FC5566">
              <w:rPr>
                <w:kern w:val="2"/>
                <w:sz w:val="18"/>
              </w:rPr>
              <w:tab/>
            </w:r>
            <w:r w:rsidRPr="00FC5566">
              <w:rPr>
                <w:kern w:val="2"/>
                <w:sz w:val="18"/>
              </w:rPr>
              <w:tab/>
            </w:r>
            <w:r w:rsidRPr="00FC5566">
              <w:rPr>
                <w:kern w:val="2"/>
                <w:sz w:val="18"/>
              </w:rPr>
              <w:tab/>
            </w:r>
            <w:r w:rsidRPr="00FC5566">
              <w:rPr>
                <w:kern w:val="2"/>
                <w:sz w:val="18"/>
              </w:rPr>
              <w:tab/>
            </w:r>
            <w:r w:rsidRPr="00FC5566">
              <w:rPr>
                <w:kern w:val="2"/>
                <w:sz w:val="18"/>
              </w:rPr>
              <w:tab/>
              <w:t>Street or Box</w:t>
            </w:r>
            <w:r w:rsidRPr="00FC5566">
              <w:rPr>
                <w:kern w:val="2"/>
                <w:sz w:val="18"/>
                <w:u w:val="single"/>
              </w:rPr>
              <w:tab/>
            </w:r>
          </w:p>
          <w:p w14:paraId="3D86E70A" w14:textId="77777777" w:rsidR="00FC5566" w:rsidRPr="00FC5566" w:rsidRDefault="00FC5566" w:rsidP="00FC5566">
            <w:pPr>
              <w:keepNext/>
              <w:tabs>
                <w:tab w:val="left" w:pos="0"/>
                <w:tab w:val="left" w:pos="180"/>
                <w:tab w:val="left" w:pos="309"/>
                <w:tab w:val="left" w:pos="4140"/>
                <w:tab w:val="left" w:pos="4320"/>
                <w:tab w:val="left" w:pos="4500"/>
                <w:tab w:val="left" w:pos="4680"/>
                <w:tab w:val="left" w:pos="4860"/>
                <w:tab w:val="left" w:pos="5040"/>
                <w:tab w:val="left" w:pos="5220"/>
                <w:tab w:val="left" w:pos="5400"/>
                <w:tab w:val="left" w:pos="5580"/>
                <w:tab w:val="left" w:pos="9909"/>
              </w:tabs>
              <w:rPr>
                <w:kern w:val="2"/>
                <w:sz w:val="18"/>
              </w:rPr>
            </w:pPr>
            <w:r w:rsidRPr="00FC5566">
              <w:rPr>
                <w:kern w:val="2"/>
                <w:sz w:val="18"/>
              </w:rPr>
              <w:t xml:space="preserve">       City </w:t>
            </w:r>
            <w:r w:rsidRPr="00FC5566">
              <w:rPr>
                <w:kern w:val="2"/>
                <w:sz w:val="18"/>
                <w:u w:val="single"/>
              </w:rPr>
              <w:tab/>
            </w:r>
            <w:r w:rsidRPr="00FC5566">
              <w:rPr>
                <w:kern w:val="2"/>
                <w:sz w:val="18"/>
              </w:rPr>
              <w:tab/>
              <w:t xml:space="preserve">      </w:t>
            </w:r>
            <w:r w:rsidRPr="00FC5566">
              <w:rPr>
                <w:kern w:val="2"/>
                <w:sz w:val="18"/>
              </w:rPr>
              <w:tab/>
            </w:r>
            <w:r w:rsidRPr="00FC5566">
              <w:rPr>
                <w:kern w:val="2"/>
                <w:sz w:val="18"/>
              </w:rPr>
              <w:tab/>
            </w:r>
            <w:r w:rsidRPr="00FC5566">
              <w:rPr>
                <w:kern w:val="2"/>
                <w:sz w:val="18"/>
              </w:rPr>
              <w:tab/>
            </w:r>
            <w:r w:rsidRPr="00FC5566">
              <w:rPr>
                <w:kern w:val="2"/>
                <w:sz w:val="18"/>
              </w:rPr>
              <w:tab/>
            </w:r>
            <w:r w:rsidRPr="00FC5566">
              <w:rPr>
                <w:kern w:val="2"/>
                <w:sz w:val="18"/>
              </w:rPr>
              <w:tab/>
            </w:r>
            <w:r w:rsidRPr="00FC5566">
              <w:rPr>
                <w:kern w:val="2"/>
                <w:sz w:val="18"/>
              </w:rPr>
              <w:tab/>
              <w:t>City</w:t>
            </w:r>
            <w:r w:rsidRPr="00FC5566">
              <w:rPr>
                <w:kern w:val="2"/>
                <w:sz w:val="18"/>
                <w:u w:val="single"/>
              </w:rPr>
              <w:tab/>
            </w:r>
          </w:p>
          <w:p w14:paraId="7B5A4EE2" w14:textId="77777777" w:rsidR="00FC5566" w:rsidRPr="00FC5566" w:rsidRDefault="00FC5566" w:rsidP="00FC5566">
            <w:pPr>
              <w:keepNext/>
              <w:tabs>
                <w:tab w:val="left" w:pos="0"/>
                <w:tab w:val="left" w:pos="180"/>
                <w:tab w:val="left" w:pos="309"/>
                <w:tab w:val="left" w:pos="4140"/>
                <w:tab w:val="left" w:pos="4320"/>
                <w:tab w:val="left" w:pos="4500"/>
                <w:tab w:val="left" w:pos="4680"/>
                <w:tab w:val="left" w:pos="4860"/>
                <w:tab w:val="left" w:pos="5040"/>
                <w:tab w:val="left" w:pos="5220"/>
                <w:tab w:val="left" w:pos="5400"/>
                <w:tab w:val="left" w:pos="5580"/>
                <w:tab w:val="left" w:pos="9909"/>
              </w:tabs>
              <w:ind w:left="4860" w:hanging="4860"/>
              <w:rPr>
                <w:kern w:val="2"/>
                <w:sz w:val="18"/>
              </w:rPr>
            </w:pPr>
            <w:r w:rsidRPr="00FC5566">
              <w:rPr>
                <w:kern w:val="2"/>
                <w:sz w:val="18"/>
              </w:rPr>
              <w:t xml:space="preserve">       State </w:t>
            </w:r>
            <w:r w:rsidRPr="00FC5566">
              <w:rPr>
                <w:kern w:val="2"/>
                <w:sz w:val="18"/>
                <w:u w:val="single"/>
              </w:rPr>
              <w:t xml:space="preserve">                                          </w:t>
            </w:r>
            <w:r w:rsidRPr="00FC5566">
              <w:rPr>
                <w:kern w:val="2"/>
                <w:sz w:val="18"/>
              </w:rPr>
              <w:t xml:space="preserve"> Zip</w:t>
            </w:r>
            <w:r w:rsidRPr="00FC5566">
              <w:rPr>
                <w:kern w:val="2"/>
                <w:sz w:val="18"/>
                <w:u w:val="single"/>
              </w:rPr>
              <w:tab/>
            </w:r>
            <w:r w:rsidRPr="00FC5566">
              <w:rPr>
                <w:kern w:val="2"/>
                <w:sz w:val="18"/>
              </w:rPr>
              <w:tab/>
              <w:t xml:space="preserve">      </w:t>
            </w:r>
            <w:r w:rsidRPr="00FC5566">
              <w:rPr>
                <w:kern w:val="2"/>
                <w:sz w:val="18"/>
              </w:rPr>
              <w:tab/>
            </w:r>
            <w:r w:rsidRPr="00FC5566">
              <w:rPr>
                <w:kern w:val="2"/>
                <w:sz w:val="18"/>
              </w:rPr>
              <w:tab/>
            </w:r>
            <w:r w:rsidRPr="00FC5566">
              <w:rPr>
                <w:kern w:val="2"/>
                <w:sz w:val="18"/>
              </w:rPr>
              <w:tab/>
            </w:r>
            <w:r w:rsidRPr="00FC5566">
              <w:rPr>
                <w:kern w:val="2"/>
                <w:sz w:val="18"/>
              </w:rPr>
              <w:tab/>
            </w:r>
            <w:r w:rsidRPr="00FC5566">
              <w:rPr>
                <w:kern w:val="2"/>
                <w:sz w:val="18"/>
              </w:rPr>
              <w:tab/>
            </w:r>
            <w:r w:rsidRPr="00FC5566">
              <w:rPr>
                <w:kern w:val="2"/>
                <w:sz w:val="18"/>
              </w:rPr>
              <w:tab/>
              <w:t xml:space="preserve">State </w:t>
            </w:r>
            <w:r w:rsidRPr="00FC5566">
              <w:rPr>
                <w:kern w:val="2"/>
                <w:sz w:val="18"/>
                <w:u w:val="single"/>
              </w:rPr>
              <w:t xml:space="preserve">                                             </w:t>
            </w:r>
            <w:r w:rsidRPr="00FC5566">
              <w:rPr>
                <w:kern w:val="2"/>
                <w:sz w:val="18"/>
              </w:rPr>
              <w:t xml:space="preserve"> Zip</w:t>
            </w:r>
            <w:r w:rsidRPr="00FC5566">
              <w:rPr>
                <w:kern w:val="2"/>
                <w:sz w:val="18"/>
                <w:u w:val="single"/>
              </w:rPr>
              <w:tab/>
            </w:r>
          </w:p>
          <w:p w14:paraId="529135A7" w14:textId="77777777" w:rsidR="00FC5566" w:rsidRPr="00FC5566" w:rsidRDefault="00FC5566" w:rsidP="00FC5566">
            <w:pPr>
              <w:keepNext/>
              <w:tabs>
                <w:tab w:val="left" w:pos="0"/>
                <w:tab w:val="left" w:pos="180"/>
                <w:tab w:val="left" w:pos="309"/>
                <w:tab w:val="left" w:pos="4140"/>
                <w:tab w:val="left" w:pos="4320"/>
                <w:tab w:val="left" w:pos="4500"/>
                <w:tab w:val="left" w:pos="4680"/>
                <w:tab w:val="left" w:pos="4860"/>
                <w:tab w:val="left" w:pos="5040"/>
                <w:tab w:val="left" w:pos="5220"/>
                <w:tab w:val="left" w:pos="5400"/>
                <w:tab w:val="left" w:pos="5580"/>
                <w:tab w:val="left" w:pos="9909"/>
              </w:tabs>
              <w:rPr>
                <w:kern w:val="2"/>
                <w:sz w:val="18"/>
                <w:u w:val="single"/>
              </w:rPr>
            </w:pPr>
            <w:r w:rsidRPr="00FC5566">
              <w:rPr>
                <w:kern w:val="2"/>
                <w:sz w:val="18"/>
              </w:rPr>
              <w:t xml:space="preserve">       Phone (       ) </w:t>
            </w:r>
            <w:r w:rsidRPr="00FC5566">
              <w:rPr>
                <w:kern w:val="2"/>
                <w:sz w:val="18"/>
                <w:u w:val="single"/>
              </w:rPr>
              <w:tab/>
            </w:r>
            <w:r w:rsidRPr="00FC5566">
              <w:rPr>
                <w:kern w:val="2"/>
                <w:sz w:val="18"/>
              </w:rPr>
              <w:tab/>
              <w:t xml:space="preserve">      </w:t>
            </w:r>
            <w:r w:rsidRPr="00FC5566">
              <w:rPr>
                <w:kern w:val="2"/>
                <w:sz w:val="18"/>
              </w:rPr>
              <w:tab/>
            </w:r>
            <w:r w:rsidRPr="00FC5566">
              <w:rPr>
                <w:kern w:val="2"/>
                <w:sz w:val="18"/>
              </w:rPr>
              <w:tab/>
            </w:r>
            <w:r w:rsidRPr="00FC5566">
              <w:rPr>
                <w:kern w:val="2"/>
                <w:sz w:val="18"/>
              </w:rPr>
              <w:tab/>
            </w:r>
            <w:r w:rsidRPr="00FC5566">
              <w:rPr>
                <w:kern w:val="2"/>
                <w:sz w:val="18"/>
              </w:rPr>
              <w:tab/>
            </w:r>
            <w:r w:rsidRPr="00FC5566">
              <w:rPr>
                <w:kern w:val="2"/>
                <w:sz w:val="18"/>
              </w:rPr>
              <w:tab/>
            </w:r>
            <w:r w:rsidRPr="00FC5566">
              <w:rPr>
                <w:kern w:val="2"/>
                <w:sz w:val="18"/>
              </w:rPr>
              <w:tab/>
              <w:t>Phone (        )</w:t>
            </w:r>
            <w:r w:rsidRPr="00FC5566">
              <w:rPr>
                <w:kern w:val="2"/>
                <w:sz w:val="18"/>
                <w:u w:val="single"/>
              </w:rPr>
              <w:tab/>
            </w:r>
          </w:p>
          <w:p w14:paraId="27C423C2" w14:textId="77777777" w:rsidR="00FC5566" w:rsidRPr="00FC5566" w:rsidRDefault="00FC5566" w:rsidP="00FC5566">
            <w:pPr>
              <w:keepNext/>
              <w:tabs>
                <w:tab w:val="left" w:pos="0"/>
                <w:tab w:val="left" w:pos="180"/>
                <w:tab w:val="left" w:pos="309"/>
                <w:tab w:val="left" w:pos="4140"/>
                <w:tab w:val="left" w:pos="4320"/>
                <w:tab w:val="left" w:pos="4500"/>
                <w:tab w:val="left" w:pos="4680"/>
                <w:tab w:val="left" w:pos="4860"/>
                <w:tab w:val="left" w:pos="5040"/>
                <w:tab w:val="left" w:pos="5220"/>
                <w:tab w:val="left" w:pos="5400"/>
                <w:tab w:val="left" w:pos="5580"/>
                <w:tab w:val="left" w:pos="9909"/>
              </w:tabs>
              <w:rPr>
                <w:kern w:val="2"/>
                <w:sz w:val="18"/>
                <w:u w:val="single"/>
              </w:rPr>
            </w:pPr>
            <w:r w:rsidRPr="00FC5566">
              <w:rPr>
                <w:kern w:val="2"/>
                <w:sz w:val="18"/>
              </w:rPr>
              <w:t xml:space="preserve">                                                                                                               Fax</w:t>
            </w:r>
            <w:r w:rsidRPr="00FC5566">
              <w:rPr>
                <w:kern w:val="2"/>
                <w:sz w:val="18"/>
                <w:u w:val="single"/>
              </w:rPr>
              <w:t xml:space="preserve"> (         )___________________________________</w:t>
            </w:r>
          </w:p>
          <w:p w14:paraId="2A9C8605" w14:textId="77777777" w:rsidR="00FC5566" w:rsidRPr="00FC5566" w:rsidRDefault="00FC5566" w:rsidP="00FC5566">
            <w:pPr>
              <w:keepNext/>
              <w:tabs>
                <w:tab w:val="left" w:pos="0"/>
                <w:tab w:val="left" w:pos="180"/>
                <w:tab w:val="left" w:pos="309"/>
                <w:tab w:val="left" w:pos="4140"/>
                <w:tab w:val="left" w:pos="4320"/>
                <w:tab w:val="left" w:pos="4500"/>
                <w:tab w:val="left" w:pos="4680"/>
                <w:tab w:val="left" w:pos="4860"/>
                <w:tab w:val="left" w:pos="5040"/>
                <w:tab w:val="left" w:pos="5220"/>
                <w:tab w:val="left" w:pos="5400"/>
                <w:tab w:val="left" w:pos="5580"/>
                <w:tab w:val="left" w:pos="9909"/>
              </w:tabs>
              <w:rPr>
                <w:b/>
                <w:kern w:val="2"/>
                <w:sz w:val="18"/>
              </w:rPr>
            </w:pPr>
            <w:r w:rsidRPr="00FC5566">
              <w:rPr>
                <w:kern w:val="2"/>
                <w:sz w:val="18"/>
              </w:rPr>
              <w:t xml:space="preserve">                                                                                                               Bar Roll # ___________________________________                                                                                </w:t>
            </w:r>
          </w:p>
          <w:p w14:paraId="51CE3EAA" w14:textId="77777777" w:rsidR="00FC5566" w:rsidRPr="00FC5566" w:rsidRDefault="00FC5566" w:rsidP="00FC5566">
            <w:pPr>
              <w:keepNext/>
              <w:tabs>
                <w:tab w:val="left" w:pos="0"/>
                <w:tab w:val="left" w:pos="180"/>
                <w:tab w:val="left" w:pos="309"/>
                <w:tab w:val="left" w:pos="4140"/>
                <w:tab w:val="left" w:pos="4320"/>
                <w:tab w:val="left" w:pos="4500"/>
                <w:tab w:val="left" w:pos="4680"/>
                <w:tab w:val="left" w:pos="4860"/>
                <w:tab w:val="left" w:pos="5040"/>
                <w:tab w:val="left" w:pos="5220"/>
                <w:tab w:val="left" w:pos="5400"/>
                <w:tab w:val="left" w:pos="5580"/>
                <w:tab w:val="left" w:pos="9909"/>
              </w:tabs>
              <w:rPr>
                <w:kern w:val="2"/>
                <w:sz w:val="18"/>
              </w:rPr>
            </w:pPr>
            <w:r w:rsidRPr="00FC5566">
              <w:rPr>
                <w:kern w:val="2"/>
                <w:sz w:val="18"/>
              </w:rPr>
              <w:t xml:space="preserve">                                                                                                               Email: __</w:t>
            </w:r>
            <w:r w:rsidRPr="00FC5566">
              <w:rPr>
                <w:kern w:val="2"/>
                <w:sz w:val="18"/>
                <w:u w:val="single"/>
              </w:rPr>
              <w:t>____________________________________</w:t>
            </w:r>
            <w:r w:rsidRPr="00FC5566">
              <w:rPr>
                <w:kern w:val="2"/>
                <w:sz w:val="18"/>
              </w:rPr>
              <w:t>_</w:t>
            </w:r>
          </w:p>
          <w:p w14:paraId="7046D938" w14:textId="77777777" w:rsidR="00FC5566" w:rsidRPr="00FC5566" w:rsidRDefault="00FC5566" w:rsidP="00FC5566">
            <w:pPr>
              <w:keepNext/>
              <w:tabs>
                <w:tab w:val="left" w:pos="0"/>
                <w:tab w:val="left" w:pos="180"/>
                <w:tab w:val="left" w:pos="309"/>
                <w:tab w:val="left" w:pos="4140"/>
                <w:tab w:val="left" w:pos="4320"/>
                <w:tab w:val="left" w:pos="4500"/>
                <w:tab w:val="left" w:pos="4680"/>
                <w:tab w:val="left" w:pos="4860"/>
                <w:tab w:val="left" w:pos="5040"/>
                <w:tab w:val="left" w:pos="5220"/>
                <w:tab w:val="left" w:pos="5400"/>
                <w:tab w:val="left" w:pos="5580"/>
                <w:tab w:val="left" w:pos="9909"/>
              </w:tabs>
              <w:rPr>
                <w:b/>
                <w:kern w:val="2"/>
                <w:sz w:val="18"/>
              </w:rPr>
            </w:pPr>
            <w:r w:rsidRPr="00FC5566">
              <w:rPr>
                <w:kern w:val="2"/>
                <w:sz w:val="18"/>
              </w:rPr>
              <w:t xml:space="preserve">                                                                                                                            </w:t>
            </w:r>
            <w:r w:rsidRPr="00FC5566">
              <w:rPr>
                <w:b/>
                <w:kern w:val="2"/>
                <w:sz w:val="18"/>
              </w:rPr>
              <w:t xml:space="preserve">  </w:t>
            </w:r>
          </w:p>
          <w:p w14:paraId="690834E6" w14:textId="77777777" w:rsidR="00FC5566" w:rsidRPr="00FC5566" w:rsidRDefault="00FC5566" w:rsidP="00FC5566">
            <w:pPr>
              <w:keepNext/>
              <w:tabs>
                <w:tab w:val="left" w:pos="0"/>
                <w:tab w:val="left" w:pos="180"/>
                <w:tab w:val="left" w:pos="309"/>
                <w:tab w:val="left" w:pos="1749"/>
                <w:tab w:val="left" w:pos="4140"/>
                <w:tab w:val="left" w:pos="4320"/>
                <w:tab w:val="left" w:pos="4500"/>
                <w:tab w:val="left" w:pos="4680"/>
                <w:tab w:val="left" w:pos="4860"/>
                <w:tab w:val="left" w:pos="5040"/>
                <w:tab w:val="left" w:pos="5220"/>
                <w:tab w:val="left" w:pos="5400"/>
                <w:tab w:val="left" w:pos="5580"/>
                <w:tab w:val="left" w:pos="6789"/>
                <w:tab w:val="left" w:pos="9909"/>
              </w:tabs>
              <w:ind w:left="720" w:hanging="720"/>
              <w:rPr>
                <w:kern w:val="2"/>
                <w:sz w:val="16"/>
              </w:rPr>
            </w:pPr>
            <w:r w:rsidRPr="00FC5566">
              <w:rPr>
                <w:b/>
                <w:kern w:val="2"/>
                <w:sz w:val="16"/>
              </w:rPr>
              <w:t xml:space="preserve">          </w:t>
            </w:r>
            <w:r w:rsidRPr="00FC5566">
              <w:rPr>
                <w:b/>
                <w:kern w:val="2"/>
                <w:sz w:val="16"/>
              </w:rPr>
              <w:tab/>
            </w:r>
            <w:r w:rsidRPr="00FC5566">
              <w:rPr>
                <w:b/>
                <w:kern w:val="2"/>
                <w:sz w:val="16"/>
              </w:rPr>
              <w:tab/>
              <w:t xml:space="preserve"> EMPLOYER                      </w:t>
            </w:r>
            <w:r w:rsidRPr="00FC5566">
              <w:rPr>
                <w:kern w:val="2"/>
                <w:sz w:val="16"/>
              </w:rPr>
              <w:t xml:space="preserve">   </w:t>
            </w:r>
            <w:r w:rsidRPr="00FC5566">
              <w:rPr>
                <w:b/>
                <w:kern w:val="2"/>
                <w:sz w:val="16"/>
              </w:rPr>
              <w:t xml:space="preserve">                                                  </w:t>
            </w:r>
            <w:r w:rsidRPr="00FC5566">
              <w:rPr>
                <w:kern w:val="2"/>
                <w:sz w:val="16"/>
              </w:rPr>
              <w:t xml:space="preserve">  </w:t>
            </w:r>
            <w:r w:rsidRPr="00FC5566">
              <w:rPr>
                <w:b/>
                <w:kern w:val="2"/>
                <w:sz w:val="16"/>
              </w:rPr>
              <w:t xml:space="preserve">    INSURER  or </w:t>
            </w:r>
            <w:r w:rsidRPr="00FC5566">
              <w:rPr>
                <w:kern w:val="2"/>
                <w:sz w:val="16"/>
              </w:rPr>
              <w:t xml:space="preserve">  </w:t>
            </w:r>
            <w:r w:rsidRPr="00FC5566">
              <w:rPr>
                <w:kern w:val="2"/>
                <w:sz w:val="16"/>
              </w:rPr>
              <w:t></w:t>
            </w:r>
            <w:r w:rsidRPr="00FC5566">
              <w:rPr>
                <w:b/>
                <w:kern w:val="2"/>
                <w:sz w:val="16"/>
              </w:rPr>
              <w:t xml:space="preserve"> THIRD PARTY ADMINISTRATOR</w:t>
            </w:r>
          </w:p>
          <w:p w14:paraId="7AE2499F" w14:textId="77777777" w:rsidR="00FC5566" w:rsidRPr="00FC5566" w:rsidRDefault="00FC5566" w:rsidP="00FC5566">
            <w:pPr>
              <w:keepNext/>
              <w:tabs>
                <w:tab w:val="left" w:pos="0"/>
                <w:tab w:val="left" w:pos="180"/>
                <w:tab w:val="left" w:pos="309"/>
                <w:tab w:val="left" w:pos="4140"/>
                <w:tab w:val="left" w:pos="4320"/>
                <w:tab w:val="left" w:pos="4500"/>
                <w:tab w:val="left" w:pos="4680"/>
                <w:tab w:val="left" w:pos="4860"/>
                <w:tab w:val="left" w:pos="5040"/>
                <w:tab w:val="left" w:pos="5220"/>
                <w:tab w:val="left" w:pos="5400"/>
                <w:tab w:val="left" w:pos="5580"/>
                <w:tab w:val="left" w:pos="7389"/>
                <w:tab w:val="left" w:pos="9909"/>
              </w:tabs>
              <w:ind w:left="5580" w:hanging="3960"/>
              <w:rPr>
                <w:b/>
                <w:kern w:val="2"/>
                <w:sz w:val="16"/>
              </w:rPr>
            </w:pPr>
            <w:r w:rsidRPr="00FC5566">
              <w:rPr>
                <w:b/>
                <w:kern w:val="2"/>
                <w:sz w:val="16"/>
              </w:rPr>
              <w:t xml:space="preserve">                    </w:t>
            </w:r>
            <w:r w:rsidRPr="00FC5566">
              <w:rPr>
                <w:b/>
                <w:kern w:val="2"/>
                <w:sz w:val="16"/>
              </w:rPr>
              <w:tab/>
            </w:r>
            <w:r w:rsidRPr="00FC5566">
              <w:rPr>
                <w:b/>
                <w:kern w:val="2"/>
                <w:sz w:val="16"/>
              </w:rPr>
              <w:tab/>
            </w:r>
            <w:r w:rsidRPr="00FC5566">
              <w:rPr>
                <w:b/>
                <w:kern w:val="2"/>
                <w:sz w:val="16"/>
              </w:rPr>
              <w:tab/>
            </w:r>
            <w:r w:rsidRPr="00FC5566">
              <w:rPr>
                <w:b/>
                <w:kern w:val="2"/>
                <w:sz w:val="16"/>
              </w:rPr>
              <w:tab/>
            </w:r>
            <w:r w:rsidRPr="00FC5566">
              <w:rPr>
                <w:b/>
                <w:kern w:val="2"/>
                <w:sz w:val="16"/>
              </w:rPr>
              <w:tab/>
            </w:r>
            <w:r w:rsidRPr="00FC5566">
              <w:rPr>
                <w:b/>
                <w:kern w:val="2"/>
                <w:sz w:val="16"/>
              </w:rPr>
              <w:tab/>
            </w:r>
            <w:r w:rsidRPr="00FC5566">
              <w:rPr>
                <w:b/>
                <w:kern w:val="2"/>
                <w:sz w:val="16"/>
              </w:rPr>
              <w:tab/>
            </w:r>
            <w:r w:rsidRPr="00FC5566">
              <w:rPr>
                <w:b/>
                <w:kern w:val="2"/>
                <w:sz w:val="16"/>
              </w:rPr>
              <w:tab/>
            </w:r>
            <w:r w:rsidRPr="00FC5566">
              <w:rPr>
                <w:b/>
                <w:kern w:val="2"/>
                <w:sz w:val="16"/>
              </w:rPr>
              <w:tab/>
            </w:r>
            <w:r w:rsidRPr="00FC5566">
              <w:rPr>
                <w:b/>
                <w:kern w:val="2"/>
                <w:sz w:val="16"/>
              </w:rPr>
              <w:tab/>
              <w:t>(</w:t>
            </w:r>
            <w:r w:rsidRPr="00FC5566">
              <w:rPr>
                <w:i/>
                <w:kern w:val="2"/>
                <w:sz w:val="16"/>
              </w:rPr>
              <w:t>check one</w:t>
            </w:r>
            <w:r w:rsidRPr="00FC5566">
              <w:rPr>
                <w:b/>
                <w:kern w:val="2"/>
                <w:sz w:val="16"/>
              </w:rPr>
              <w:t>)</w:t>
            </w:r>
          </w:p>
          <w:p w14:paraId="562F5272" w14:textId="77777777" w:rsidR="00FC5566" w:rsidRPr="00FC5566" w:rsidRDefault="00FC5566" w:rsidP="00FC5566">
            <w:pPr>
              <w:keepNext/>
              <w:tabs>
                <w:tab w:val="left" w:pos="0"/>
                <w:tab w:val="left" w:pos="180"/>
                <w:tab w:val="left" w:pos="309"/>
                <w:tab w:val="left" w:pos="4140"/>
                <w:tab w:val="left" w:pos="4320"/>
                <w:tab w:val="left" w:pos="4500"/>
                <w:tab w:val="left" w:pos="4680"/>
                <w:tab w:val="left" w:pos="4860"/>
                <w:tab w:val="left" w:pos="5040"/>
                <w:tab w:val="left" w:pos="5220"/>
                <w:tab w:val="left" w:pos="5400"/>
                <w:tab w:val="left" w:pos="5580"/>
                <w:tab w:val="left" w:pos="9909"/>
              </w:tabs>
              <w:ind w:left="5580" w:hanging="3960"/>
              <w:rPr>
                <w:kern w:val="2"/>
                <w:sz w:val="16"/>
              </w:rPr>
            </w:pPr>
          </w:p>
          <w:p w14:paraId="707AB8A7" w14:textId="77777777" w:rsidR="00FC5566" w:rsidRPr="00FC5566" w:rsidRDefault="00FC5566" w:rsidP="00FC5566">
            <w:pPr>
              <w:keepNext/>
              <w:tabs>
                <w:tab w:val="left" w:pos="0"/>
                <w:tab w:val="left" w:pos="180"/>
                <w:tab w:val="left" w:pos="309"/>
                <w:tab w:val="left" w:pos="4140"/>
                <w:tab w:val="left" w:pos="4320"/>
                <w:tab w:val="left" w:pos="4500"/>
                <w:tab w:val="left" w:pos="4680"/>
                <w:tab w:val="left" w:pos="4860"/>
                <w:tab w:val="left" w:pos="5040"/>
                <w:tab w:val="left" w:pos="5220"/>
                <w:tab w:val="left" w:pos="5400"/>
                <w:tab w:val="left" w:pos="5580"/>
                <w:tab w:val="left" w:pos="9909"/>
              </w:tabs>
              <w:rPr>
                <w:kern w:val="2"/>
                <w:sz w:val="18"/>
                <w:u w:val="single"/>
              </w:rPr>
            </w:pPr>
            <w:r w:rsidRPr="00FC5566">
              <w:rPr>
                <w:kern w:val="2"/>
                <w:sz w:val="18"/>
              </w:rPr>
              <w:t xml:space="preserve">11. </w:t>
            </w:r>
            <w:r w:rsidRPr="00FC5566">
              <w:rPr>
                <w:kern w:val="2"/>
                <w:sz w:val="18"/>
              </w:rPr>
              <w:tab/>
              <w:t>Name</w:t>
            </w:r>
            <w:r w:rsidRPr="00FC5566">
              <w:rPr>
                <w:kern w:val="2"/>
                <w:sz w:val="18"/>
                <w:u w:val="single"/>
              </w:rPr>
              <w:tab/>
            </w:r>
            <w:r w:rsidRPr="00FC5566">
              <w:rPr>
                <w:kern w:val="2"/>
                <w:sz w:val="18"/>
              </w:rPr>
              <w:tab/>
            </w:r>
            <w:r w:rsidRPr="00FC5566">
              <w:rPr>
                <w:kern w:val="2"/>
                <w:sz w:val="18"/>
              </w:rPr>
              <w:tab/>
            </w:r>
            <w:r w:rsidRPr="00FC5566">
              <w:rPr>
                <w:kern w:val="2"/>
                <w:sz w:val="18"/>
              </w:rPr>
              <w:tab/>
            </w:r>
            <w:r w:rsidRPr="00FC5566">
              <w:rPr>
                <w:kern w:val="2"/>
                <w:sz w:val="18"/>
              </w:rPr>
              <w:tab/>
            </w:r>
            <w:r w:rsidRPr="00FC5566">
              <w:rPr>
                <w:kern w:val="2"/>
                <w:sz w:val="18"/>
              </w:rPr>
              <w:tab/>
            </w:r>
            <w:r w:rsidRPr="00FC5566">
              <w:rPr>
                <w:kern w:val="2"/>
                <w:sz w:val="18"/>
              </w:rPr>
              <w:tab/>
              <w:t xml:space="preserve">12. </w:t>
            </w:r>
            <w:r w:rsidRPr="00FC5566">
              <w:rPr>
                <w:kern w:val="2"/>
                <w:sz w:val="18"/>
              </w:rPr>
              <w:tab/>
              <w:t xml:space="preserve">Name </w:t>
            </w:r>
            <w:r w:rsidRPr="00FC5566">
              <w:rPr>
                <w:kern w:val="2"/>
                <w:sz w:val="18"/>
                <w:u w:val="single"/>
              </w:rPr>
              <w:tab/>
            </w:r>
          </w:p>
          <w:p w14:paraId="2F0AC552" w14:textId="77777777" w:rsidR="00FC5566" w:rsidRPr="00FC5566" w:rsidRDefault="00FC5566" w:rsidP="00FC5566">
            <w:pPr>
              <w:keepNext/>
              <w:tabs>
                <w:tab w:val="left" w:pos="0"/>
                <w:tab w:val="left" w:pos="180"/>
                <w:tab w:val="left" w:pos="309"/>
                <w:tab w:val="left" w:pos="4140"/>
                <w:tab w:val="left" w:pos="4320"/>
                <w:tab w:val="left" w:pos="4500"/>
                <w:tab w:val="left" w:pos="4680"/>
                <w:tab w:val="left" w:pos="4860"/>
                <w:tab w:val="left" w:pos="5040"/>
                <w:tab w:val="left" w:pos="5220"/>
                <w:tab w:val="left" w:pos="5400"/>
                <w:tab w:val="left" w:pos="5580"/>
                <w:tab w:val="left" w:pos="9909"/>
              </w:tabs>
              <w:rPr>
                <w:kern w:val="2"/>
                <w:sz w:val="18"/>
                <w:u w:val="single"/>
              </w:rPr>
            </w:pPr>
            <w:r w:rsidRPr="00FC5566">
              <w:rPr>
                <w:kern w:val="2"/>
                <w:sz w:val="18"/>
              </w:rPr>
              <w:t xml:space="preserve">      </w:t>
            </w:r>
            <w:r w:rsidRPr="00FC5566">
              <w:rPr>
                <w:kern w:val="2"/>
                <w:sz w:val="18"/>
              </w:rPr>
              <w:tab/>
              <w:t>Street or Box</w:t>
            </w:r>
            <w:r w:rsidRPr="00FC5566">
              <w:rPr>
                <w:kern w:val="2"/>
                <w:sz w:val="18"/>
                <w:u w:val="single"/>
              </w:rPr>
              <w:tab/>
            </w:r>
            <w:r w:rsidRPr="00FC5566">
              <w:rPr>
                <w:kern w:val="2"/>
                <w:sz w:val="18"/>
              </w:rPr>
              <w:tab/>
              <w:t xml:space="preserve">      </w:t>
            </w:r>
            <w:r w:rsidRPr="00FC5566">
              <w:rPr>
                <w:kern w:val="2"/>
                <w:sz w:val="18"/>
              </w:rPr>
              <w:tab/>
            </w:r>
            <w:r w:rsidRPr="00FC5566">
              <w:rPr>
                <w:kern w:val="2"/>
                <w:sz w:val="18"/>
              </w:rPr>
              <w:tab/>
            </w:r>
            <w:r w:rsidRPr="00FC5566">
              <w:rPr>
                <w:kern w:val="2"/>
                <w:sz w:val="18"/>
              </w:rPr>
              <w:tab/>
            </w:r>
            <w:r w:rsidRPr="00FC5566">
              <w:rPr>
                <w:kern w:val="2"/>
                <w:sz w:val="18"/>
              </w:rPr>
              <w:tab/>
            </w:r>
            <w:r w:rsidRPr="00FC5566">
              <w:rPr>
                <w:kern w:val="2"/>
                <w:sz w:val="18"/>
              </w:rPr>
              <w:tab/>
            </w:r>
            <w:r w:rsidRPr="00FC5566">
              <w:rPr>
                <w:kern w:val="2"/>
                <w:sz w:val="18"/>
              </w:rPr>
              <w:tab/>
              <w:t>Adjuster’s Name</w:t>
            </w:r>
            <w:r w:rsidRPr="00FC5566">
              <w:rPr>
                <w:kern w:val="2"/>
                <w:sz w:val="18"/>
                <w:u w:val="single"/>
              </w:rPr>
              <w:t xml:space="preserve"> ______________________________</w:t>
            </w:r>
          </w:p>
          <w:p w14:paraId="4B40AEEF" w14:textId="77777777" w:rsidR="00FC5566" w:rsidRPr="00FC5566" w:rsidRDefault="00FC5566" w:rsidP="00FC5566">
            <w:pPr>
              <w:keepNext/>
              <w:tabs>
                <w:tab w:val="left" w:pos="0"/>
                <w:tab w:val="left" w:pos="180"/>
                <w:tab w:val="left" w:pos="309"/>
                <w:tab w:val="left" w:pos="4140"/>
                <w:tab w:val="left" w:pos="4320"/>
                <w:tab w:val="left" w:pos="4500"/>
                <w:tab w:val="left" w:pos="4680"/>
                <w:tab w:val="left" w:pos="4860"/>
                <w:tab w:val="left" w:pos="5040"/>
                <w:tab w:val="left" w:pos="5220"/>
                <w:tab w:val="left" w:pos="5400"/>
                <w:tab w:val="left" w:pos="5580"/>
                <w:tab w:val="left" w:pos="9909"/>
              </w:tabs>
              <w:rPr>
                <w:kern w:val="2"/>
                <w:sz w:val="18"/>
                <w:u w:val="single"/>
              </w:rPr>
            </w:pPr>
            <w:r w:rsidRPr="00FC5566">
              <w:rPr>
                <w:kern w:val="2"/>
                <w:sz w:val="18"/>
              </w:rPr>
              <w:t xml:space="preserve">      </w:t>
            </w:r>
            <w:r w:rsidRPr="00FC5566">
              <w:rPr>
                <w:kern w:val="2"/>
                <w:sz w:val="18"/>
              </w:rPr>
              <w:tab/>
              <w:t xml:space="preserve">City </w:t>
            </w:r>
            <w:r w:rsidRPr="00FC5566">
              <w:rPr>
                <w:kern w:val="2"/>
                <w:sz w:val="18"/>
                <w:u w:val="single"/>
              </w:rPr>
              <w:tab/>
            </w:r>
            <w:r w:rsidRPr="00FC5566">
              <w:rPr>
                <w:kern w:val="2"/>
                <w:sz w:val="18"/>
              </w:rPr>
              <w:tab/>
              <w:t xml:space="preserve">      </w:t>
            </w:r>
            <w:r w:rsidRPr="00FC5566">
              <w:rPr>
                <w:kern w:val="2"/>
                <w:sz w:val="18"/>
              </w:rPr>
              <w:tab/>
            </w:r>
            <w:r w:rsidRPr="00FC5566">
              <w:rPr>
                <w:kern w:val="2"/>
                <w:sz w:val="18"/>
              </w:rPr>
              <w:tab/>
            </w:r>
            <w:r w:rsidRPr="00FC5566">
              <w:rPr>
                <w:kern w:val="2"/>
                <w:sz w:val="18"/>
              </w:rPr>
              <w:tab/>
            </w:r>
            <w:r w:rsidRPr="00FC5566">
              <w:rPr>
                <w:kern w:val="2"/>
                <w:sz w:val="18"/>
              </w:rPr>
              <w:tab/>
            </w:r>
            <w:r w:rsidRPr="00FC5566">
              <w:rPr>
                <w:kern w:val="2"/>
                <w:sz w:val="18"/>
              </w:rPr>
              <w:tab/>
            </w:r>
            <w:r w:rsidRPr="00FC5566">
              <w:rPr>
                <w:kern w:val="2"/>
                <w:sz w:val="18"/>
              </w:rPr>
              <w:tab/>
              <w:t>Street or Box</w:t>
            </w:r>
            <w:r w:rsidRPr="00FC5566">
              <w:rPr>
                <w:kern w:val="2"/>
                <w:sz w:val="18"/>
                <w:u w:val="single"/>
              </w:rPr>
              <w:tab/>
            </w:r>
          </w:p>
          <w:p w14:paraId="0B83DFFE" w14:textId="77777777" w:rsidR="00FC5566" w:rsidRPr="00FC5566" w:rsidRDefault="00FC5566" w:rsidP="00FC5566">
            <w:pPr>
              <w:keepNext/>
              <w:tabs>
                <w:tab w:val="left" w:pos="0"/>
                <w:tab w:val="left" w:pos="180"/>
                <w:tab w:val="left" w:pos="309"/>
                <w:tab w:val="left" w:pos="4140"/>
                <w:tab w:val="left" w:pos="4320"/>
                <w:tab w:val="left" w:pos="4500"/>
                <w:tab w:val="left" w:pos="4680"/>
                <w:tab w:val="left" w:pos="4860"/>
                <w:tab w:val="left" w:pos="5040"/>
                <w:tab w:val="left" w:pos="5220"/>
                <w:tab w:val="left" w:pos="5400"/>
                <w:tab w:val="left" w:pos="5580"/>
                <w:tab w:val="left" w:pos="9909"/>
              </w:tabs>
              <w:rPr>
                <w:kern w:val="2"/>
                <w:sz w:val="18"/>
                <w:u w:val="single"/>
              </w:rPr>
            </w:pPr>
            <w:r w:rsidRPr="00FC5566">
              <w:rPr>
                <w:kern w:val="2"/>
                <w:sz w:val="18"/>
              </w:rPr>
              <w:t xml:space="preserve">      </w:t>
            </w:r>
            <w:r w:rsidRPr="00FC5566">
              <w:rPr>
                <w:kern w:val="2"/>
                <w:sz w:val="18"/>
              </w:rPr>
              <w:tab/>
              <w:t xml:space="preserve">State </w:t>
            </w:r>
            <w:r w:rsidRPr="00FC5566">
              <w:rPr>
                <w:kern w:val="2"/>
                <w:sz w:val="18"/>
                <w:u w:val="single"/>
              </w:rPr>
              <w:t xml:space="preserve">                                             </w:t>
            </w:r>
            <w:r w:rsidRPr="00FC5566">
              <w:rPr>
                <w:kern w:val="2"/>
                <w:sz w:val="18"/>
              </w:rPr>
              <w:t xml:space="preserve"> Zip</w:t>
            </w:r>
            <w:r w:rsidRPr="00FC5566">
              <w:rPr>
                <w:kern w:val="2"/>
                <w:sz w:val="18"/>
                <w:u w:val="single"/>
              </w:rPr>
              <w:tab/>
            </w:r>
            <w:r w:rsidRPr="00FC5566">
              <w:rPr>
                <w:kern w:val="2"/>
                <w:sz w:val="18"/>
              </w:rPr>
              <w:tab/>
              <w:t xml:space="preserve">      </w:t>
            </w:r>
            <w:r w:rsidRPr="00FC5566">
              <w:rPr>
                <w:kern w:val="2"/>
                <w:sz w:val="18"/>
              </w:rPr>
              <w:tab/>
            </w:r>
            <w:r w:rsidRPr="00FC5566">
              <w:rPr>
                <w:kern w:val="2"/>
                <w:sz w:val="18"/>
              </w:rPr>
              <w:tab/>
            </w:r>
            <w:r w:rsidRPr="00FC5566">
              <w:rPr>
                <w:kern w:val="2"/>
                <w:sz w:val="18"/>
              </w:rPr>
              <w:tab/>
            </w:r>
            <w:r w:rsidRPr="00FC5566">
              <w:rPr>
                <w:kern w:val="2"/>
                <w:sz w:val="18"/>
              </w:rPr>
              <w:tab/>
            </w:r>
            <w:r w:rsidRPr="00FC5566">
              <w:rPr>
                <w:kern w:val="2"/>
                <w:sz w:val="18"/>
              </w:rPr>
              <w:tab/>
            </w:r>
            <w:r w:rsidRPr="00FC5566">
              <w:rPr>
                <w:kern w:val="2"/>
                <w:sz w:val="18"/>
              </w:rPr>
              <w:tab/>
              <w:t>City</w:t>
            </w:r>
            <w:r w:rsidRPr="00FC5566">
              <w:rPr>
                <w:kern w:val="2"/>
                <w:sz w:val="18"/>
                <w:u w:val="single"/>
              </w:rPr>
              <w:tab/>
            </w:r>
          </w:p>
          <w:p w14:paraId="5D34CC98" w14:textId="77777777" w:rsidR="00FC5566" w:rsidRPr="00FC5566" w:rsidRDefault="00FC5566" w:rsidP="00FC5566">
            <w:pPr>
              <w:keepNext/>
              <w:tabs>
                <w:tab w:val="left" w:pos="0"/>
                <w:tab w:val="left" w:pos="180"/>
                <w:tab w:val="left" w:pos="309"/>
                <w:tab w:val="left" w:pos="4140"/>
                <w:tab w:val="left" w:pos="4320"/>
                <w:tab w:val="left" w:pos="4500"/>
                <w:tab w:val="left" w:pos="4680"/>
                <w:tab w:val="left" w:pos="4860"/>
                <w:tab w:val="left" w:pos="5040"/>
                <w:tab w:val="left" w:pos="5220"/>
                <w:tab w:val="left" w:pos="5400"/>
                <w:tab w:val="left" w:pos="5580"/>
                <w:tab w:val="left" w:pos="9909"/>
              </w:tabs>
              <w:rPr>
                <w:kern w:val="2"/>
                <w:sz w:val="18"/>
                <w:u w:val="single"/>
              </w:rPr>
            </w:pPr>
            <w:r w:rsidRPr="00FC5566">
              <w:rPr>
                <w:kern w:val="2"/>
                <w:sz w:val="18"/>
              </w:rPr>
              <w:t xml:space="preserve">      </w:t>
            </w:r>
            <w:r w:rsidRPr="00FC5566">
              <w:rPr>
                <w:kern w:val="2"/>
                <w:sz w:val="18"/>
              </w:rPr>
              <w:tab/>
              <w:t xml:space="preserve">Phone (         )  </w:t>
            </w:r>
            <w:r w:rsidRPr="00FC5566">
              <w:rPr>
                <w:kern w:val="2"/>
                <w:sz w:val="18"/>
                <w:u w:val="single"/>
              </w:rPr>
              <w:tab/>
            </w:r>
            <w:r w:rsidRPr="00FC5566">
              <w:rPr>
                <w:kern w:val="2"/>
                <w:sz w:val="18"/>
              </w:rPr>
              <w:t xml:space="preserve">         </w:t>
            </w:r>
            <w:r w:rsidRPr="00FC5566">
              <w:rPr>
                <w:kern w:val="2"/>
                <w:sz w:val="18"/>
              </w:rPr>
              <w:tab/>
            </w:r>
            <w:r w:rsidRPr="00FC5566">
              <w:rPr>
                <w:kern w:val="2"/>
                <w:sz w:val="18"/>
              </w:rPr>
              <w:tab/>
            </w:r>
            <w:r w:rsidRPr="00FC5566">
              <w:rPr>
                <w:kern w:val="2"/>
                <w:sz w:val="18"/>
              </w:rPr>
              <w:tab/>
            </w:r>
            <w:r w:rsidRPr="00FC5566">
              <w:rPr>
                <w:kern w:val="2"/>
                <w:sz w:val="18"/>
              </w:rPr>
              <w:tab/>
            </w:r>
            <w:r w:rsidRPr="00FC5566">
              <w:rPr>
                <w:kern w:val="2"/>
                <w:sz w:val="18"/>
              </w:rPr>
              <w:tab/>
            </w:r>
            <w:r w:rsidRPr="00FC5566">
              <w:rPr>
                <w:kern w:val="2"/>
                <w:sz w:val="18"/>
              </w:rPr>
              <w:tab/>
              <w:t xml:space="preserve">State </w:t>
            </w:r>
            <w:r w:rsidRPr="00FC5566">
              <w:rPr>
                <w:kern w:val="2"/>
                <w:sz w:val="18"/>
                <w:u w:val="single"/>
              </w:rPr>
              <w:t xml:space="preserve">                                           </w:t>
            </w:r>
            <w:r w:rsidRPr="00FC5566">
              <w:rPr>
                <w:kern w:val="2"/>
                <w:sz w:val="18"/>
              </w:rPr>
              <w:t xml:space="preserve"> Zip</w:t>
            </w:r>
            <w:r w:rsidRPr="00FC5566">
              <w:rPr>
                <w:kern w:val="2"/>
                <w:sz w:val="18"/>
                <w:u w:val="single"/>
              </w:rPr>
              <w:tab/>
            </w:r>
          </w:p>
          <w:p w14:paraId="4D99BB55" w14:textId="77777777" w:rsidR="00FC5566" w:rsidRPr="00FC5566" w:rsidRDefault="00FC5566" w:rsidP="00FC5566">
            <w:pPr>
              <w:keepNext/>
              <w:tabs>
                <w:tab w:val="left" w:pos="0"/>
                <w:tab w:val="left" w:pos="180"/>
                <w:tab w:val="left" w:pos="309"/>
                <w:tab w:val="left" w:pos="4140"/>
                <w:tab w:val="left" w:pos="4320"/>
                <w:tab w:val="left" w:pos="4500"/>
                <w:tab w:val="left" w:pos="4680"/>
                <w:tab w:val="left" w:pos="4860"/>
                <w:tab w:val="left" w:pos="5040"/>
                <w:tab w:val="left" w:pos="5220"/>
                <w:tab w:val="left" w:pos="5400"/>
                <w:tab w:val="left" w:pos="5580"/>
                <w:tab w:val="left" w:pos="9909"/>
              </w:tabs>
              <w:rPr>
                <w:kern w:val="2"/>
                <w:sz w:val="18"/>
                <w:u w:val="single"/>
              </w:rPr>
            </w:pPr>
            <w:r w:rsidRPr="00FC5566">
              <w:rPr>
                <w:kern w:val="2"/>
                <w:sz w:val="18"/>
              </w:rPr>
              <w:t xml:space="preserve">       Fax </w:t>
            </w:r>
            <w:r w:rsidRPr="00FC5566">
              <w:rPr>
                <w:kern w:val="2"/>
                <w:sz w:val="18"/>
                <w:u w:val="single"/>
              </w:rPr>
              <w:t>(         )_________________________________</w:t>
            </w:r>
            <w:r w:rsidRPr="00FC5566">
              <w:rPr>
                <w:kern w:val="2"/>
                <w:sz w:val="18"/>
              </w:rPr>
              <w:t xml:space="preserve">                    Phone (        )</w:t>
            </w:r>
            <w:r w:rsidRPr="00FC5566">
              <w:rPr>
                <w:kern w:val="2"/>
                <w:sz w:val="18"/>
                <w:u w:val="single"/>
              </w:rPr>
              <w:tab/>
            </w:r>
          </w:p>
          <w:p w14:paraId="1DB49D19" w14:textId="77777777" w:rsidR="00FC5566" w:rsidRPr="00FC5566" w:rsidRDefault="00FC5566" w:rsidP="00FC5566">
            <w:pPr>
              <w:keepNext/>
              <w:tabs>
                <w:tab w:val="left" w:pos="0"/>
                <w:tab w:val="left" w:pos="180"/>
                <w:tab w:val="left" w:pos="309"/>
                <w:tab w:val="left" w:pos="4140"/>
                <w:tab w:val="left" w:pos="4320"/>
                <w:tab w:val="left" w:pos="4500"/>
                <w:tab w:val="left" w:pos="4680"/>
                <w:tab w:val="left" w:pos="4860"/>
                <w:tab w:val="left" w:pos="5040"/>
                <w:tab w:val="left" w:pos="5220"/>
                <w:tab w:val="left" w:pos="5400"/>
                <w:tab w:val="left" w:pos="5580"/>
                <w:tab w:val="left" w:pos="9909"/>
              </w:tabs>
              <w:rPr>
                <w:kern w:val="2"/>
                <w:sz w:val="18"/>
                <w:u w:val="single"/>
              </w:rPr>
            </w:pPr>
            <w:r w:rsidRPr="00FC5566">
              <w:rPr>
                <w:kern w:val="2"/>
                <w:sz w:val="18"/>
              </w:rPr>
              <w:t xml:space="preserve">                                                                                                                Fax </w:t>
            </w:r>
            <w:r w:rsidRPr="00FC5566">
              <w:rPr>
                <w:kern w:val="2"/>
                <w:sz w:val="18"/>
                <w:u w:val="single"/>
              </w:rPr>
              <w:t>(         )____________________________________</w:t>
            </w:r>
          </w:p>
          <w:p w14:paraId="34FB8D2B" w14:textId="77777777" w:rsidR="00FC5566" w:rsidRPr="00FC5566" w:rsidRDefault="00FC5566" w:rsidP="00FC5566">
            <w:pPr>
              <w:keepNext/>
              <w:tabs>
                <w:tab w:val="left" w:pos="0"/>
                <w:tab w:val="left" w:pos="180"/>
                <w:tab w:val="left" w:pos="309"/>
                <w:tab w:val="left" w:pos="4140"/>
                <w:tab w:val="left" w:pos="4320"/>
                <w:tab w:val="left" w:pos="4500"/>
                <w:tab w:val="left" w:pos="4680"/>
                <w:tab w:val="left" w:pos="4860"/>
                <w:tab w:val="left" w:pos="5040"/>
                <w:tab w:val="left" w:pos="5220"/>
                <w:tab w:val="left" w:pos="5400"/>
                <w:tab w:val="left" w:pos="5580"/>
                <w:tab w:val="left" w:pos="9909"/>
              </w:tabs>
              <w:rPr>
                <w:kern w:val="2"/>
                <w:sz w:val="18"/>
                <w:u w:val="single"/>
              </w:rPr>
            </w:pPr>
            <w:r w:rsidRPr="00FC5566">
              <w:rPr>
                <w:kern w:val="2"/>
                <w:sz w:val="18"/>
              </w:rPr>
              <w:t xml:space="preserve">                                                                                                                Email: _______________________________________</w:t>
            </w:r>
          </w:p>
          <w:p w14:paraId="3163703B" w14:textId="77777777" w:rsidR="00FC5566" w:rsidRPr="00FC5566" w:rsidRDefault="00FC5566" w:rsidP="00FC5566">
            <w:pPr>
              <w:keepNext/>
              <w:tabs>
                <w:tab w:val="left" w:pos="0"/>
                <w:tab w:val="left" w:pos="180"/>
                <w:tab w:val="left" w:pos="309"/>
                <w:tab w:val="left" w:pos="1869"/>
                <w:tab w:val="left" w:pos="4140"/>
                <w:tab w:val="left" w:pos="4320"/>
                <w:tab w:val="left" w:pos="4500"/>
                <w:tab w:val="left" w:pos="4680"/>
                <w:tab w:val="left" w:pos="4860"/>
                <w:tab w:val="left" w:pos="5040"/>
                <w:tab w:val="left" w:pos="5220"/>
                <w:tab w:val="left" w:pos="5400"/>
                <w:tab w:val="left" w:pos="5580"/>
                <w:tab w:val="left" w:pos="9909"/>
              </w:tabs>
              <w:ind w:left="1080" w:hanging="1080"/>
              <w:rPr>
                <w:kern w:val="2"/>
                <w:sz w:val="16"/>
              </w:rPr>
            </w:pPr>
            <w:r w:rsidRPr="00FC5566">
              <w:rPr>
                <w:kern w:val="2"/>
                <w:sz w:val="16"/>
              </w:rPr>
              <w:t xml:space="preserve">             ATTORNEY FOR </w:t>
            </w:r>
            <w:r w:rsidRPr="00FC5566">
              <w:rPr>
                <w:kern w:val="2"/>
                <w:sz w:val="16"/>
              </w:rPr>
              <w:t xml:space="preserve">  </w:t>
            </w:r>
            <w:r w:rsidRPr="00FC5566">
              <w:rPr>
                <w:b/>
                <w:kern w:val="2"/>
                <w:sz w:val="16"/>
              </w:rPr>
              <w:t xml:space="preserve">EMPLOYER </w:t>
            </w:r>
            <w:r w:rsidRPr="00FC5566">
              <w:rPr>
                <w:kern w:val="2"/>
                <w:sz w:val="16"/>
              </w:rPr>
              <w:t></w:t>
            </w:r>
            <w:r w:rsidRPr="00FC5566">
              <w:rPr>
                <w:b/>
                <w:kern w:val="2"/>
                <w:sz w:val="16"/>
              </w:rPr>
              <w:t xml:space="preserve"> INSURER                                                                     </w:t>
            </w:r>
          </w:p>
          <w:p w14:paraId="4ED55775" w14:textId="77777777" w:rsidR="00FC5566" w:rsidRPr="00FC5566" w:rsidRDefault="00FC5566" w:rsidP="00FC5566">
            <w:pPr>
              <w:keepNext/>
              <w:tabs>
                <w:tab w:val="left" w:pos="0"/>
                <w:tab w:val="left" w:pos="180"/>
                <w:tab w:val="left" w:pos="309"/>
                <w:tab w:val="left" w:pos="1989"/>
                <w:tab w:val="left" w:pos="4140"/>
                <w:tab w:val="left" w:pos="4320"/>
                <w:tab w:val="left" w:pos="4500"/>
                <w:tab w:val="left" w:pos="4680"/>
                <w:tab w:val="left" w:pos="4860"/>
                <w:tab w:val="left" w:pos="5040"/>
                <w:tab w:val="left" w:pos="5220"/>
                <w:tab w:val="left" w:pos="5400"/>
                <w:tab w:val="left" w:pos="5580"/>
                <w:tab w:val="left" w:pos="9909"/>
              </w:tabs>
              <w:ind w:left="1260" w:hanging="1260"/>
              <w:rPr>
                <w:kern w:val="2"/>
                <w:sz w:val="16"/>
              </w:rPr>
            </w:pPr>
            <w:r w:rsidRPr="00FC5566">
              <w:rPr>
                <w:kern w:val="2"/>
                <w:sz w:val="16"/>
              </w:rPr>
              <w:t xml:space="preserve">                          </w:t>
            </w:r>
            <w:r w:rsidRPr="00FC5566">
              <w:rPr>
                <w:kern w:val="2"/>
                <w:sz w:val="16"/>
              </w:rPr>
              <w:tab/>
            </w:r>
            <w:r w:rsidRPr="00FC5566">
              <w:rPr>
                <w:b/>
                <w:kern w:val="2"/>
                <w:sz w:val="16"/>
              </w:rPr>
              <w:t>(</w:t>
            </w:r>
            <w:r w:rsidRPr="00FC5566">
              <w:rPr>
                <w:i/>
                <w:kern w:val="2"/>
                <w:sz w:val="16"/>
              </w:rPr>
              <w:t>check all that apply</w:t>
            </w:r>
            <w:r w:rsidRPr="00FC5566">
              <w:rPr>
                <w:b/>
                <w:kern w:val="2"/>
                <w:sz w:val="16"/>
              </w:rPr>
              <w:t>)</w:t>
            </w:r>
          </w:p>
          <w:p w14:paraId="6988FD0A" w14:textId="77777777" w:rsidR="00FC5566" w:rsidRPr="00FC5566" w:rsidRDefault="00FC5566" w:rsidP="00FC5566">
            <w:pPr>
              <w:keepNext/>
              <w:tabs>
                <w:tab w:val="left" w:pos="0"/>
                <w:tab w:val="left" w:pos="180"/>
                <w:tab w:val="left" w:pos="309"/>
                <w:tab w:val="left" w:pos="4140"/>
                <w:tab w:val="left" w:pos="4320"/>
                <w:tab w:val="left" w:pos="4500"/>
                <w:tab w:val="left" w:pos="4680"/>
                <w:tab w:val="left" w:pos="4860"/>
                <w:tab w:val="left" w:pos="5040"/>
                <w:tab w:val="left" w:pos="5220"/>
                <w:tab w:val="left" w:pos="5400"/>
                <w:tab w:val="left" w:pos="5580"/>
                <w:tab w:val="left" w:pos="9909"/>
              </w:tabs>
              <w:rPr>
                <w:b/>
                <w:kern w:val="2"/>
                <w:sz w:val="18"/>
              </w:rPr>
            </w:pPr>
            <w:r w:rsidRPr="00FC5566">
              <w:rPr>
                <w:kern w:val="2"/>
                <w:sz w:val="18"/>
              </w:rPr>
              <w:t xml:space="preserve">  13.  Name</w:t>
            </w:r>
            <w:r w:rsidRPr="00FC5566">
              <w:rPr>
                <w:kern w:val="2"/>
                <w:sz w:val="18"/>
                <w:u w:val="single"/>
              </w:rPr>
              <w:tab/>
            </w:r>
          </w:p>
          <w:p w14:paraId="47606B28" w14:textId="77777777" w:rsidR="00FC5566" w:rsidRPr="00FC5566" w:rsidRDefault="00FC5566" w:rsidP="00FC5566">
            <w:pPr>
              <w:keepNext/>
              <w:tabs>
                <w:tab w:val="left" w:pos="0"/>
                <w:tab w:val="left" w:pos="180"/>
                <w:tab w:val="left" w:pos="309"/>
                <w:tab w:val="left" w:pos="4140"/>
                <w:tab w:val="left" w:pos="4320"/>
                <w:tab w:val="left" w:pos="4500"/>
                <w:tab w:val="left" w:pos="4680"/>
                <w:tab w:val="left" w:pos="4860"/>
                <w:tab w:val="left" w:pos="5040"/>
                <w:tab w:val="left" w:pos="5220"/>
                <w:tab w:val="left" w:pos="5400"/>
                <w:tab w:val="left" w:pos="5580"/>
                <w:tab w:val="left" w:pos="9909"/>
              </w:tabs>
              <w:rPr>
                <w:kern w:val="2"/>
                <w:sz w:val="18"/>
              </w:rPr>
            </w:pPr>
            <w:r w:rsidRPr="00FC5566">
              <w:rPr>
                <w:kern w:val="2"/>
                <w:sz w:val="18"/>
              </w:rPr>
              <w:t xml:space="preserve">        Street or Box</w:t>
            </w:r>
            <w:r w:rsidRPr="00FC5566">
              <w:rPr>
                <w:kern w:val="2"/>
                <w:sz w:val="18"/>
                <w:u w:val="single"/>
              </w:rPr>
              <w:tab/>
            </w:r>
          </w:p>
          <w:p w14:paraId="58FBC767" w14:textId="77777777" w:rsidR="00FC5566" w:rsidRPr="00FC5566" w:rsidRDefault="00FC5566" w:rsidP="00FC5566">
            <w:pPr>
              <w:keepNext/>
              <w:tabs>
                <w:tab w:val="left" w:pos="0"/>
                <w:tab w:val="left" w:pos="180"/>
                <w:tab w:val="left" w:pos="429"/>
                <w:tab w:val="left" w:pos="4140"/>
                <w:tab w:val="left" w:pos="4320"/>
                <w:tab w:val="left" w:pos="4500"/>
                <w:tab w:val="left" w:pos="4680"/>
                <w:tab w:val="left" w:pos="4860"/>
                <w:tab w:val="left" w:pos="5040"/>
                <w:tab w:val="left" w:pos="5220"/>
                <w:tab w:val="left" w:pos="5400"/>
                <w:tab w:val="left" w:pos="5580"/>
                <w:tab w:val="left" w:pos="9909"/>
              </w:tabs>
              <w:rPr>
                <w:kern w:val="2"/>
                <w:sz w:val="18"/>
              </w:rPr>
            </w:pPr>
            <w:r w:rsidRPr="00FC5566">
              <w:rPr>
                <w:kern w:val="2"/>
                <w:sz w:val="18"/>
              </w:rPr>
              <w:tab/>
              <w:t xml:space="preserve">    City </w:t>
            </w:r>
            <w:r w:rsidRPr="00FC5566">
              <w:rPr>
                <w:kern w:val="2"/>
                <w:sz w:val="18"/>
                <w:u w:val="single"/>
              </w:rPr>
              <w:tab/>
            </w:r>
          </w:p>
          <w:p w14:paraId="4E1DAD82" w14:textId="77777777" w:rsidR="00FC5566" w:rsidRPr="00FC5566" w:rsidRDefault="00FC5566" w:rsidP="00FC5566">
            <w:pPr>
              <w:keepNext/>
              <w:tabs>
                <w:tab w:val="left" w:pos="0"/>
                <w:tab w:val="left" w:pos="180"/>
                <w:tab w:val="left" w:pos="309"/>
                <w:tab w:val="left" w:pos="4140"/>
                <w:tab w:val="left" w:pos="4320"/>
                <w:tab w:val="left" w:pos="4500"/>
                <w:tab w:val="left" w:pos="4680"/>
                <w:tab w:val="left" w:pos="4860"/>
                <w:tab w:val="left" w:pos="5040"/>
                <w:tab w:val="left" w:pos="5220"/>
                <w:tab w:val="left" w:pos="5400"/>
                <w:tab w:val="left" w:pos="5580"/>
                <w:tab w:val="left" w:pos="9909"/>
              </w:tabs>
              <w:rPr>
                <w:kern w:val="2"/>
                <w:sz w:val="18"/>
              </w:rPr>
            </w:pPr>
            <w:r w:rsidRPr="00FC5566">
              <w:rPr>
                <w:kern w:val="2"/>
                <w:sz w:val="18"/>
              </w:rPr>
              <w:t xml:space="preserve">        State </w:t>
            </w:r>
            <w:r w:rsidRPr="00FC5566">
              <w:rPr>
                <w:kern w:val="2"/>
                <w:sz w:val="18"/>
                <w:u w:val="single"/>
              </w:rPr>
              <w:t xml:space="preserve">                                            </w:t>
            </w:r>
            <w:r w:rsidRPr="00FC5566">
              <w:rPr>
                <w:kern w:val="2"/>
                <w:sz w:val="18"/>
              </w:rPr>
              <w:t xml:space="preserve"> Zip</w:t>
            </w:r>
            <w:r w:rsidRPr="00FC5566">
              <w:rPr>
                <w:kern w:val="2"/>
                <w:sz w:val="18"/>
                <w:u w:val="single"/>
              </w:rPr>
              <w:tab/>
            </w:r>
          </w:p>
          <w:p w14:paraId="63962E10" w14:textId="77777777" w:rsidR="00FC5566" w:rsidRPr="00FC5566" w:rsidRDefault="00FC5566" w:rsidP="00FC5566">
            <w:pPr>
              <w:keepNext/>
              <w:tabs>
                <w:tab w:val="left" w:pos="0"/>
                <w:tab w:val="left" w:pos="180"/>
                <w:tab w:val="left" w:pos="309"/>
                <w:tab w:val="left" w:pos="4149"/>
                <w:tab w:val="left" w:pos="4320"/>
                <w:tab w:val="left" w:pos="4500"/>
                <w:tab w:val="left" w:pos="4680"/>
                <w:tab w:val="left" w:pos="4860"/>
                <w:tab w:val="left" w:pos="5040"/>
                <w:tab w:val="left" w:pos="5220"/>
                <w:tab w:val="left" w:pos="5400"/>
                <w:tab w:val="left" w:pos="5580"/>
                <w:tab w:val="left" w:pos="9069"/>
                <w:tab w:val="left" w:pos="9909"/>
              </w:tabs>
              <w:rPr>
                <w:b/>
                <w:kern w:val="2"/>
                <w:sz w:val="18"/>
              </w:rPr>
            </w:pPr>
            <w:r w:rsidRPr="00FC5566">
              <w:rPr>
                <w:kern w:val="2"/>
                <w:sz w:val="18"/>
              </w:rPr>
              <w:tab/>
            </w:r>
            <w:r w:rsidRPr="00FC5566">
              <w:rPr>
                <w:kern w:val="2"/>
                <w:sz w:val="18"/>
              </w:rPr>
              <w:tab/>
              <w:t xml:space="preserve"> Phone (        )</w:t>
            </w:r>
            <w:r w:rsidRPr="00FC5566">
              <w:rPr>
                <w:kern w:val="2"/>
                <w:sz w:val="18"/>
                <w:u w:val="single"/>
              </w:rPr>
              <w:tab/>
            </w:r>
            <w:r w:rsidRPr="00FC5566">
              <w:rPr>
                <w:kern w:val="2"/>
                <w:sz w:val="18"/>
              </w:rPr>
              <w:t xml:space="preserve">  </w:t>
            </w:r>
            <w:r w:rsidRPr="00FC5566">
              <w:rPr>
                <w:b/>
                <w:kern w:val="2"/>
                <w:sz w:val="18"/>
              </w:rPr>
              <w:tab/>
            </w:r>
            <w:r w:rsidRPr="00FC5566">
              <w:rPr>
                <w:b/>
                <w:kern w:val="2"/>
                <w:sz w:val="18"/>
              </w:rPr>
              <w:tab/>
            </w:r>
            <w:r w:rsidRPr="00FC5566">
              <w:rPr>
                <w:b/>
                <w:kern w:val="2"/>
                <w:sz w:val="18"/>
              </w:rPr>
              <w:tab/>
            </w:r>
          </w:p>
          <w:p w14:paraId="137213DA" w14:textId="77777777" w:rsidR="00FC5566" w:rsidRPr="00FC5566" w:rsidRDefault="00FC5566" w:rsidP="00FC5566">
            <w:pPr>
              <w:keepNext/>
              <w:tabs>
                <w:tab w:val="left" w:pos="0"/>
                <w:tab w:val="left" w:pos="180"/>
                <w:tab w:val="left" w:pos="309"/>
                <w:tab w:val="left" w:pos="4149"/>
                <w:tab w:val="left" w:pos="4320"/>
                <w:tab w:val="left" w:pos="4500"/>
                <w:tab w:val="left" w:pos="4680"/>
                <w:tab w:val="left" w:pos="4860"/>
                <w:tab w:val="left" w:pos="5040"/>
                <w:tab w:val="left" w:pos="5220"/>
                <w:tab w:val="left" w:pos="5400"/>
                <w:tab w:val="left" w:pos="5580"/>
                <w:tab w:val="left" w:pos="9069"/>
                <w:tab w:val="left" w:pos="9909"/>
              </w:tabs>
              <w:rPr>
                <w:kern w:val="2"/>
                <w:sz w:val="18"/>
              </w:rPr>
            </w:pPr>
            <w:r w:rsidRPr="00FC5566">
              <w:rPr>
                <w:kern w:val="2"/>
                <w:sz w:val="18"/>
              </w:rPr>
              <w:t xml:space="preserve">        Fax</w:t>
            </w:r>
            <w:r w:rsidRPr="00FC5566">
              <w:rPr>
                <w:kern w:val="2"/>
                <w:sz w:val="18"/>
                <w:u w:val="single"/>
              </w:rPr>
              <w:t xml:space="preserve"> (         )_________________________________</w:t>
            </w:r>
          </w:p>
          <w:p w14:paraId="1A704539" w14:textId="77777777" w:rsidR="00FC5566" w:rsidRPr="00FC5566" w:rsidRDefault="00FC5566" w:rsidP="00FC5566">
            <w:pPr>
              <w:keepNext/>
              <w:tabs>
                <w:tab w:val="left" w:pos="0"/>
                <w:tab w:val="left" w:pos="180"/>
                <w:tab w:val="left" w:pos="309"/>
                <w:tab w:val="left" w:pos="4149"/>
                <w:tab w:val="left" w:pos="4320"/>
                <w:tab w:val="left" w:pos="4500"/>
                <w:tab w:val="left" w:pos="4680"/>
                <w:tab w:val="left" w:pos="4860"/>
                <w:tab w:val="left" w:pos="5040"/>
                <w:tab w:val="left" w:pos="5220"/>
                <w:tab w:val="left" w:pos="5400"/>
                <w:tab w:val="left" w:pos="5580"/>
                <w:tab w:val="left" w:pos="9069"/>
                <w:tab w:val="left" w:pos="9909"/>
              </w:tabs>
              <w:rPr>
                <w:b/>
                <w:kern w:val="2"/>
                <w:sz w:val="18"/>
                <w:u w:val="single"/>
              </w:rPr>
            </w:pPr>
            <w:r w:rsidRPr="00FC5566">
              <w:rPr>
                <w:kern w:val="2"/>
                <w:sz w:val="18"/>
              </w:rPr>
              <w:t xml:space="preserve">        Bar Roll #: </w:t>
            </w:r>
            <w:r w:rsidRPr="00FC5566">
              <w:rPr>
                <w:kern w:val="2"/>
                <w:sz w:val="18"/>
                <w:u w:val="single"/>
              </w:rPr>
              <w:t>_________________________________</w:t>
            </w:r>
          </w:p>
          <w:p w14:paraId="601C69EE" w14:textId="77777777" w:rsidR="00FC5566" w:rsidRPr="00FC5566" w:rsidRDefault="00FC5566" w:rsidP="00FC5566">
            <w:pPr>
              <w:keepNext/>
              <w:tabs>
                <w:tab w:val="left" w:pos="0"/>
                <w:tab w:val="left" w:pos="180"/>
                <w:tab w:val="left" w:pos="309"/>
                <w:tab w:val="left" w:pos="4149"/>
                <w:tab w:val="left" w:pos="4320"/>
                <w:tab w:val="left" w:pos="4500"/>
                <w:tab w:val="left" w:pos="4680"/>
                <w:tab w:val="left" w:pos="4860"/>
                <w:tab w:val="left" w:pos="5040"/>
                <w:tab w:val="left" w:pos="5220"/>
                <w:tab w:val="left" w:pos="5400"/>
                <w:tab w:val="left" w:pos="5580"/>
                <w:tab w:val="left" w:pos="9069"/>
                <w:tab w:val="left" w:pos="9909"/>
              </w:tabs>
              <w:rPr>
                <w:kern w:val="2"/>
                <w:sz w:val="18"/>
              </w:rPr>
            </w:pPr>
            <w:r w:rsidRPr="00FC5566">
              <w:rPr>
                <w:b/>
                <w:kern w:val="2"/>
                <w:sz w:val="16"/>
              </w:rPr>
              <w:t xml:space="preserve">         </w:t>
            </w:r>
            <w:r w:rsidRPr="00FC5566">
              <w:rPr>
                <w:kern w:val="2"/>
                <w:sz w:val="18"/>
                <w:szCs w:val="18"/>
              </w:rPr>
              <w:t>Email:</w:t>
            </w:r>
            <w:r w:rsidRPr="00FC5566">
              <w:rPr>
                <w:kern w:val="2"/>
                <w:sz w:val="18"/>
                <w:szCs w:val="18"/>
                <w:u w:val="single"/>
              </w:rPr>
              <w:t xml:space="preserve"> </w:t>
            </w:r>
            <w:r w:rsidRPr="00FC5566">
              <w:rPr>
                <w:kern w:val="2"/>
                <w:sz w:val="18"/>
                <w:szCs w:val="18"/>
              </w:rPr>
              <w:t>___________________________________</w:t>
            </w:r>
            <w:r w:rsidRPr="00FC5566">
              <w:rPr>
                <w:kern w:val="2"/>
                <w:sz w:val="18"/>
              </w:rPr>
              <w:t xml:space="preserve">                                                                                                                               </w:t>
            </w:r>
          </w:p>
          <w:p w14:paraId="3D18C194" w14:textId="77777777" w:rsidR="00FC5566" w:rsidRPr="00FC5566" w:rsidRDefault="00FC5566" w:rsidP="00FC5566">
            <w:pPr>
              <w:keepNext/>
              <w:tabs>
                <w:tab w:val="left" w:pos="0"/>
                <w:tab w:val="left" w:pos="180"/>
                <w:tab w:val="left" w:pos="309"/>
                <w:tab w:val="left" w:pos="4149"/>
                <w:tab w:val="left" w:pos="4320"/>
                <w:tab w:val="left" w:pos="4500"/>
                <w:tab w:val="left" w:pos="4680"/>
                <w:tab w:val="left" w:pos="4860"/>
                <w:tab w:val="left" w:pos="5040"/>
                <w:tab w:val="left" w:pos="5220"/>
                <w:tab w:val="left" w:pos="5400"/>
                <w:tab w:val="left" w:pos="5580"/>
                <w:tab w:val="left" w:pos="9069"/>
                <w:tab w:val="left" w:pos="9909"/>
              </w:tabs>
              <w:rPr>
                <w:kern w:val="2"/>
                <w:sz w:val="18"/>
                <w:szCs w:val="18"/>
              </w:rPr>
            </w:pPr>
            <w:r w:rsidRPr="00FC5566">
              <w:rPr>
                <w:kern w:val="2"/>
                <w:sz w:val="18"/>
              </w:rPr>
              <w:t xml:space="preserve">                                                                                        </w:t>
            </w:r>
            <w:r w:rsidRPr="00FC5566">
              <w:rPr>
                <w:b/>
                <w:kern w:val="2"/>
                <w:sz w:val="16"/>
              </w:rPr>
              <w:t>__________________________________________________  _____________</w:t>
            </w:r>
          </w:p>
          <w:p w14:paraId="79C716BD" w14:textId="77777777" w:rsidR="00FC5566" w:rsidRPr="00FC5566" w:rsidRDefault="00FC5566" w:rsidP="00FC5566">
            <w:pPr>
              <w:keepNext/>
              <w:tabs>
                <w:tab w:val="left" w:pos="0"/>
                <w:tab w:val="left" w:pos="180"/>
                <w:tab w:val="left" w:pos="309"/>
                <w:tab w:val="left" w:pos="4149"/>
                <w:tab w:val="left" w:pos="4320"/>
                <w:tab w:val="left" w:pos="4500"/>
                <w:tab w:val="left" w:pos="4680"/>
                <w:tab w:val="left" w:pos="4860"/>
                <w:tab w:val="left" w:pos="5040"/>
                <w:tab w:val="left" w:pos="5220"/>
                <w:tab w:val="left" w:pos="5400"/>
                <w:tab w:val="left" w:pos="5580"/>
                <w:tab w:val="left" w:pos="9069"/>
                <w:tab w:val="left" w:pos="9909"/>
              </w:tabs>
              <w:rPr>
                <w:b/>
                <w:kern w:val="2"/>
                <w:sz w:val="16"/>
              </w:rPr>
            </w:pPr>
            <w:r w:rsidRPr="00FC5566">
              <w:rPr>
                <w:kern w:val="2"/>
                <w:sz w:val="16"/>
              </w:rPr>
              <w:tab/>
            </w:r>
            <w:r w:rsidRPr="00FC5566">
              <w:rPr>
                <w:kern w:val="2"/>
                <w:sz w:val="16"/>
              </w:rPr>
              <w:tab/>
            </w:r>
            <w:r w:rsidRPr="00FC5566">
              <w:rPr>
                <w:kern w:val="2"/>
                <w:sz w:val="16"/>
              </w:rPr>
              <w:tab/>
            </w:r>
            <w:r w:rsidRPr="00FC5566">
              <w:rPr>
                <w:kern w:val="2"/>
                <w:sz w:val="16"/>
              </w:rPr>
              <w:tab/>
            </w:r>
            <w:r w:rsidRPr="00FC5566">
              <w:rPr>
                <w:kern w:val="2"/>
                <w:sz w:val="16"/>
              </w:rPr>
              <w:tab/>
            </w:r>
            <w:r w:rsidRPr="00FC5566">
              <w:rPr>
                <w:kern w:val="2"/>
                <w:sz w:val="16"/>
              </w:rPr>
              <w:tab/>
            </w:r>
            <w:r w:rsidRPr="00FC5566">
              <w:rPr>
                <w:kern w:val="2"/>
                <w:sz w:val="16"/>
              </w:rPr>
              <w:tab/>
            </w:r>
            <w:r w:rsidRPr="00FC5566">
              <w:rPr>
                <w:b/>
                <w:kern w:val="2"/>
                <w:sz w:val="16"/>
              </w:rPr>
              <w:t>Signature of Applicant</w:t>
            </w:r>
            <w:r w:rsidRPr="00FC5566">
              <w:rPr>
                <w:b/>
                <w:kern w:val="2"/>
                <w:sz w:val="16"/>
              </w:rPr>
              <w:tab/>
              <w:t xml:space="preserve">     Date</w:t>
            </w:r>
          </w:p>
          <w:p w14:paraId="65C057E7" w14:textId="77777777" w:rsidR="00FC5566" w:rsidRPr="00FC5566" w:rsidRDefault="00FC5566" w:rsidP="00FC5566">
            <w:pPr>
              <w:keepNext/>
              <w:tabs>
                <w:tab w:val="left" w:pos="0"/>
                <w:tab w:val="left" w:pos="180"/>
                <w:tab w:val="left" w:pos="309"/>
                <w:tab w:val="left" w:pos="4149"/>
                <w:tab w:val="left" w:pos="4320"/>
                <w:tab w:val="left" w:pos="4500"/>
                <w:tab w:val="left" w:pos="4680"/>
                <w:tab w:val="left" w:pos="4860"/>
                <w:tab w:val="left" w:pos="5040"/>
                <w:tab w:val="left" w:pos="5220"/>
                <w:tab w:val="left" w:pos="5400"/>
                <w:tab w:val="left" w:pos="5580"/>
                <w:tab w:val="left" w:pos="9069"/>
                <w:tab w:val="left" w:pos="9909"/>
              </w:tabs>
              <w:rPr>
                <w:kern w:val="2"/>
                <w:sz w:val="16"/>
                <w:u w:val="single"/>
              </w:rPr>
            </w:pPr>
            <w:r w:rsidRPr="00FC5566">
              <w:rPr>
                <w:kern w:val="2"/>
                <w:sz w:val="16"/>
              </w:rPr>
              <w:t xml:space="preserve">                                                                                                     </w:t>
            </w:r>
            <w:r w:rsidRPr="00FC5566">
              <w:rPr>
                <w:kern w:val="2"/>
                <w:sz w:val="16"/>
                <w:u w:val="single"/>
              </w:rPr>
              <w:t xml:space="preserve">_________________________________________________ </w:t>
            </w:r>
          </w:p>
          <w:p w14:paraId="1EF933E1" w14:textId="77777777" w:rsidR="00FC5566" w:rsidRPr="00FC5566" w:rsidRDefault="00FC5566" w:rsidP="00FC5566">
            <w:pPr>
              <w:keepNext/>
              <w:tabs>
                <w:tab w:val="left" w:pos="0"/>
                <w:tab w:val="left" w:pos="180"/>
                <w:tab w:val="left" w:pos="309"/>
                <w:tab w:val="left" w:pos="4149"/>
                <w:tab w:val="left" w:pos="4320"/>
                <w:tab w:val="left" w:pos="4500"/>
                <w:tab w:val="left" w:pos="4680"/>
                <w:tab w:val="left" w:pos="4860"/>
                <w:tab w:val="left" w:pos="5040"/>
                <w:tab w:val="left" w:pos="5220"/>
                <w:tab w:val="left" w:pos="5400"/>
                <w:tab w:val="left" w:pos="5580"/>
                <w:tab w:val="left" w:pos="9069"/>
                <w:tab w:val="left" w:pos="9909"/>
              </w:tabs>
              <w:rPr>
                <w:kern w:val="2"/>
                <w:sz w:val="16"/>
              </w:rPr>
            </w:pPr>
            <w:r w:rsidRPr="00FC5566">
              <w:rPr>
                <w:kern w:val="2"/>
                <w:sz w:val="16"/>
              </w:rPr>
              <w:t xml:space="preserve">                                                                                                                 Name of Applicant</w:t>
            </w:r>
          </w:p>
          <w:p w14:paraId="5947F4FC"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rPr>
                <w:b/>
                <w:kern w:val="2"/>
                <w:sz w:val="16"/>
              </w:rPr>
            </w:pPr>
            <w:r w:rsidRPr="00FC5566">
              <w:rPr>
                <w:b/>
                <w:kern w:val="2"/>
                <w:sz w:val="16"/>
              </w:rPr>
              <w:t xml:space="preserve">        LW-WC-1015   Rev. 11/25</w:t>
            </w:r>
          </w:p>
        </w:tc>
      </w:tr>
    </w:tbl>
    <w:p w14:paraId="475AA303"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p>
    <w:p w14:paraId="7B2C862C"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p>
    <w:p w14:paraId="76244F40"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sectPr w:rsidR="00FC5566" w:rsidRPr="00FC5566" w:rsidSect="00FC5566">
          <w:type w:val="continuous"/>
          <w:pgSz w:w="12240" w:h="15840" w:code="1"/>
          <w:pgMar w:top="720" w:right="864" w:bottom="317" w:left="864" w:header="576" w:footer="432" w:gutter="0"/>
          <w:cols w:space="720"/>
          <w:docGrid w:linePitch="299"/>
        </w:sectPr>
      </w:pPr>
    </w:p>
    <w:p w14:paraId="6A014175"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p>
    <w:p w14:paraId="4D392568"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23:1291 &amp; R.S. 23:1123</w:t>
      </w:r>
    </w:p>
    <w:p w14:paraId="245CE2F2"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Louisiana Works, Office of Workers’ Compensation Administration, LR 51:1650 (October 2025), amended LR 52:1355 (August 2026).</w:t>
      </w:r>
    </w:p>
    <w:p w14:paraId="1A7B216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p w14:paraId="00BE1F54" w14:textId="77777777" w:rsidR="00FC5566" w:rsidRPr="00FC5566" w:rsidRDefault="00FC5566" w:rsidP="00FC5566">
      <w:pPr>
        <w:keepNext/>
        <w:ind w:left="2160"/>
        <w:jc w:val="both"/>
      </w:pPr>
      <w:r w:rsidRPr="00FC5566">
        <w:t>Susana Schowen</w:t>
      </w:r>
    </w:p>
    <w:p w14:paraId="18C48CFE" w14:textId="77777777" w:rsidR="00FC5566" w:rsidRPr="00FC5566" w:rsidRDefault="00FC5566" w:rsidP="00FC5566">
      <w:pPr>
        <w:keepNext/>
        <w:ind w:left="2160"/>
        <w:jc w:val="both"/>
      </w:pPr>
      <w:r w:rsidRPr="00FC5566">
        <w:t xml:space="preserve">Secretary </w:t>
      </w:r>
    </w:p>
    <w:p w14:paraId="4761BDF2" w14:textId="77777777" w:rsidR="00FC5566" w:rsidRPr="00FC5566" w:rsidRDefault="00FC5566" w:rsidP="00FC5566">
      <w:pPr>
        <w:rPr>
          <w:rFonts w:eastAsia="Calibri"/>
          <w:noProof/>
          <w:sz w:val="16"/>
        </w:rPr>
      </w:pPr>
      <w:r w:rsidRPr="00FC5566">
        <w:rPr>
          <w:rFonts w:eastAsia="Calibri"/>
          <w:noProof/>
          <w:sz w:val="16"/>
        </w:rPr>
        <w:t>2608#056</w:t>
      </w:r>
    </w:p>
    <w:p w14:paraId="0BC0D1CF" w14:textId="77777777" w:rsidR="00FC5566" w:rsidRPr="00FC5566" w:rsidRDefault="00FC5566" w:rsidP="00FC5566"/>
    <w:p w14:paraId="7F3DA8BE" w14:textId="77777777" w:rsidR="00FC5566" w:rsidRPr="00FC5566" w:rsidRDefault="00FC5566" w:rsidP="00FC5566">
      <w:pPr>
        <w:keepNext/>
        <w:tabs>
          <w:tab w:val="left" w:pos="-1440"/>
        </w:tabs>
        <w:spacing w:after="120"/>
        <w:jc w:val="center"/>
        <w:rPr>
          <w:b/>
          <w:noProof/>
        </w:rPr>
      </w:pPr>
      <w:r w:rsidRPr="00FC5566">
        <w:rPr>
          <w:b/>
          <w:noProof/>
        </w:rPr>
        <w:t>RULE</w:t>
      </w:r>
    </w:p>
    <w:p w14:paraId="7B7F8A37" w14:textId="77777777" w:rsidR="00FC5566" w:rsidRPr="00FC5566" w:rsidRDefault="00FC5566" w:rsidP="00FC5566">
      <w:pPr>
        <w:keepNext/>
        <w:jc w:val="center"/>
        <w:rPr>
          <w:b/>
          <w:noProof/>
        </w:rPr>
      </w:pPr>
      <w:r w:rsidRPr="00FC5566">
        <w:rPr>
          <w:b/>
          <w:noProof/>
        </w:rPr>
        <w:t>Louisiana Works</w:t>
      </w:r>
    </w:p>
    <w:p w14:paraId="66E6504C" w14:textId="77777777" w:rsidR="00FC5566" w:rsidRPr="00FC5566" w:rsidRDefault="00FC5566" w:rsidP="00FC5566">
      <w:pPr>
        <w:keepNext/>
        <w:jc w:val="center"/>
        <w:rPr>
          <w:b/>
          <w:noProof/>
        </w:rPr>
      </w:pPr>
      <w:r w:rsidRPr="00FC5566">
        <w:rPr>
          <w:b/>
          <w:noProof/>
        </w:rPr>
        <w:t>Office of Workers' Compensation Administration</w:t>
      </w:r>
    </w:p>
    <w:p w14:paraId="2CA3583D" w14:textId="77777777" w:rsidR="00FC5566" w:rsidRPr="00FC5566" w:rsidRDefault="00FC5566" w:rsidP="00FC5566">
      <w:pPr>
        <w:keepNext/>
        <w:spacing w:before="240" w:after="240"/>
        <w:jc w:val="center"/>
        <w:rPr>
          <w:noProof/>
        </w:rPr>
      </w:pPr>
      <w:r w:rsidRPr="00FC5566">
        <w:rPr>
          <w:noProof/>
        </w:rPr>
        <w:t>Medical Treatment Guidelines</w:t>
      </w:r>
      <w:r w:rsidRPr="00FC5566">
        <w:rPr>
          <w:noProof/>
          <w:webHidden/>
        </w:rPr>
        <w:br/>
      </w:r>
      <w:r w:rsidRPr="00FC5566">
        <w:rPr>
          <w:noProof/>
        </w:rPr>
        <w:t>(LAC 40:I.Chapters 20-23)</w:t>
      </w:r>
    </w:p>
    <w:p w14:paraId="117CF3D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 xml:space="preserve">The Louisiana Works does hereby amend certain portions of the </w:t>
      </w:r>
      <w:r w:rsidRPr="00FC5566">
        <w:rPr>
          <w:i/>
          <w:iCs/>
          <w:kern w:val="2"/>
        </w:rPr>
        <w:t>Louisiana Administrative Code</w:t>
      </w:r>
      <w:r w:rsidRPr="00FC5566">
        <w:rPr>
          <w:kern w:val="2"/>
        </w:rPr>
        <w:t xml:space="preserve">, Title 40, Labor and Employment, Part I, Workers’ Compensation Administration, Subpart 2, Medical Guidelines. The medical treatment guidelines have been updated to address deficiencies and omissions in the guidelines based on new evidence-based information. The guidelines update also addresses discrepancies between different sections that require additional detail and/or clarification. This Rule is promulgated by the authority vested in the assistant secretary of the Office of Workers’ Compensation found in R.S. 23:1291 and R.S. 23:1203.1. This Rule is hereby adopted on the day of promulgation. </w:t>
      </w:r>
    </w:p>
    <w:p w14:paraId="01A2D36D" w14:textId="77777777" w:rsidR="00FC5566" w:rsidRPr="00FC5566" w:rsidRDefault="00FC5566" w:rsidP="00FC5566">
      <w:pPr>
        <w:keepNext/>
        <w:jc w:val="center"/>
        <w:rPr>
          <w:b/>
          <w:kern w:val="28"/>
        </w:rPr>
      </w:pPr>
      <w:r w:rsidRPr="00FC5566">
        <w:rPr>
          <w:b/>
          <w:kern w:val="28"/>
        </w:rPr>
        <w:t>Title 40</w:t>
      </w:r>
    </w:p>
    <w:p w14:paraId="5E95B40B" w14:textId="77777777" w:rsidR="00FC5566" w:rsidRPr="00FC5566" w:rsidRDefault="00FC5566" w:rsidP="00FC5566">
      <w:pPr>
        <w:keepNext/>
        <w:jc w:val="center"/>
        <w:rPr>
          <w:b/>
          <w:kern w:val="28"/>
        </w:rPr>
      </w:pPr>
      <w:r w:rsidRPr="00FC5566">
        <w:rPr>
          <w:b/>
          <w:kern w:val="28"/>
        </w:rPr>
        <w:t>LABOR AND EMPLOYMENT</w:t>
      </w:r>
    </w:p>
    <w:p w14:paraId="3028F3B9" w14:textId="77777777" w:rsidR="00FC5566" w:rsidRPr="00FC5566" w:rsidRDefault="00FC5566" w:rsidP="00FC5566">
      <w:pPr>
        <w:keepNext/>
        <w:jc w:val="center"/>
        <w:rPr>
          <w:b/>
          <w:noProof/>
        </w:rPr>
      </w:pPr>
      <w:r w:rsidRPr="00FC5566">
        <w:rPr>
          <w:b/>
          <w:noProof/>
        </w:rPr>
        <w:t>Part I.  Workers' Compensation Administration</w:t>
      </w:r>
    </w:p>
    <w:p w14:paraId="2E1ACA76" w14:textId="77777777" w:rsidR="00FC5566" w:rsidRPr="00FC5566" w:rsidRDefault="00FC5566" w:rsidP="00FC5566">
      <w:pPr>
        <w:keepNext/>
        <w:jc w:val="center"/>
        <w:rPr>
          <w:b/>
          <w:noProof/>
        </w:rPr>
      </w:pPr>
      <w:r w:rsidRPr="00FC5566">
        <w:rPr>
          <w:b/>
          <w:noProof/>
        </w:rPr>
        <w:t>Subpart 2.  Medical Guidelines</w:t>
      </w:r>
    </w:p>
    <w:p w14:paraId="54D5EAEE"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Chapter 20.</w:t>
      </w:r>
      <w:r w:rsidRPr="00FC5566">
        <w:rPr>
          <w:b/>
          <w:kern w:val="2"/>
        </w:rPr>
        <w:tab/>
        <w:t>Spine Medical Treatment Guidelines</w:t>
      </w:r>
    </w:p>
    <w:p w14:paraId="2DA2930A"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Subchapter A. Cervical Spine Injury</w:t>
      </w:r>
    </w:p>
    <w:p w14:paraId="50EFB3A9"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§2003.</w:t>
      </w:r>
      <w:r w:rsidRPr="00FC5566">
        <w:rPr>
          <w:b/>
          <w:kern w:val="2"/>
        </w:rPr>
        <w:tab/>
        <w:t>General Guideline Principles</w:t>
      </w:r>
    </w:p>
    <w:p w14:paraId="16CC29BF"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A.11.</w:t>
      </w:r>
      <w:r w:rsidRPr="00FC5566">
        <w:rPr>
          <w:kern w:val="2"/>
        </w:rPr>
        <w:tab/>
        <w:t>…</w:t>
      </w:r>
    </w:p>
    <w:p w14:paraId="316A4593"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12.</w:t>
      </w:r>
      <w:r w:rsidRPr="00FC5566">
        <w:rPr>
          <w:kern w:val="2"/>
        </w:rPr>
        <w:tab/>
        <w:t xml:space="preserve">Return to Work. Return to work is therapeutic, assuming the work is not likely to aggravate the basic problem or increase long-term pain. Even if there is residual chronic pain, return-to-work is not necessarily contraindicated and can prevent delayed recovery and unnecessary disability. Employers should proactively have written job descriptions and job analyses in place and in sufficient detail to assist the return-to-work process. Practitioners should understand all the physical demands of an injured worker’s full-duty job or a proposed modified-duty job before allowing the injured worker to return to work. Practitioners should seek clarification about an injured worker’s full-duty or modified-duty job duties when there is insufficient information on job descriptions or job analysis for the practitioner to make an informed decision about an injured worker’s ability to safely return to work. Clarification about specific job demands should be obtained from multiple sources if indicated including a designated employer representative, the injured worker, and the U.S. Department of Labor. A functional job analysis may also be requested if specific physical demand job requirements are needed. The practitioner must provide specific written functional limitations, and the injured worker should never be released to “sedentary” or “light duty.” </w:t>
      </w:r>
      <w:r w:rsidRPr="00FC5566">
        <w:rPr>
          <w:kern w:val="2"/>
        </w:rPr>
        <w:t>Practitioners should consider an injured worker’s safe functional abilities and functional limitations when addressing return to work. These factors include driving, sitting, standing/walking, lifting/carrying, pushing/pulling, climbing stairs/ramps, climbing ladders/equipment, stooping, kneeling crouching, crawling, reaching, gross manipulation, fine manipulation, and keyboarding. Practitioners should also consider other factors such as vision or hearing requirements, awkward and/or sustained postures, repetitive motion tasks, sustained grip, tool usage, vibration factors, and environmental conditions (e.g. working in hot or cold environments).</w:t>
      </w:r>
    </w:p>
    <w:p w14:paraId="54FBF34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A.13. - B.</w:t>
      </w:r>
      <w:r w:rsidRPr="00FC5566">
        <w:rPr>
          <w:kern w:val="2"/>
        </w:rPr>
        <w:tab/>
        <w:t>…</w:t>
      </w:r>
    </w:p>
    <w:p w14:paraId="60B14462"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 xml:space="preserve">Promulgated in accordance with R.S. 23:1203.1. </w:t>
      </w:r>
    </w:p>
    <w:p w14:paraId="0B995007"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Louisiana Workforce Commission, Office of Workers Compensation Administration, LR 37:1631 (June 2011), amended by the Louisiana Workforce Commission, Office of Workers Compensation, LR 40:1119 (June 2014), LR 49:515 (March 2023), amended by the Louisiana Works, Office of Workers Compensation Administration, LR 52:1357 (August 2026).</w:t>
      </w:r>
    </w:p>
    <w:p w14:paraId="139FC9A7"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§2007.</w:t>
      </w:r>
      <w:r w:rsidRPr="00FC5566">
        <w:rPr>
          <w:b/>
          <w:kern w:val="2"/>
        </w:rPr>
        <w:tab/>
        <w:t>Follow-Up Diagnostic Imaging and Testing Procedures</w:t>
      </w:r>
    </w:p>
    <w:p w14:paraId="7407CC7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C.1.e.</w:t>
      </w:r>
      <w:r w:rsidRPr="00FC5566">
        <w:rPr>
          <w:kern w:val="2"/>
        </w:rPr>
        <w:tab/>
        <w:t>...</w:t>
      </w:r>
    </w:p>
    <w:p w14:paraId="6A3C6917" w14:textId="77777777" w:rsidR="00FC5566" w:rsidRPr="00FC5566" w:rsidRDefault="00FC5566" w:rsidP="00FC5566">
      <w:pPr>
        <w:tabs>
          <w:tab w:val="left" w:pos="907"/>
        </w:tabs>
        <w:ind w:firstLine="547"/>
        <w:jc w:val="both"/>
        <w:outlineLvl w:val="5"/>
        <w:rPr>
          <w:kern w:val="2"/>
        </w:rPr>
      </w:pPr>
      <w:r w:rsidRPr="00FC5566">
        <w:rPr>
          <w:kern w:val="2"/>
        </w:rPr>
        <w:t>f.</w:t>
      </w:r>
      <w:r w:rsidRPr="00FC5566">
        <w:rPr>
          <w:kern w:val="2"/>
        </w:rPr>
        <w:tab/>
        <w:t>Single Photon Emission Computerized Tomography (SPECT). A scanning technique which may be helpful to localize facet joint pathology and is useful in determining which patients are likely to have a response to facet injection. SPECT combines bone scans and CT Scans in looking for facet joint pathology. SPECT can also be used for evaluation of active spondylolysis, occult fracture, or pseudoarthrosis when x-ray and/or MRI are nondiagnostic or for evaluation of sacroiliac disease.</w:t>
      </w:r>
    </w:p>
    <w:p w14:paraId="2A989277"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C.1.g. - C.2.b.vii.</w:t>
      </w:r>
      <w:r w:rsidRPr="00FC5566">
        <w:rPr>
          <w:kern w:val="2"/>
        </w:rPr>
        <w:tab/>
        <w:t>…</w:t>
      </w:r>
    </w:p>
    <w:p w14:paraId="3A37A36A"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(a).</w:t>
      </w:r>
      <w:r w:rsidRPr="00FC5566">
        <w:rPr>
          <w:kern w:val="2"/>
        </w:rPr>
        <w:tab/>
        <w:t>Medial Branch Facet Blocks and Sacral Lateral Branch Blocks. These blocks are indicated if there is demonstration of tenderness over the facet joints or pain on facet loading maneuvers. If the block provides 80 percent or more pain reduction as measured by a numerical pain index scale within one hour of the medial branch blocks up to three levels per side, then rhizotomy of the medial branch nerves, up to four nerves per side, may be done without confirmation block. If the initial set of medial branch blocks provides less than 80 percent but at least 50 percent pain reduction as measured by a numerical pain index scale or documented functional improvement, the medial branch block should be repeated for confirmation before a rhizotomy is performed. If 50 percent or greater pain reduction is achieved as measured by the NPIS with two sets of medial branch blocks for facet joint pain, then rhizotomy may be performed.</w:t>
      </w:r>
    </w:p>
    <w:p w14:paraId="0384FE97" w14:textId="77777777" w:rsidR="00FC5566" w:rsidRPr="00FC5566" w:rsidRDefault="00FC5566" w:rsidP="00FC5566">
      <w:pPr>
        <w:tabs>
          <w:tab w:val="left" w:pos="144"/>
          <w:tab w:val="left" w:pos="187"/>
          <w:tab w:val="left" w:pos="540"/>
          <w:tab w:val="left" w:pos="907"/>
          <w:tab w:val="left" w:pos="1080"/>
          <w:tab w:val="left" w:pos="2610"/>
        </w:tabs>
        <w:ind w:firstLine="187"/>
        <w:jc w:val="both"/>
        <w:outlineLvl w:val="3"/>
        <w:rPr>
          <w:kern w:val="2"/>
        </w:rPr>
      </w:pPr>
      <w:r w:rsidRPr="00FC5566">
        <w:rPr>
          <w:kern w:val="2"/>
        </w:rPr>
        <w:t>C.2.b.vii.(a).(i). - C.3.a.i.</w:t>
      </w:r>
      <w:r w:rsidRPr="00FC5566">
        <w:rPr>
          <w:kern w:val="2"/>
        </w:rPr>
        <w:tab/>
        <w:t>...</w:t>
      </w:r>
    </w:p>
    <w:p w14:paraId="20279B9B" w14:textId="77777777" w:rsidR="00FC5566" w:rsidRPr="00FC5566" w:rsidRDefault="00FC5566" w:rsidP="00FC5566">
      <w:pPr>
        <w:tabs>
          <w:tab w:val="left" w:pos="907"/>
        </w:tabs>
        <w:ind w:firstLine="547"/>
        <w:jc w:val="both"/>
        <w:outlineLvl w:val="5"/>
        <w:rPr>
          <w:kern w:val="2"/>
        </w:rPr>
      </w:pPr>
      <w:r w:rsidRPr="00FC5566">
        <w:rPr>
          <w:kern w:val="2"/>
        </w:rPr>
        <w:t>b.</w:t>
      </w:r>
      <w:r w:rsidRPr="00FC5566">
        <w:rPr>
          <w:kern w:val="2"/>
        </w:rPr>
        <w:tab/>
        <w:t xml:space="preserve">Functional Capacity Evaluation (FCE): is a comprehensive performance-based medical assessment of an injured worker’s physical and/or cognitive abilities to safely participate in work and other major life activities. An FCE is a complex evaluation and should only be performed by licensed healthcare practitioners who have received additional post-professional training in evidence-based best practices relative to the design, administration, interpretation, and reporting of FCE results in order ensure safety of the injured worker and effective utility of the FCE results. The primary components of an FCE include a review and </w:t>
      </w:r>
      <w:r w:rsidRPr="00FC5566">
        <w:rPr>
          <w:kern w:val="2"/>
        </w:rPr>
        <w:lastRenderedPageBreak/>
        <w:t xml:space="preserve">summary of relevant medical records, intake interview, physical examination, and content-valid functional testing. Healthcare practitioners should continuously monitor heart rate during the administration of functional testing first to ensure patient safety, but also to guide determinations regarding patient effort and physical endurance to tolerate work activities over specified durations based on the Heart Rate Reserve method. Other functional testing endpoints should also be regularly monitored and documented during functional testing include but are not limited to biomechanical and psychophysical signs of exertion. </w:t>
      </w:r>
    </w:p>
    <w:p w14:paraId="2A895E5B"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w:t>
      </w:r>
      <w:r w:rsidRPr="00FC5566">
        <w:rPr>
          <w:kern w:val="2"/>
        </w:rPr>
        <w:tab/>
        <w:t>There are two primary classifications of FCEs, Job-Specific FCEs and Any-Occupation FCEs. When an FCE is being used to help relevant stakeholders determine if an injured worker can safely return to work in a specific job, the healthcare practitioner (FCE examiner) performing the FCE is responsible for fully understanding the job duties. A Functional Job Analysis may be necessary to help the FCE examiner fully understand the physical demands of the injured worker’s full-duty or modified-duty job. The depth and breadth of an FCE should be determined by the requesting healthcare provider, but in all cases should focus on the worker’s work-related injury or injuries and should predominantly consider the employer’s specific job requirements when determining the focus and extent of the FCE.</w:t>
      </w:r>
    </w:p>
    <w:p w14:paraId="72F582C0"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ii.</w:t>
      </w:r>
      <w:r w:rsidRPr="00FC5566">
        <w:rPr>
          <w:kern w:val="2"/>
        </w:rPr>
        <w:tab/>
        <w:t xml:space="preserve">Full FCEs are indicated in complex work injury cases where injured workers who are medically stable and have been off for six months or more and report chronic pain and activity limitations that could interfere with their ability to safely return to work. Full FCEs aid in determining endpoint to treatment. Up to a total of eight hours of evaluation time conducted on one day or split over two days should be authorized for Full FCEs. </w:t>
      </w:r>
    </w:p>
    <w:p w14:paraId="4FA5FAB5"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strike/>
          <w:kern w:val="2"/>
        </w:rPr>
      </w:pPr>
      <w:r w:rsidRPr="00FC5566">
        <w:rPr>
          <w:kern w:val="2"/>
        </w:rPr>
        <w:tab/>
        <w:t>iii.</w:t>
      </w:r>
      <w:r w:rsidRPr="00FC5566">
        <w:rPr>
          <w:kern w:val="2"/>
        </w:rPr>
        <w:tab/>
        <w:t>Frequency: Once every 12-month period if the injured worker has not returned to work within that interval or more often if there is a significant change in functional status.</w:t>
      </w:r>
    </w:p>
    <w:p w14:paraId="2D8FCE71" w14:textId="77777777" w:rsidR="00FC5566" w:rsidRPr="00FC5566" w:rsidRDefault="00FC5566" w:rsidP="00FC5566">
      <w:pPr>
        <w:tabs>
          <w:tab w:val="left" w:pos="907"/>
        </w:tabs>
        <w:ind w:firstLine="547"/>
        <w:jc w:val="both"/>
        <w:outlineLvl w:val="5"/>
        <w:rPr>
          <w:kern w:val="2"/>
        </w:rPr>
      </w:pPr>
      <w:r w:rsidRPr="00FC5566">
        <w:rPr>
          <w:kern w:val="2"/>
        </w:rPr>
        <w:t>c. - d.i.</w:t>
      </w:r>
      <w:r w:rsidRPr="00FC5566">
        <w:rPr>
          <w:kern w:val="2"/>
        </w:rPr>
        <w:tab/>
        <w:t>...</w:t>
      </w:r>
    </w:p>
    <w:p w14:paraId="00EF92FB" w14:textId="77777777" w:rsidR="00FC5566" w:rsidRPr="00FC5566" w:rsidRDefault="00FC5566" w:rsidP="00FC5566">
      <w:pPr>
        <w:tabs>
          <w:tab w:val="left" w:pos="907"/>
        </w:tabs>
        <w:ind w:firstLine="547"/>
        <w:jc w:val="both"/>
        <w:outlineLvl w:val="5"/>
        <w:rPr>
          <w:kern w:val="2"/>
        </w:rPr>
      </w:pPr>
      <w:r w:rsidRPr="00FC5566">
        <w:rPr>
          <w:kern w:val="2"/>
        </w:rPr>
        <w:t>e.</w:t>
      </w:r>
      <w:r w:rsidRPr="00FC5566">
        <w:rPr>
          <w:kern w:val="2"/>
        </w:rPr>
        <w:tab/>
        <w:t>Work Tolerance Screening (Partial FCE): is a limited performance-based medical assessment of an injured worker’s physical and/or cognitive abilities to safely participate in work and other major life activities. Work tolerance screenings are indicated as part of a work conditioning evaluation to establish an injured worker’s safe functional baseline prior to beginning the work conditioning program. Work tolerance screenings are also indicated early on after a work injury to help determine an injured worker’s safe functional baseline for return to work full-duty or in a modified-duty job. Work tolerance screenings can be used initially to determine baseline status and to monitor and assess progress. Up to a total of four hours of evaluation time conducted on one day should be authorized for work tolerance screenings.</w:t>
      </w:r>
    </w:p>
    <w:p w14:paraId="01E65711"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strike/>
          <w:kern w:val="2"/>
        </w:rPr>
      </w:pPr>
      <w:r w:rsidRPr="00FC5566">
        <w:rPr>
          <w:kern w:val="2"/>
        </w:rPr>
        <w:tab/>
        <w:t>i.</w:t>
      </w:r>
      <w:r w:rsidRPr="00FC5566">
        <w:rPr>
          <w:kern w:val="2"/>
        </w:rPr>
        <w:tab/>
        <w:t>frequency: Once every four weeks up to a total of six visits.</w:t>
      </w:r>
    </w:p>
    <w:p w14:paraId="7CA6DD46" w14:textId="77777777" w:rsidR="00FC5566" w:rsidRPr="00FC5566" w:rsidRDefault="00FC5566" w:rsidP="00FC5566">
      <w:pPr>
        <w:tabs>
          <w:tab w:val="left" w:pos="907"/>
        </w:tabs>
        <w:ind w:firstLine="547"/>
        <w:jc w:val="both"/>
        <w:outlineLvl w:val="5"/>
        <w:rPr>
          <w:kern w:val="2"/>
        </w:rPr>
      </w:pPr>
      <w:r w:rsidRPr="00FC5566">
        <w:rPr>
          <w:kern w:val="2"/>
        </w:rPr>
        <w:t>f.</w:t>
      </w:r>
      <w:r w:rsidRPr="00FC5566">
        <w:rPr>
          <w:kern w:val="2"/>
        </w:rPr>
        <w:tab/>
      </w:r>
      <w:r w:rsidRPr="00FC5566">
        <w:rPr>
          <w:bCs/>
          <w:kern w:val="2"/>
        </w:rPr>
        <w:t>Functional Job Analysis (FJA)</w:t>
      </w:r>
      <w:r w:rsidRPr="00FC5566">
        <w:rPr>
          <w:kern w:val="2"/>
        </w:rPr>
        <w:t>:</w:t>
      </w:r>
      <w:r w:rsidRPr="00FC5566">
        <w:rPr>
          <w:rFonts w:eastAsia="Calibri"/>
          <w:kern w:val="2"/>
        </w:rPr>
        <w:t xml:space="preserve"> </w:t>
      </w:r>
      <w:r w:rsidRPr="00FC5566">
        <w:rPr>
          <w:kern w:val="2"/>
        </w:rPr>
        <w:t xml:space="preserve">is an on-site visit to a job site for the purpose of quantifying and validating the physical demands of essential functions a full-duty or modified-duty job to facilitate safe return to work. FJA reports </w:t>
      </w:r>
      <w:r w:rsidRPr="00FC5566">
        <w:rPr>
          <w:kern w:val="2"/>
        </w:rPr>
        <w:br w:type="column"/>
      </w:r>
      <w:r w:rsidRPr="00FC5566">
        <w:rPr>
          <w:kern w:val="2"/>
        </w:rPr>
        <w:t xml:space="preserve">should utilize industry standardized physical demand, duration, and frequency terms which have been operationally defined by the U.S. Department of Labor and the American Physical Therapy Association. In addition, the vertical range of lifting and force directions and heights of pushing/pulling forces should be specified for clarity of the physical demands. The results from a FJA should be reviewed not only by an HR manager, but also by a representative sample of incumbent workers to validate that the physical demands of essential functions are job-related and accurate. </w:t>
      </w:r>
    </w:p>
    <w:p w14:paraId="2883B150"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w:t>
      </w:r>
      <w:r w:rsidRPr="00FC5566">
        <w:rPr>
          <w:kern w:val="2"/>
        </w:rPr>
        <w:tab/>
        <w:t xml:space="preserve">Requests for a Functional Job Analysis should describe the expected goals for the evaluation. Goals may include, but are not limited to the following: </w:t>
      </w:r>
    </w:p>
    <w:p w14:paraId="5F362459" w14:textId="77777777" w:rsidR="00FC5566" w:rsidRPr="00FC5566" w:rsidRDefault="00FC5566" w:rsidP="00FC5566">
      <w:pPr>
        <w:tabs>
          <w:tab w:val="left" w:pos="1267"/>
          <w:tab w:val="left" w:pos="4500"/>
          <w:tab w:val="left" w:pos="4680"/>
          <w:tab w:val="left" w:pos="4860"/>
          <w:tab w:val="left" w:pos="5040"/>
          <w:tab w:val="left" w:pos="7200"/>
        </w:tabs>
        <w:ind w:firstLine="907"/>
        <w:jc w:val="both"/>
        <w:outlineLvl w:val="7"/>
        <w:rPr>
          <w:kern w:val="2"/>
        </w:rPr>
      </w:pPr>
      <w:r w:rsidRPr="00FC5566">
        <w:rPr>
          <w:kern w:val="2"/>
        </w:rPr>
        <w:t>(a).</w:t>
      </w:r>
      <w:r w:rsidRPr="00FC5566">
        <w:rPr>
          <w:kern w:val="2"/>
        </w:rPr>
        <w:tab/>
        <w:t xml:space="preserve">to determine if there are potential contributing factors to the person’s condition and/or for the physician to assess causality; </w:t>
      </w:r>
    </w:p>
    <w:p w14:paraId="3B1D65D1" w14:textId="77777777" w:rsidR="00FC5566" w:rsidRPr="00FC5566" w:rsidRDefault="00FC5566" w:rsidP="00FC5566">
      <w:pPr>
        <w:tabs>
          <w:tab w:val="left" w:pos="1267"/>
          <w:tab w:val="left" w:pos="4500"/>
          <w:tab w:val="left" w:pos="4680"/>
          <w:tab w:val="left" w:pos="4860"/>
          <w:tab w:val="left" w:pos="5040"/>
          <w:tab w:val="left" w:pos="7200"/>
        </w:tabs>
        <w:ind w:firstLine="907"/>
        <w:jc w:val="both"/>
        <w:outlineLvl w:val="7"/>
        <w:rPr>
          <w:kern w:val="2"/>
        </w:rPr>
      </w:pPr>
      <w:r w:rsidRPr="00FC5566">
        <w:rPr>
          <w:kern w:val="2"/>
        </w:rPr>
        <w:t>(b).</w:t>
      </w:r>
      <w:r w:rsidRPr="00FC5566">
        <w:rPr>
          <w:kern w:val="2"/>
        </w:rPr>
        <w:tab/>
        <w:t xml:space="preserve">to make recommendations for, and to assess the potential for ergonomic changes; </w:t>
      </w:r>
    </w:p>
    <w:p w14:paraId="71D7C396" w14:textId="77777777" w:rsidR="00FC5566" w:rsidRPr="00FC5566" w:rsidRDefault="00FC5566" w:rsidP="00FC5566">
      <w:pPr>
        <w:tabs>
          <w:tab w:val="left" w:pos="1267"/>
          <w:tab w:val="left" w:pos="4500"/>
          <w:tab w:val="left" w:pos="4680"/>
          <w:tab w:val="left" w:pos="4860"/>
          <w:tab w:val="left" w:pos="5040"/>
          <w:tab w:val="left" w:pos="7200"/>
        </w:tabs>
        <w:ind w:firstLine="907"/>
        <w:jc w:val="both"/>
        <w:outlineLvl w:val="7"/>
        <w:rPr>
          <w:kern w:val="2"/>
        </w:rPr>
      </w:pPr>
      <w:r w:rsidRPr="00FC5566">
        <w:rPr>
          <w:kern w:val="2"/>
        </w:rPr>
        <w:t>(c).</w:t>
      </w:r>
      <w:r w:rsidRPr="00FC5566">
        <w:rPr>
          <w:kern w:val="2"/>
        </w:rPr>
        <w:tab/>
        <w:t>to determine the essential demands of the job;</w:t>
      </w:r>
    </w:p>
    <w:p w14:paraId="7D774853" w14:textId="77777777" w:rsidR="00FC5566" w:rsidRPr="00FC5566" w:rsidRDefault="00FC5566" w:rsidP="00FC5566">
      <w:pPr>
        <w:tabs>
          <w:tab w:val="left" w:pos="1267"/>
          <w:tab w:val="left" w:pos="4500"/>
          <w:tab w:val="left" w:pos="4680"/>
          <w:tab w:val="left" w:pos="4860"/>
          <w:tab w:val="left" w:pos="5040"/>
          <w:tab w:val="left" w:pos="7200"/>
        </w:tabs>
        <w:ind w:firstLine="907"/>
        <w:jc w:val="both"/>
        <w:outlineLvl w:val="7"/>
        <w:rPr>
          <w:kern w:val="2"/>
        </w:rPr>
      </w:pPr>
      <w:r w:rsidRPr="00FC5566">
        <w:rPr>
          <w:kern w:val="2"/>
        </w:rPr>
        <w:t>(d).</w:t>
      </w:r>
      <w:r w:rsidRPr="00FC5566">
        <w:rPr>
          <w:kern w:val="2"/>
        </w:rPr>
        <w:tab/>
        <w:t xml:space="preserve">to provide a detailed description of the physical and cognitive job requirements; </w:t>
      </w:r>
    </w:p>
    <w:p w14:paraId="641E9BA6" w14:textId="77777777" w:rsidR="00FC5566" w:rsidRPr="00FC5566" w:rsidRDefault="00FC5566" w:rsidP="00FC5566">
      <w:pPr>
        <w:tabs>
          <w:tab w:val="left" w:pos="1267"/>
          <w:tab w:val="left" w:pos="4500"/>
          <w:tab w:val="left" w:pos="4680"/>
          <w:tab w:val="left" w:pos="4860"/>
          <w:tab w:val="left" w:pos="5040"/>
          <w:tab w:val="left" w:pos="7200"/>
        </w:tabs>
        <w:ind w:firstLine="907"/>
        <w:jc w:val="both"/>
        <w:outlineLvl w:val="7"/>
        <w:rPr>
          <w:kern w:val="2"/>
        </w:rPr>
      </w:pPr>
      <w:r w:rsidRPr="00FC5566">
        <w:rPr>
          <w:kern w:val="2"/>
        </w:rPr>
        <w:t>(e).</w:t>
      </w:r>
      <w:r w:rsidRPr="00FC5566">
        <w:rPr>
          <w:kern w:val="2"/>
        </w:rPr>
        <w:tab/>
        <w:t xml:space="preserve">to assist the patient in their return-to-work by educating them on how they may be able to do their job more safely and in a more bio-mechanically appropriate manner; </w:t>
      </w:r>
    </w:p>
    <w:p w14:paraId="0546271E" w14:textId="77777777" w:rsidR="00FC5566" w:rsidRPr="00FC5566" w:rsidRDefault="00FC5566" w:rsidP="00FC5566">
      <w:pPr>
        <w:tabs>
          <w:tab w:val="left" w:pos="1267"/>
          <w:tab w:val="left" w:pos="4500"/>
          <w:tab w:val="left" w:pos="4680"/>
          <w:tab w:val="left" w:pos="4860"/>
          <w:tab w:val="left" w:pos="5040"/>
          <w:tab w:val="left" w:pos="7200"/>
        </w:tabs>
        <w:ind w:firstLine="907"/>
        <w:jc w:val="both"/>
        <w:outlineLvl w:val="7"/>
        <w:rPr>
          <w:kern w:val="2"/>
        </w:rPr>
      </w:pPr>
      <w:r w:rsidRPr="00FC5566">
        <w:rPr>
          <w:kern w:val="2"/>
        </w:rPr>
        <w:t>(f).</w:t>
      </w:r>
      <w:r w:rsidRPr="00FC5566">
        <w:rPr>
          <w:kern w:val="2"/>
        </w:rPr>
        <w:tab/>
        <w:t xml:space="preserve">to give detailed work/activity restrictions. </w:t>
      </w:r>
    </w:p>
    <w:p w14:paraId="6F576E61"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ii.</w:t>
      </w:r>
      <w:r w:rsidRPr="00FC5566">
        <w:rPr>
          <w:kern w:val="2"/>
        </w:rPr>
        <w:tab/>
        <w:t>Frequency: One time with additional visits as needed for follow-up per job site.</w:t>
      </w:r>
    </w:p>
    <w:p w14:paraId="08328032"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 xml:space="preserve">Promulgated in accordance with R.S. 23:1203.1. </w:t>
      </w:r>
    </w:p>
    <w:p w14:paraId="146CA282"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Louisiana Workforce Commission, Office of Workers Compensation Administration, LR 37:1634 (June 2011), amended by the Louisiana Workforce Commission, Office of Workers Compensation, LR 40:1121 (June 2014), LR 49:517 (March 2023), LR 50:692 (May 2024), amended by the Louisiana Works, Office of Workers Compensation Administration, LR 52:1357 (August 2026).</w:t>
      </w:r>
    </w:p>
    <w:p w14:paraId="26A30C60"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§2009.</w:t>
      </w:r>
      <w:r w:rsidRPr="00FC5566">
        <w:rPr>
          <w:b/>
          <w:kern w:val="2"/>
        </w:rPr>
        <w:tab/>
        <w:t>Therapeutic Procedures</w:t>
      </w:r>
      <w:r w:rsidRPr="00FC5566">
        <w:rPr>
          <w:rFonts w:ascii="Cambria Math" w:hAnsi="Cambria Math" w:cs="Cambria Math"/>
          <w:b/>
          <w:kern w:val="2"/>
        </w:rPr>
        <w:t>⎯</w:t>
      </w:r>
      <w:r w:rsidRPr="00FC5566">
        <w:rPr>
          <w:b/>
          <w:kern w:val="2"/>
        </w:rPr>
        <w:t>Non-Operative</w:t>
      </w:r>
    </w:p>
    <w:p w14:paraId="581E8CB9" w14:textId="77777777" w:rsidR="00FC5566" w:rsidRPr="00FC5566" w:rsidRDefault="00FC5566" w:rsidP="00FC5566">
      <w:pPr>
        <w:tabs>
          <w:tab w:val="left" w:pos="144"/>
          <w:tab w:val="left" w:pos="187"/>
          <w:tab w:val="left" w:pos="540"/>
          <w:tab w:val="left" w:pos="990"/>
          <w:tab w:val="left" w:pos="1080"/>
        </w:tabs>
        <w:ind w:firstLine="187"/>
        <w:jc w:val="both"/>
        <w:outlineLvl w:val="3"/>
        <w:rPr>
          <w:kern w:val="2"/>
        </w:rPr>
      </w:pPr>
      <w:r w:rsidRPr="00FC5566">
        <w:rPr>
          <w:kern w:val="2"/>
        </w:rPr>
        <w:t>A. - G.3.</w:t>
      </w:r>
      <w:r w:rsidRPr="00FC5566">
        <w:rPr>
          <w:kern w:val="2"/>
        </w:rPr>
        <w:tab/>
        <w:t>...</w:t>
      </w:r>
    </w:p>
    <w:p w14:paraId="27098AD9" w14:textId="77777777" w:rsidR="00FC5566" w:rsidRPr="00FC5566" w:rsidRDefault="00FC5566" w:rsidP="00FC5566">
      <w:pPr>
        <w:tabs>
          <w:tab w:val="left" w:pos="907"/>
        </w:tabs>
        <w:ind w:firstLine="547"/>
        <w:jc w:val="both"/>
        <w:outlineLvl w:val="5"/>
        <w:rPr>
          <w:kern w:val="2"/>
        </w:rPr>
      </w:pPr>
      <w:r w:rsidRPr="00FC5566">
        <w:rPr>
          <w:kern w:val="2"/>
        </w:rPr>
        <w:t>a.</w:t>
      </w:r>
      <w:r w:rsidRPr="00FC5566">
        <w:rPr>
          <w:kern w:val="2"/>
        </w:rPr>
        <w:tab/>
        <w:t>Therapeutic Spinal Injections. Therapeutic spinal injections may be used after initial conservative treatments, such as physical and occupational therapy, medication, manual therapy, exercise, acupuncture, have been undertaken. Therapeutic injections should be used only after imaging studies have established pathology. Injections are invasive procedures that can cause catastrophic complications; thus clinical indications and contraindications should be closely adhered to. The purpose of spinal injections is to facilitate active therapy by providing short-term relief through reduction of pain and inflammation. All patients should continue appropriate exercise with functionally directed rehabilitation. Active treatment, which patients should have had prior to injections, will frequently require a repeat of the sessions previously ordered (Refer to Active Therapy). Injections, by themselves, are not likely to provide long-term relief. Rather, active rehabilitation with modified work achieves long-term relief by increasing active ROM, strength, and stability. Subjective reports of pain response (via a recognized pain scale) and function should be considered and given relative weight when the pain has anatomic and physiologic correlation. Anatomic correlation must be based on objective findings.</w:t>
      </w:r>
    </w:p>
    <w:p w14:paraId="3420610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G.3.a.i. - G.3.b.iv.(b).</w:t>
      </w:r>
      <w:r w:rsidRPr="00FC5566">
        <w:rPr>
          <w:kern w:val="2"/>
        </w:rPr>
        <w:tab/>
        <w:t>…</w:t>
      </w:r>
    </w:p>
    <w:p w14:paraId="59380EBB" w14:textId="77777777" w:rsidR="00FC5566" w:rsidRPr="00FC5566" w:rsidRDefault="00FC5566" w:rsidP="00FC5566">
      <w:pPr>
        <w:tabs>
          <w:tab w:val="left" w:pos="1267"/>
          <w:tab w:val="left" w:pos="4500"/>
          <w:tab w:val="left" w:pos="4680"/>
          <w:tab w:val="left" w:pos="4860"/>
          <w:tab w:val="left" w:pos="5040"/>
          <w:tab w:val="left" w:pos="7200"/>
        </w:tabs>
        <w:ind w:firstLine="907"/>
        <w:jc w:val="both"/>
        <w:outlineLvl w:val="7"/>
        <w:rPr>
          <w:kern w:val="2"/>
        </w:rPr>
      </w:pPr>
      <w:r w:rsidRPr="00FC5566">
        <w:rPr>
          <w:kern w:val="2"/>
        </w:rPr>
        <w:lastRenderedPageBreak/>
        <w:t>(c.)</w:t>
      </w:r>
      <w:r w:rsidRPr="00FC5566">
        <w:rPr>
          <w:kern w:val="2"/>
        </w:rPr>
        <w:tab/>
        <w:t>Injections can be repeated after a hiatus of six months if the patient has demonstrated functional gain and pain returns or worsens. If the first injection does not provide a diagnostic response with temporary and sustained pain relief (at least two to six weeks) substantiated by accepted pain scales (i.e., 50 percent pain reduction as measured by tools such as VAS), and improvement in function, similar injections should not be repeated, although the practitioner may want to consider a different approach or different level depending on the pathology.</w:t>
      </w:r>
    </w:p>
    <w:p w14:paraId="569A020F"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G.3.b.iv.(d). - G.3.e.ii.</w:t>
      </w:r>
      <w:r w:rsidRPr="00FC5566">
        <w:rPr>
          <w:kern w:val="2"/>
        </w:rPr>
        <w:tab/>
        <w:t>...</w:t>
      </w:r>
    </w:p>
    <w:p w14:paraId="6D4DE964"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iii.</w:t>
      </w:r>
      <w:r w:rsidRPr="00FC5566">
        <w:rPr>
          <w:kern w:val="2"/>
        </w:rPr>
        <w:tab/>
        <w:t>Indications. Those patients with proven, significant, facetogenic pain. This procedure is not recommended for patients with multiple pain generators or involvement of more than four medial branch nerves.</w:t>
      </w:r>
    </w:p>
    <w:p w14:paraId="60FF8967"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iv.</w:t>
      </w:r>
      <w:r w:rsidRPr="00FC5566">
        <w:rPr>
          <w:kern w:val="2"/>
        </w:rPr>
        <w:tab/>
        <w:t>Individuals should have met the following indications: pain of well-documented facet origin, unresponsive to active and/or passive therapy. This procedure is not recommended for patients with multiple pain generators except in those cases where the facet pain is deemed to be greater than 50 percent of the total pain in the given area. It is generally recommended that this procedure not be performed until three months of active therapy and manual therapy have been completed unless severe pain or limitation of ROM preclude patient participation. All patients should continue appropriate exercise with functionally directed rehabilitation. Active treatment, which patients will have had prior to the procedure, will frequently require a repeat of the sessions previously ordered (Refer to Active Therapy).</w:t>
      </w:r>
    </w:p>
    <w:p w14:paraId="464719CC"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G.3.e.v. - G.14.a.</w:t>
      </w:r>
      <w:r w:rsidRPr="00FC5566">
        <w:rPr>
          <w:kern w:val="2"/>
        </w:rPr>
        <w:tab/>
        <w:t>...</w:t>
      </w:r>
    </w:p>
    <w:p w14:paraId="30B577BC"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 xml:space="preserve">AUTHORITY NOTE: Promulgated in accordance with R.S. 23:1203.1. </w:t>
      </w:r>
    </w:p>
    <w:p w14:paraId="3CBF2BDB"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 Promulgated by the Louisiana Workforce Commission, Office of Workers Compensation Administration, LR 37:1640 (June 2011), amended by the Louisiana Workforce Commission, Office of Workers Compensation, LR 40:1126 (June 2014), LR 49:518 (March 2023) amended by the Louisiana Works, Office of Workers Compensation Administration, LR 52:1358 (August 2026).</w:t>
      </w:r>
    </w:p>
    <w:p w14:paraId="0D02521E"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§2011.</w:t>
      </w:r>
      <w:r w:rsidRPr="00FC5566">
        <w:rPr>
          <w:b/>
          <w:kern w:val="2"/>
        </w:rPr>
        <w:tab/>
        <w:t>Therapeutic Procedures</w:t>
      </w:r>
      <w:r w:rsidRPr="00FC5566">
        <w:rPr>
          <w:rFonts w:ascii="Cambria Math" w:hAnsi="Cambria Math" w:cs="Cambria Math"/>
          <w:b/>
          <w:kern w:val="2"/>
        </w:rPr>
        <w:t>⎯</w:t>
      </w:r>
      <w:r w:rsidRPr="00FC5566">
        <w:rPr>
          <w:b/>
          <w:kern w:val="2"/>
        </w:rPr>
        <w:t>Operative</w:t>
      </w:r>
    </w:p>
    <w:p w14:paraId="2D150F68"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F.2.c.i.(c).(iv).</w:t>
      </w:r>
      <w:r w:rsidRPr="00FC5566">
        <w:rPr>
          <w:kern w:val="2"/>
        </w:rPr>
        <w:tab/>
        <w:t xml:space="preserve">… </w:t>
      </w:r>
    </w:p>
    <w:p w14:paraId="1BFCDFB3" w14:textId="77777777" w:rsidR="00FC5566" w:rsidRPr="00FC5566" w:rsidRDefault="00FC5566" w:rsidP="00FC5566">
      <w:pPr>
        <w:tabs>
          <w:tab w:val="decimal" w:pos="1440"/>
          <w:tab w:val="left" w:pos="1728"/>
        </w:tabs>
        <w:jc w:val="both"/>
        <w:outlineLvl w:val="8"/>
        <w:rPr>
          <w:kern w:val="2"/>
        </w:rPr>
      </w:pPr>
      <w:r w:rsidRPr="00FC5566">
        <w:rPr>
          <w:kern w:val="2"/>
        </w:rPr>
        <w:tab/>
        <w:t>(v).</w:t>
      </w:r>
      <w:r w:rsidRPr="00FC5566">
        <w:rPr>
          <w:kern w:val="2"/>
        </w:rPr>
        <w:tab/>
        <w:t>psychosocial evaluation for confounding issues addressed; and</w:t>
      </w:r>
    </w:p>
    <w:p w14:paraId="4F1EA47A" w14:textId="77777777" w:rsidR="00FC5566" w:rsidRPr="00FC5566" w:rsidRDefault="00FC5566" w:rsidP="00FC5566">
      <w:pPr>
        <w:tabs>
          <w:tab w:val="decimal" w:pos="1440"/>
          <w:tab w:val="left" w:pos="1728"/>
        </w:tabs>
        <w:jc w:val="both"/>
        <w:outlineLvl w:val="8"/>
        <w:rPr>
          <w:kern w:val="2"/>
        </w:rPr>
      </w:pPr>
      <w:r w:rsidRPr="00FC5566">
        <w:rPr>
          <w:kern w:val="2"/>
        </w:rPr>
        <w:tab/>
        <w:t>(vi).</w:t>
      </w:r>
      <w:r w:rsidRPr="00FC5566">
        <w:rPr>
          <w:kern w:val="2"/>
        </w:rPr>
        <w:tab/>
        <w:t>for any potential surgery, it is recommended that the injured worker refrain from smoking for at least six weeks prior to surgery and during the period of healing. Because smokers have a higher risk of non-union and higher post-operative costs, it is recommended that insurers cover a smoking cessation program peri-operatively.</w:t>
      </w:r>
    </w:p>
    <w:p w14:paraId="6598BCF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F.2.c.ii. - 7.c.</w:t>
      </w:r>
      <w:r w:rsidRPr="00FC5566">
        <w:rPr>
          <w:kern w:val="2"/>
        </w:rPr>
        <w:tab/>
        <w:t>...</w:t>
      </w:r>
    </w:p>
    <w:p w14:paraId="2F96A8CD"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 xml:space="preserve">Promulgated in accordance with R.S. 23:1203.1. </w:t>
      </w:r>
    </w:p>
    <w:p w14:paraId="41D67C1E"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Louisiana Workforce Commission, Office of Workers Compensation Administration, LR 37:1651 (June 2011), amended by the Louisiana Workforce Commission, Office of Workers Compensation, LR 40:1132 (June 2014), LR 49:519 (March 2023), amended by the Louisiana Works, Office of Workers Compensation Administration, LR 52:1359 (August 2026).</w:t>
      </w:r>
    </w:p>
    <w:p w14:paraId="5C6454DA"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Subchapter B.</w:t>
      </w:r>
      <w:r w:rsidRPr="00FC5566">
        <w:rPr>
          <w:b/>
          <w:kern w:val="2"/>
        </w:rPr>
        <w:tab/>
        <w:t>Low Back Pain</w:t>
      </w:r>
    </w:p>
    <w:p w14:paraId="101813C1"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§2015.</w:t>
      </w:r>
      <w:r w:rsidRPr="00FC5566">
        <w:rPr>
          <w:b/>
          <w:kern w:val="2"/>
        </w:rPr>
        <w:tab/>
        <w:t>General Guideline Principles</w:t>
      </w:r>
    </w:p>
    <w:p w14:paraId="06BA7D7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A.11.</w:t>
      </w:r>
      <w:r w:rsidRPr="00FC5566">
        <w:rPr>
          <w:kern w:val="2"/>
        </w:rPr>
        <w:tab/>
        <w:t>...</w:t>
      </w:r>
    </w:p>
    <w:p w14:paraId="3B6B704E"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12.</w:t>
      </w:r>
      <w:r w:rsidRPr="00FC5566">
        <w:rPr>
          <w:kern w:val="2"/>
        </w:rPr>
        <w:tab/>
        <w:t xml:space="preserve">Return to Work. Return to work is therapeutic, assuming the work is not likely to aggravate the basic problem </w:t>
      </w:r>
      <w:r w:rsidRPr="00FC5566">
        <w:rPr>
          <w:kern w:val="2"/>
        </w:rPr>
        <w:t>or increase long-term pain. Even if there is residual chronic pain, return-to-work is not necessarily contraindicated and can prevent delayed recovery and unnecessary disability. Employers should proactively have written job descriptions and job analyses in place and in sufficient detail to assist the return-to-work process. Practitioners should understand all the physical demands of an injured worker’s full-duty job or a proposed modified-duty job before allowing the injured worker to return to work. Practitioners should seek clarification about an injured worker’s full-duty or modified-duty job duties when there is insufficient information on job descriptions or job analysis for the practitioner to make an informed decision about an injured worker’s ability to safely return to work. Clarification about specific job demands should be obtained from multiple sources if indicated including a designated employer representative, the injured worker, and the U.S. Department of Labor. A functional job analysis may also be requested if specific physical demand job requirements are needed. The practitioner must provide specific written functional limitations, and the injured worker should never be released to “sedentary” or “light duty.” Practitioners should consider an injured worker’s safe functional abilities and functional limitations when addressing return to work. These factors include driving, sitting, standing/walking, lifting/carrying, pushing/pulling, climbing stairs/ramps, climbing ladders/equipment, stooping, kneeling crouching, crawling, reaching, gross manipulation, fine manipulation, and keyboarding. Practitioners should also consider other factors such as vision or hearing requirements, awkward and/or sustained postures, repetitive motion tasks, sustained grip, tool usage, vibration factors, and environmental conditions (e.g. working in hot or cold environments).</w:t>
      </w:r>
    </w:p>
    <w:p w14:paraId="23C03DC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A.13. - B.</w:t>
      </w:r>
      <w:r w:rsidRPr="00FC5566">
        <w:rPr>
          <w:kern w:val="2"/>
        </w:rPr>
        <w:tab/>
        <w:t>...</w:t>
      </w:r>
    </w:p>
    <w:p w14:paraId="210E9BD0"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 xml:space="preserve">Promulgated in accordance with R.S. 23:1203.1. </w:t>
      </w:r>
    </w:p>
    <w:p w14:paraId="487C4DF5"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Louisiana Workforce Commission, Office of Workers Compensation Administration, LR 37:1655 (June 2011), amended by the Louisiana Workforce Commission, Office of Workers Compensation, LR 40:1135 (June 2014), LR 46:1244 (September 2020), amended by the Louisiana Works, Office of Workers Compensation Administration, LR 52:1359 (August 2026).</w:t>
      </w:r>
    </w:p>
    <w:p w14:paraId="63C79036"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§2019.</w:t>
      </w:r>
      <w:r w:rsidRPr="00FC5566">
        <w:rPr>
          <w:b/>
          <w:kern w:val="2"/>
        </w:rPr>
        <w:tab/>
        <w:t>Follow-Up Diagnostic Imaging and Testing Procedures</w:t>
      </w:r>
    </w:p>
    <w:p w14:paraId="79F44A2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C.1.a.</w:t>
      </w:r>
      <w:r w:rsidRPr="00FC5566">
        <w:rPr>
          <w:kern w:val="2"/>
        </w:rPr>
        <w:tab/>
        <w:t>...</w:t>
      </w:r>
    </w:p>
    <w:p w14:paraId="2BCD682D"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w:t>
      </w:r>
      <w:r w:rsidRPr="00FC5566">
        <w:rPr>
          <w:kern w:val="2"/>
        </w:rPr>
        <w:tab/>
        <w:t>In general, the high field, conventional, MRI provides better resolution. A lower field scan may be indicated when a patient cannot fit into a high field scanner or who is too claustrophobic despite sedation. Inadequate resolution on the first scan may require a second MRI using a different technique. All questions in this regard should be discussed with the MRI center and/or radiologist. Repeat MRI testing may be needed in cases that involve a change in exam or symptoms or for contemplated surgical intervention.</w:t>
      </w:r>
    </w:p>
    <w:p w14:paraId="02224E35" w14:textId="77777777" w:rsidR="00FC5566" w:rsidRPr="00FC5566" w:rsidRDefault="00FC5566" w:rsidP="00FC5566">
      <w:pPr>
        <w:tabs>
          <w:tab w:val="left" w:pos="144"/>
          <w:tab w:val="left" w:pos="187"/>
          <w:tab w:val="left" w:pos="540"/>
          <w:tab w:val="left" w:pos="907"/>
          <w:tab w:val="left" w:pos="1080"/>
          <w:tab w:val="left" w:pos="1800"/>
        </w:tabs>
        <w:ind w:firstLine="187"/>
        <w:jc w:val="both"/>
        <w:outlineLvl w:val="3"/>
        <w:rPr>
          <w:kern w:val="2"/>
        </w:rPr>
      </w:pPr>
      <w:r w:rsidRPr="00FC5566">
        <w:rPr>
          <w:kern w:val="2"/>
        </w:rPr>
        <w:t>C.1.a.ii. - C.1.e.</w:t>
      </w:r>
      <w:r w:rsidRPr="00FC5566">
        <w:rPr>
          <w:kern w:val="2"/>
        </w:rPr>
        <w:tab/>
        <w:t>...</w:t>
      </w:r>
    </w:p>
    <w:p w14:paraId="791F0225" w14:textId="77777777" w:rsidR="00FC5566" w:rsidRPr="00FC5566" w:rsidRDefault="00FC5566" w:rsidP="00FC5566">
      <w:pPr>
        <w:tabs>
          <w:tab w:val="left" w:pos="907"/>
        </w:tabs>
        <w:ind w:firstLine="547"/>
        <w:jc w:val="both"/>
        <w:outlineLvl w:val="5"/>
        <w:rPr>
          <w:kern w:val="2"/>
        </w:rPr>
      </w:pPr>
      <w:r w:rsidRPr="00FC5566">
        <w:rPr>
          <w:kern w:val="2"/>
        </w:rPr>
        <w:t>f.</w:t>
      </w:r>
      <w:r w:rsidRPr="00FC5566">
        <w:rPr>
          <w:kern w:val="2"/>
        </w:rPr>
        <w:tab/>
        <w:t xml:space="preserve">Single Photon Emission Computerized Tomography (SPECT). A scanning technique which may be helpful to localize facet joint pathology and is useful in determining which patients are likely to have a response to facet injection. SPECT combines bone scans and CT Scans in looking for facet joint pathology. SPECT can also be used for evaluation of active spondylolysis, occult fracture, or </w:t>
      </w:r>
      <w:r w:rsidRPr="00FC5566">
        <w:rPr>
          <w:kern w:val="2"/>
        </w:rPr>
        <w:lastRenderedPageBreak/>
        <w:t>pseudoarthrosis when x-ray and/or MRI are nondiagnostic or for evaluation of sacroiliac disease.</w:t>
      </w:r>
    </w:p>
    <w:p w14:paraId="35A23CCE"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C.1.g. - C.3.a.i.</w:t>
      </w:r>
      <w:r w:rsidRPr="00FC5566">
        <w:rPr>
          <w:kern w:val="2"/>
        </w:rPr>
        <w:tab/>
        <w:t>...</w:t>
      </w:r>
    </w:p>
    <w:p w14:paraId="2C0382E1" w14:textId="77777777" w:rsidR="00FC5566" w:rsidRPr="00FC5566" w:rsidRDefault="00FC5566" w:rsidP="00FC5566">
      <w:pPr>
        <w:tabs>
          <w:tab w:val="left" w:pos="907"/>
        </w:tabs>
        <w:ind w:firstLine="547"/>
        <w:jc w:val="both"/>
        <w:outlineLvl w:val="5"/>
        <w:rPr>
          <w:kern w:val="2"/>
        </w:rPr>
      </w:pPr>
      <w:r w:rsidRPr="00FC5566">
        <w:rPr>
          <w:kern w:val="2"/>
        </w:rPr>
        <w:t>b.</w:t>
      </w:r>
      <w:r w:rsidRPr="00FC5566">
        <w:rPr>
          <w:kern w:val="2"/>
        </w:rPr>
        <w:tab/>
        <w:t xml:space="preserve">Functional capacity evaluation (FCE) is a comprehensive performance-based medical assessment of an injured worker’s physical and/or cognitive abilities to safely participate in work and other major life activities. An FCE is a complex evaluation and should only be performed by licensed healthcare practitioners who have received additional post-professional training in evidence-based best practices relative to the design, administration, interpretation, and reporting of FCE results in order ensure safety of the injured worker and effective utility of the FCE results. The primary components of an FCE include a review and summary of relevant medical records, intake interview, physical examination, and content-valid functional testing. Healthcare practitioners should continuously monitor heart rate during the administration of functional testing first to ensure patient safety, but also to guide determinations regarding patient effort and physical endurance to tolerate work activities over specified durations based on the Heart Rate Reserve method. Other functional testing endpoints should also be regularly monitored and documented during functional testing include but are not limited to biomechanical and psychophysical signs of exertion. </w:t>
      </w:r>
    </w:p>
    <w:p w14:paraId="1DC0B5A0"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w:t>
      </w:r>
      <w:r w:rsidRPr="00FC5566">
        <w:rPr>
          <w:kern w:val="2"/>
        </w:rPr>
        <w:tab/>
        <w:t xml:space="preserve">There are two primary classifications of FCEs, Job-Specific FCEs and Any-Occupation FCEs. When an FCE is being used to help relevant stakeholders determine if an injured worker can safely return to work in a specific job, the healthcare practitioner (FCE examiner) performing the FCE is responsible for fully understanding the job duties. A Functional Job Analysis may be necessary to help the FCE examiner fully understand the physical demands of the injured worker’s full-duty or modified-duty job. The depth and breadth of an FCE should be determined by the requesting healthcare provider, but in all cases should focus on the worker’s work-related injury or injuries and should predominantly consider the employer’s specific job requirements when determining the focus and extent of the FCE. </w:t>
      </w:r>
    </w:p>
    <w:p w14:paraId="05048455"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ii.</w:t>
      </w:r>
      <w:r w:rsidRPr="00FC5566">
        <w:rPr>
          <w:kern w:val="2"/>
        </w:rPr>
        <w:tab/>
        <w:t xml:space="preserve">Full FCEs are indicated in complex work injury cases where injured workers who are medically stable and have been off for six months or more and report chronic pain and activity limitations that could interfere with their ability to safely return to work. Full FCEs aid in determining endpoint to treatment. Up to a total of eight hours of evaluation time conducted on one day or split over two-days should be authorized for Full FCEs. </w:t>
      </w:r>
    </w:p>
    <w:p w14:paraId="1955761E" w14:textId="77777777" w:rsidR="00FC5566" w:rsidRPr="00FC5566" w:rsidRDefault="00FC5566" w:rsidP="00FC5566">
      <w:pPr>
        <w:tabs>
          <w:tab w:val="left" w:pos="1267"/>
          <w:tab w:val="left" w:pos="4500"/>
          <w:tab w:val="left" w:pos="4680"/>
          <w:tab w:val="left" w:pos="4860"/>
          <w:tab w:val="left" w:pos="5040"/>
          <w:tab w:val="left" w:pos="7200"/>
        </w:tabs>
        <w:ind w:firstLine="907"/>
        <w:jc w:val="both"/>
        <w:outlineLvl w:val="7"/>
        <w:rPr>
          <w:strike/>
          <w:kern w:val="2"/>
        </w:rPr>
      </w:pPr>
      <w:r w:rsidRPr="00FC5566">
        <w:rPr>
          <w:kern w:val="2"/>
        </w:rPr>
        <w:t>(a).</w:t>
      </w:r>
      <w:r w:rsidRPr="00FC5566">
        <w:rPr>
          <w:kern w:val="2"/>
        </w:rPr>
        <w:tab/>
        <w:t>Frequency. Once every 12-month period if the injured worker has not returned to work within that interval or more often if there is a significant change in functional status.</w:t>
      </w:r>
    </w:p>
    <w:p w14:paraId="7EA10A14" w14:textId="77777777" w:rsidR="00FC5566" w:rsidRPr="00FC5566" w:rsidRDefault="00FC5566" w:rsidP="00FC5566">
      <w:pPr>
        <w:tabs>
          <w:tab w:val="left" w:pos="907"/>
        </w:tabs>
        <w:ind w:firstLine="547"/>
        <w:jc w:val="both"/>
        <w:outlineLvl w:val="5"/>
        <w:rPr>
          <w:kern w:val="2"/>
        </w:rPr>
      </w:pPr>
      <w:r w:rsidRPr="00FC5566">
        <w:rPr>
          <w:kern w:val="2"/>
        </w:rPr>
        <w:t>c. - d.i.</w:t>
      </w:r>
      <w:r w:rsidRPr="00FC5566">
        <w:rPr>
          <w:kern w:val="2"/>
        </w:rPr>
        <w:tab/>
        <w:t>...</w:t>
      </w:r>
    </w:p>
    <w:p w14:paraId="030C8F6A" w14:textId="77777777" w:rsidR="00FC5566" w:rsidRPr="00FC5566" w:rsidRDefault="00FC5566" w:rsidP="00FC5566">
      <w:pPr>
        <w:tabs>
          <w:tab w:val="left" w:pos="907"/>
        </w:tabs>
        <w:ind w:firstLine="547"/>
        <w:jc w:val="both"/>
        <w:outlineLvl w:val="5"/>
        <w:rPr>
          <w:kern w:val="2"/>
        </w:rPr>
      </w:pPr>
      <w:r w:rsidRPr="00FC5566">
        <w:rPr>
          <w:kern w:val="2"/>
        </w:rPr>
        <w:t>e.</w:t>
      </w:r>
      <w:r w:rsidRPr="00FC5566">
        <w:rPr>
          <w:kern w:val="2"/>
        </w:rPr>
        <w:tab/>
        <w:t xml:space="preserve">Work Tolerance Screening (Partial FCE): is a limited performance-based medical assessment of an injured worker’s physical and/or cognitive abilities to safely participate in work and other major life activities. Work Tolerance Screenings are indicated as part of a work conditioning evaluation to establish an injured worker’s safe functional baseline prior to beginning the work conditioning program. Work Tolerance screenings are also indicated early on after a work injury to help determine an injured worker’s </w:t>
      </w:r>
      <w:r w:rsidRPr="00FC5566">
        <w:rPr>
          <w:kern w:val="2"/>
        </w:rPr>
        <w:t>safe functional baseline for return to work full-duty or in a modified-duty job. Work Tolerance Screenings can be used initially to determine baseline status and to monitor and assess progress. Up to a total of four hours of evaluation time conducted on one day should be authorized for Work Tolerance Screenings.</w:t>
      </w:r>
    </w:p>
    <w:p w14:paraId="13E68996"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w:t>
      </w:r>
      <w:r w:rsidRPr="00FC5566">
        <w:rPr>
          <w:kern w:val="2"/>
        </w:rPr>
        <w:tab/>
        <w:t>Frequency</w:t>
      </w:r>
      <w:r w:rsidRPr="00FC5566">
        <w:rPr>
          <w:rFonts w:ascii="Cambria Math" w:hAnsi="Cambria Math" w:cs="Cambria Math"/>
          <w:kern w:val="2"/>
        </w:rPr>
        <w:t>⎯</w:t>
      </w:r>
      <w:r w:rsidRPr="00FC5566">
        <w:rPr>
          <w:kern w:val="2"/>
        </w:rPr>
        <w:t xml:space="preserve">Once every four weeks up to a total of six visits. </w:t>
      </w:r>
    </w:p>
    <w:p w14:paraId="0E38FC31" w14:textId="77777777" w:rsidR="00FC5566" w:rsidRPr="00FC5566" w:rsidRDefault="00FC5566" w:rsidP="00FC5566">
      <w:pPr>
        <w:tabs>
          <w:tab w:val="left" w:pos="907"/>
        </w:tabs>
        <w:ind w:firstLine="547"/>
        <w:jc w:val="both"/>
        <w:outlineLvl w:val="5"/>
        <w:rPr>
          <w:kern w:val="2"/>
        </w:rPr>
      </w:pPr>
      <w:r w:rsidRPr="00FC5566">
        <w:rPr>
          <w:kern w:val="2"/>
        </w:rPr>
        <w:t>f.</w:t>
      </w:r>
      <w:r w:rsidRPr="00FC5566">
        <w:rPr>
          <w:kern w:val="2"/>
        </w:rPr>
        <w:tab/>
      </w:r>
      <w:r w:rsidRPr="00FC5566">
        <w:rPr>
          <w:bCs/>
          <w:kern w:val="2"/>
        </w:rPr>
        <w:t>Functional Job Analysis (FJA)</w:t>
      </w:r>
      <w:r w:rsidRPr="00FC5566">
        <w:rPr>
          <w:kern w:val="2"/>
        </w:rPr>
        <w:t>:</w:t>
      </w:r>
      <w:r w:rsidRPr="00FC5566">
        <w:rPr>
          <w:rFonts w:eastAsia="Calibri"/>
          <w:kern w:val="2"/>
        </w:rPr>
        <w:t xml:space="preserve"> </w:t>
      </w:r>
      <w:r w:rsidRPr="00FC5566">
        <w:rPr>
          <w:kern w:val="2"/>
        </w:rPr>
        <w:t xml:space="preserve">is an on-site visit to a job-site for the purpose of quantifying and validating the physical demands of essential functions a full-duty or modified-duty job to facilitate safe return to work. FJA reports should utilize industry standardized physical demand, duration, and frequency terms which have been operationally defined by the U.S. Department of Labor and the American Physical Therapy Association. In addition, the vertical range of lifting and force directions and heights of pushing/pulling forces should be specified for clarity of the physical demands. The results from a FJA should be reviewed not only by an HR manager, but also by a representative sample of incumbent workers to validate that the physical demands of essential functions are job-related and accurate. </w:t>
      </w:r>
    </w:p>
    <w:p w14:paraId="3B2F8CDD"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w:t>
      </w:r>
      <w:r w:rsidRPr="00FC5566">
        <w:rPr>
          <w:kern w:val="2"/>
        </w:rPr>
        <w:tab/>
        <w:t xml:space="preserve">Requests for a Functional Job Analysis should describe the expected goals for the evaluation. Goals may include, but are not limited to the following: </w:t>
      </w:r>
    </w:p>
    <w:p w14:paraId="2A3BC271" w14:textId="77777777" w:rsidR="00FC5566" w:rsidRPr="00FC5566" w:rsidRDefault="00FC5566" w:rsidP="00FC5566">
      <w:pPr>
        <w:tabs>
          <w:tab w:val="left" w:pos="1267"/>
          <w:tab w:val="left" w:pos="4500"/>
          <w:tab w:val="left" w:pos="4680"/>
          <w:tab w:val="left" w:pos="4860"/>
          <w:tab w:val="left" w:pos="5040"/>
          <w:tab w:val="left" w:pos="7200"/>
        </w:tabs>
        <w:ind w:firstLine="907"/>
        <w:jc w:val="both"/>
        <w:outlineLvl w:val="7"/>
        <w:rPr>
          <w:kern w:val="2"/>
        </w:rPr>
      </w:pPr>
      <w:r w:rsidRPr="00FC5566">
        <w:rPr>
          <w:kern w:val="2"/>
        </w:rPr>
        <w:t>(a).</w:t>
      </w:r>
      <w:r w:rsidRPr="00FC5566">
        <w:rPr>
          <w:kern w:val="2"/>
        </w:rPr>
        <w:tab/>
        <w:t xml:space="preserve">to determine if there are potential contributing factors to the person’s condition and/or for the physician to assess causality; </w:t>
      </w:r>
    </w:p>
    <w:p w14:paraId="519F3FD1" w14:textId="77777777" w:rsidR="00FC5566" w:rsidRPr="00FC5566" w:rsidRDefault="00FC5566" w:rsidP="00FC5566">
      <w:pPr>
        <w:tabs>
          <w:tab w:val="left" w:pos="1267"/>
          <w:tab w:val="left" w:pos="4500"/>
          <w:tab w:val="left" w:pos="4680"/>
          <w:tab w:val="left" w:pos="4860"/>
          <w:tab w:val="left" w:pos="5040"/>
          <w:tab w:val="left" w:pos="7200"/>
        </w:tabs>
        <w:ind w:firstLine="907"/>
        <w:jc w:val="both"/>
        <w:outlineLvl w:val="7"/>
        <w:rPr>
          <w:kern w:val="2"/>
        </w:rPr>
      </w:pPr>
      <w:r w:rsidRPr="00FC5566">
        <w:rPr>
          <w:kern w:val="2"/>
        </w:rPr>
        <w:t>(b).</w:t>
      </w:r>
      <w:r w:rsidRPr="00FC5566">
        <w:rPr>
          <w:kern w:val="2"/>
        </w:rPr>
        <w:tab/>
        <w:t xml:space="preserve">to make recommendations for, and to assess the potential for ergonomic changes; </w:t>
      </w:r>
    </w:p>
    <w:p w14:paraId="65601BCD" w14:textId="77777777" w:rsidR="00FC5566" w:rsidRPr="00FC5566" w:rsidRDefault="00FC5566" w:rsidP="00FC5566">
      <w:pPr>
        <w:tabs>
          <w:tab w:val="left" w:pos="1267"/>
          <w:tab w:val="left" w:pos="4500"/>
          <w:tab w:val="left" w:pos="4680"/>
          <w:tab w:val="left" w:pos="4860"/>
          <w:tab w:val="left" w:pos="5040"/>
          <w:tab w:val="left" w:pos="7200"/>
        </w:tabs>
        <w:ind w:firstLine="907"/>
        <w:jc w:val="both"/>
        <w:outlineLvl w:val="7"/>
        <w:rPr>
          <w:kern w:val="2"/>
        </w:rPr>
      </w:pPr>
      <w:r w:rsidRPr="00FC5566">
        <w:rPr>
          <w:kern w:val="2"/>
        </w:rPr>
        <w:t>(c).</w:t>
      </w:r>
      <w:r w:rsidRPr="00FC5566">
        <w:rPr>
          <w:kern w:val="2"/>
        </w:rPr>
        <w:tab/>
        <w:t>to determine the essential demands of the job;</w:t>
      </w:r>
    </w:p>
    <w:p w14:paraId="33177060" w14:textId="77777777" w:rsidR="00FC5566" w:rsidRPr="00FC5566" w:rsidRDefault="00FC5566" w:rsidP="00FC5566">
      <w:pPr>
        <w:tabs>
          <w:tab w:val="left" w:pos="1267"/>
          <w:tab w:val="left" w:pos="4500"/>
          <w:tab w:val="left" w:pos="4680"/>
          <w:tab w:val="left" w:pos="4860"/>
          <w:tab w:val="left" w:pos="5040"/>
          <w:tab w:val="left" w:pos="7200"/>
        </w:tabs>
        <w:ind w:firstLine="907"/>
        <w:jc w:val="both"/>
        <w:outlineLvl w:val="7"/>
        <w:rPr>
          <w:kern w:val="2"/>
        </w:rPr>
      </w:pPr>
      <w:r w:rsidRPr="00FC5566">
        <w:rPr>
          <w:kern w:val="2"/>
        </w:rPr>
        <w:t>(d).</w:t>
      </w:r>
      <w:r w:rsidRPr="00FC5566">
        <w:rPr>
          <w:kern w:val="2"/>
        </w:rPr>
        <w:tab/>
        <w:t xml:space="preserve">to provide a detailed description of the physical and cognitive job requirements; </w:t>
      </w:r>
    </w:p>
    <w:p w14:paraId="253ED1BE" w14:textId="77777777" w:rsidR="00FC5566" w:rsidRPr="00FC5566" w:rsidRDefault="00FC5566" w:rsidP="00FC5566">
      <w:pPr>
        <w:tabs>
          <w:tab w:val="left" w:pos="1267"/>
          <w:tab w:val="left" w:pos="4500"/>
          <w:tab w:val="left" w:pos="4680"/>
          <w:tab w:val="left" w:pos="4860"/>
          <w:tab w:val="left" w:pos="5040"/>
          <w:tab w:val="left" w:pos="7200"/>
        </w:tabs>
        <w:ind w:firstLine="907"/>
        <w:jc w:val="both"/>
        <w:outlineLvl w:val="7"/>
        <w:rPr>
          <w:kern w:val="2"/>
        </w:rPr>
      </w:pPr>
      <w:r w:rsidRPr="00FC5566">
        <w:rPr>
          <w:kern w:val="2"/>
        </w:rPr>
        <w:t>(e).</w:t>
      </w:r>
      <w:r w:rsidRPr="00FC5566">
        <w:rPr>
          <w:kern w:val="2"/>
        </w:rPr>
        <w:tab/>
        <w:t xml:space="preserve">to assist the patient in their return-to-work by educating them on how they may be able to do their job more safely and in a more bio-mechanically appropriate manner; </w:t>
      </w:r>
    </w:p>
    <w:p w14:paraId="760128B5" w14:textId="77777777" w:rsidR="00FC5566" w:rsidRPr="00FC5566" w:rsidRDefault="00FC5566" w:rsidP="00FC5566">
      <w:pPr>
        <w:tabs>
          <w:tab w:val="left" w:pos="1267"/>
          <w:tab w:val="left" w:pos="4500"/>
          <w:tab w:val="left" w:pos="4680"/>
          <w:tab w:val="left" w:pos="4860"/>
          <w:tab w:val="left" w:pos="5040"/>
          <w:tab w:val="left" w:pos="7200"/>
        </w:tabs>
        <w:ind w:firstLine="907"/>
        <w:jc w:val="both"/>
        <w:outlineLvl w:val="7"/>
        <w:rPr>
          <w:kern w:val="2"/>
        </w:rPr>
      </w:pPr>
      <w:r w:rsidRPr="00FC5566">
        <w:rPr>
          <w:kern w:val="2"/>
        </w:rPr>
        <w:t>(f).</w:t>
      </w:r>
      <w:r w:rsidRPr="00FC5566">
        <w:rPr>
          <w:kern w:val="2"/>
        </w:rPr>
        <w:tab/>
        <w:t xml:space="preserve">to give detailed work/activity restrictions. </w:t>
      </w:r>
    </w:p>
    <w:p w14:paraId="25839AEC"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ii.</w:t>
      </w:r>
      <w:r w:rsidRPr="00FC5566">
        <w:rPr>
          <w:kern w:val="2"/>
        </w:rPr>
        <w:tab/>
        <w:t>Frequency: One time with additional visits as needed for follow-up per job-site.</w:t>
      </w:r>
    </w:p>
    <w:p w14:paraId="44DB0A41"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 xml:space="preserve">Promulgated in accordance with R.S. 23:1203.1. </w:t>
      </w:r>
    </w:p>
    <w:p w14:paraId="22253422"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Louisiana Workforce Commission, Office of Workers Compensation Administration, LR 37:1658 (June 2011), amended by the Louisiana Workforce Commission, Office of Workers Compensation, LR 40:1137 (June 2014), LR 46:1246 (September 2020), LR 49:519 (March 2023), amended by the Louisiana Works, Office of Workers Compensation Administration, LR 52:1359 (August 2026).</w:t>
      </w:r>
    </w:p>
    <w:p w14:paraId="084DD200"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§2021.</w:t>
      </w:r>
      <w:r w:rsidRPr="00FC5566">
        <w:rPr>
          <w:b/>
          <w:kern w:val="2"/>
        </w:rPr>
        <w:tab/>
        <w:t>Therapeutic Procedures</w:t>
      </w:r>
      <w:r w:rsidRPr="00FC5566">
        <w:rPr>
          <w:rFonts w:ascii="Cambria Math" w:hAnsi="Cambria Math" w:cs="Cambria Math"/>
          <w:b/>
          <w:kern w:val="2"/>
        </w:rPr>
        <w:t>⎯</w:t>
      </w:r>
      <w:r w:rsidRPr="00FC5566">
        <w:rPr>
          <w:b/>
          <w:kern w:val="2"/>
        </w:rPr>
        <w:t>Non-Operative</w:t>
      </w:r>
    </w:p>
    <w:p w14:paraId="2C7DEEB7"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H.3.</w:t>
      </w:r>
      <w:r w:rsidRPr="00FC5566">
        <w:rPr>
          <w:kern w:val="2"/>
        </w:rPr>
        <w:tab/>
        <w:t>...</w:t>
      </w:r>
    </w:p>
    <w:p w14:paraId="763BBC77" w14:textId="77777777" w:rsidR="00FC5566" w:rsidRPr="00FC5566" w:rsidRDefault="00FC5566" w:rsidP="00FC5566">
      <w:pPr>
        <w:tabs>
          <w:tab w:val="left" w:pos="907"/>
        </w:tabs>
        <w:ind w:firstLine="547"/>
        <w:jc w:val="both"/>
        <w:outlineLvl w:val="5"/>
        <w:rPr>
          <w:kern w:val="2"/>
        </w:rPr>
      </w:pPr>
      <w:r w:rsidRPr="00FC5566">
        <w:rPr>
          <w:kern w:val="2"/>
        </w:rPr>
        <w:t>a.</w:t>
      </w:r>
      <w:r w:rsidRPr="00FC5566">
        <w:rPr>
          <w:kern w:val="2"/>
        </w:rPr>
        <w:tab/>
        <w:t>Therapeutic Spinal Injections. Description</w:t>
      </w:r>
      <w:r w:rsidRPr="00FC5566">
        <w:rPr>
          <w:rFonts w:ascii="Cambria Math" w:hAnsi="Cambria Math" w:cs="Cambria Math"/>
          <w:kern w:val="2"/>
        </w:rPr>
        <w:t>—</w:t>
      </w:r>
      <w:r w:rsidRPr="00FC5566">
        <w:rPr>
          <w:kern w:val="2"/>
        </w:rPr>
        <w:t xml:space="preserve">Therapeutic spinal injections may be used after initial conservative treatments, such as physical and occupational therapy, medication, manual therapy, exercise, acupuncture, etc., have been undertaken. Therapeutic injections should be used only after imaging studies have established pathology. Injections are invasive procedures that can cause serious complications; thus clinical indications and contraindications should be closely adhered to. The purpose of spinal injections is to facilitate active therapy by providing short-term relief through reduction of pain and inflammation. All patients should continue appropriate exercise with functionally directed rehabilitation. Active treatment, which patients </w:t>
      </w:r>
      <w:r w:rsidRPr="00FC5566">
        <w:rPr>
          <w:kern w:val="2"/>
        </w:rPr>
        <w:lastRenderedPageBreak/>
        <w:t>should have had prior to injections, will frequently require a repeat of the sessions previously ordered (Refer to Active Therapy). Injections, by themselves, are not likely to provide long-term relief. Rather, active rehabilitation with modified work achieves long-term relief by increasing active ROM, strength, and stability. Subjective reports of pain response (via a recognized pain scale) and function should be considered and given relative weight when the pain has anatomic and physiologic correlation. Anatomic correlation must be based on objective findings.</w:t>
      </w:r>
    </w:p>
    <w:p w14:paraId="6CBA2733"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H.3.a.i. - H.3.b.iv.</w:t>
      </w:r>
      <w:r w:rsidRPr="00FC5566">
        <w:rPr>
          <w:kern w:val="2"/>
        </w:rPr>
        <w:tab/>
        <w:t>...</w:t>
      </w:r>
    </w:p>
    <w:p w14:paraId="3C7EC70A" w14:textId="77777777" w:rsidR="00FC5566" w:rsidRPr="00FC5566" w:rsidRDefault="00FC5566" w:rsidP="00FC5566">
      <w:pPr>
        <w:tabs>
          <w:tab w:val="left" w:pos="1267"/>
          <w:tab w:val="left" w:pos="4500"/>
          <w:tab w:val="left" w:pos="4680"/>
          <w:tab w:val="left" w:pos="4860"/>
          <w:tab w:val="left" w:pos="5040"/>
          <w:tab w:val="left" w:pos="7200"/>
        </w:tabs>
        <w:ind w:firstLine="907"/>
        <w:jc w:val="both"/>
        <w:outlineLvl w:val="7"/>
        <w:rPr>
          <w:kern w:val="2"/>
        </w:rPr>
      </w:pPr>
      <w:r w:rsidRPr="00FC5566">
        <w:rPr>
          <w:kern w:val="2"/>
        </w:rPr>
        <w:t>(a).</w:t>
      </w:r>
      <w:r w:rsidRPr="00FC5566">
        <w:rPr>
          <w:kern w:val="2"/>
        </w:rPr>
        <w:tab/>
        <w:t>Epidural injections may be used for radicular pain or radiculopathy.</w:t>
      </w:r>
      <w:r w:rsidRPr="00FC5566">
        <w:rPr>
          <w:kern w:val="2"/>
          <w:bdr w:val="none" w:sz="0" w:space="0" w:color="auto" w:frame="1"/>
        </w:rPr>
        <w:t xml:space="preserve"> </w:t>
      </w:r>
      <w:r w:rsidRPr="00FC5566">
        <w:rPr>
          <w:kern w:val="2"/>
        </w:rPr>
        <w:t>If the first injection does not provide a diagnostic response with temporary and sustained pain relief (at least two to six weeks) substantiated by accepted pain scales (i.e., 50 percent pain reduction as measured by tools such as VAS), and improvement in function, similar injections should not be repeated. No more than two levels may be injected in one session. If there is not a minimum of 50 percent pain reduction as measured by a numerical pain index scale and documented functional improvement, similar injections should not be repeated, although the practitioner may want to consider a different approach or different level depending on the pathology. Maximum of two series (six months apart) of three effective pain-relieving injections may be done in one year based upon the patient’s response to pain and function.</w:t>
      </w:r>
    </w:p>
    <w:p w14:paraId="66A699AE"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H.3.b.iv.(b). - H.14.a.</w:t>
      </w:r>
      <w:r w:rsidRPr="00FC5566">
        <w:rPr>
          <w:kern w:val="2"/>
        </w:rPr>
        <w:tab/>
        <w:t>...</w:t>
      </w:r>
    </w:p>
    <w:p w14:paraId="20629A41"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 xml:space="preserve">Promulgated in accordance with R.S. 23:1203.1. </w:t>
      </w:r>
    </w:p>
    <w:p w14:paraId="01C474A0"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Louisiana Workforce Commission, Office of Workers Compensation Administration, LR 37:1664 (June 2011), amended by the Louisiana Workforce Commission, Office of Workers Compensation, LR 40:1140 (June 2014), LR 46:1452 (September 2020), LR 49:520 (March 2023), LR 50:692 (May 2024), amended by the Louisiana Works, Office of Workers Compensation Administration, LR 52:1360 (August 2026).</w:t>
      </w:r>
    </w:p>
    <w:p w14:paraId="68BADCC3"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Chapter 21.</w:t>
      </w:r>
      <w:r w:rsidRPr="00FC5566">
        <w:rPr>
          <w:b/>
          <w:kern w:val="2"/>
        </w:rPr>
        <w:tab/>
        <w:t>Pain Medical Treatment Guidelines</w:t>
      </w:r>
    </w:p>
    <w:p w14:paraId="63B41F59"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Subchapter A.</w:t>
      </w:r>
      <w:r w:rsidRPr="00FC5566">
        <w:rPr>
          <w:b/>
          <w:kern w:val="2"/>
        </w:rPr>
        <w:tab/>
        <w:t>Chronic Pain Disorder Medical Treatment Guidelines</w:t>
      </w:r>
    </w:p>
    <w:p w14:paraId="10238981"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§2103.</w:t>
      </w:r>
      <w:r w:rsidRPr="00FC5566">
        <w:rPr>
          <w:b/>
          <w:kern w:val="2"/>
        </w:rPr>
        <w:tab/>
        <w:t>General Guideline Principles</w:t>
      </w:r>
    </w:p>
    <w:p w14:paraId="3E5ECA1E"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A.11.</w:t>
      </w:r>
      <w:r w:rsidRPr="00FC5566">
        <w:rPr>
          <w:kern w:val="2"/>
        </w:rPr>
        <w:tab/>
        <w:t>...</w:t>
      </w:r>
    </w:p>
    <w:p w14:paraId="557CB9D6"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12.</w:t>
      </w:r>
      <w:r w:rsidRPr="00FC5566">
        <w:rPr>
          <w:kern w:val="2"/>
        </w:rPr>
        <w:tab/>
        <w:t xml:space="preserve">Return to Work. Return to work is therapeutic, assuming the work is not likely to aggravate the basic problem or increase long-term pain. Even if there is residual chronic pain, return-to-work is not necessarily contraindicated and can prevent delayed recovery and unnecessary disability. Employers should proactively have written job descriptions and job analyses in place and in sufficient detail to assist the return-to-work process. Practitioners should understand all the physical demands of an injured worker’s full-duty job or a proposed modified-duty job before allowing the injured worker to return to work. Practitioners should seek clarification about an injured worker’s full-duty or modified-duty job duties when there is insufficient information on job descriptions or job analysis for the practitioner to make an informed decision about an injured worker’s ability to safely return to work. Clarification about specific job demands should be obtained from multiple sources if indicated including a designated employer representative, the injured </w:t>
      </w:r>
      <w:r w:rsidRPr="00FC5566">
        <w:rPr>
          <w:kern w:val="2"/>
        </w:rPr>
        <w:br w:type="column"/>
      </w:r>
      <w:r w:rsidRPr="00FC5566">
        <w:rPr>
          <w:kern w:val="2"/>
        </w:rPr>
        <w:t>worker, and the U.S. Department of Labor. A functional job analysis may also be requested if specific physical demand job requirements are needed. The practitioner must provide specific written functional limitations, and the injured worker should never be released to “sedentary” or “light duty.” Practitioners should consider an injured worker’s safe functional abilities and functional limitations when addressing return to work. These factors include driving, sitting, standing/walking, lifting/carrying, pushing/pulling, climbing stairs/ramps, climbing ladders/equipment, stooping, kneeling crouching, crawling, reaching, gross manipulation, fine manipulation, and keyboarding. Practitioners should also consider other factors such as vision or hearing requirements, awkward and/or sustained postures, repetitive motion tasks, sustained grip, tool usage, vibration factors, and environmental conditions (e.g. working in hot or cold environments).</w:t>
      </w:r>
    </w:p>
    <w:p w14:paraId="2CF237E3"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A.13. - B.</w:t>
      </w:r>
      <w:r w:rsidRPr="00FC5566">
        <w:rPr>
          <w:kern w:val="2"/>
        </w:rPr>
        <w:tab/>
        <w:t>...</w:t>
      </w:r>
    </w:p>
    <w:p w14:paraId="6356BD94"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 xml:space="preserve">Promulgated in accordance with R.S. 23:1203.1. </w:t>
      </w:r>
    </w:p>
    <w:p w14:paraId="11B3C6DD"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Louisiana Workforce Commission, Office of Workers Compensation Administration, LR 37:1682 (June 2011), amended by the Louisiana Workforce Commission, Office of Workers Compensation, LR 40:1155 (June 2014), amended LR 46:194 (February 2020), amended by the Louisiana Works, Office of Workers Compensation Administration, LR 52:1361 (August 2026).</w:t>
      </w:r>
    </w:p>
    <w:p w14:paraId="38E0B592"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§2109.</w:t>
      </w:r>
      <w:r w:rsidRPr="00FC5566">
        <w:rPr>
          <w:b/>
          <w:kern w:val="2"/>
        </w:rPr>
        <w:tab/>
        <w:t>Initial Evaluation and Diagnostic Procedures</w:t>
      </w:r>
    </w:p>
    <w:p w14:paraId="1FA27F1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A.6.a.i.</w:t>
      </w:r>
      <w:r w:rsidRPr="00FC5566">
        <w:rPr>
          <w:kern w:val="2"/>
        </w:rPr>
        <w:tab/>
        <w:t>...</w:t>
      </w:r>
    </w:p>
    <w:p w14:paraId="37F2D2DA" w14:textId="77777777" w:rsidR="00FC5566" w:rsidRPr="00FC5566" w:rsidRDefault="00FC5566" w:rsidP="00FC5566">
      <w:pPr>
        <w:tabs>
          <w:tab w:val="left" w:pos="907"/>
        </w:tabs>
        <w:ind w:firstLine="547"/>
        <w:jc w:val="both"/>
        <w:outlineLvl w:val="5"/>
        <w:rPr>
          <w:kern w:val="2"/>
        </w:rPr>
      </w:pPr>
      <w:r w:rsidRPr="00FC5566">
        <w:rPr>
          <w:kern w:val="2"/>
        </w:rPr>
        <w:t>b.</w:t>
      </w:r>
      <w:r w:rsidRPr="00FC5566">
        <w:rPr>
          <w:kern w:val="2"/>
        </w:rPr>
        <w:tab/>
        <w:t xml:space="preserve">Functional Capacity Evaluation (FCE): is a comprehensive performance-based medical assessment of an injured worker’s physical and/or cognitive abilities to safely participate in work and other major life activities. An FCE is a complex evaluation and should only be performed by licensed healthcare practitioners who have received additional post-professional training in evidence-based best practices relative to the design, administration, interpretation, and reporting of FCE results in order ensure safety of the injured worker and effective utility of the FCE results. The primary components of an FCE include a review and summary of relevant medical records, intake interview, physical examination, and content-valid functional testing. Healthcare practitioners should continuously monitor heart rate during the administration of functional testing first to ensure patient safety, but also to guide determinations regarding patient effort and physical endurance to tolerate work activities over specified durations based on the Heart Rate Reserve method. Other functional testing endpoints should also be regularly monitored and documented during functional testing include but are not limited to biomechanical and psychophysical signs of exertion. </w:t>
      </w:r>
    </w:p>
    <w:p w14:paraId="798FB6D4"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w:t>
      </w:r>
      <w:r w:rsidRPr="00FC5566">
        <w:rPr>
          <w:kern w:val="2"/>
        </w:rPr>
        <w:tab/>
        <w:t xml:space="preserve">There are two primary classifications of FCEs, Job-Specific FCEs and Any-Occupation FCEs. When an FCE is being used to help relevant stakeholders determine if an injured worker can safely return to work in a specific job, the healthcare practitioner (FCE examiner) performing the FCE is responsible for fully understanding the job duties. A Functional Job Analysis may be necessary to help the FCE examiner fully understand the physical demands of the injured worker’s full-duty or modified-duty job. The depth and breadth of an FCE should be determined by the requesting </w:t>
      </w:r>
      <w:r w:rsidRPr="00FC5566">
        <w:rPr>
          <w:kern w:val="2"/>
        </w:rPr>
        <w:br w:type="page"/>
      </w:r>
    </w:p>
    <w:p w14:paraId="1965E7B7"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strike/>
          <w:kern w:val="2"/>
        </w:rPr>
      </w:pPr>
      <w:r w:rsidRPr="00FC5566">
        <w:rPr>
          <w:kern w:val="2"/>
        </w:rPr>
        <w:lastRenderedPageBreak/>
        <w:t xml:space="preserve">healthcare provider, but in all cases should focus on the worker’s work-related injury or injuries and should predominantly consider the employer’s specific job requirements when determining the focus and extent of the FCE. </w:t>
      </w:r>
    </w:p>
    <w:p w14:paraId="75772554"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strike/>
          <w:kern w:val="2"/>
        </w:rPr>
      </w:pPr>
      <w:r w:rsidRPr="00FC5566">
        <w:rPr>
          <w:kern w:val="2"/>
        </w:rPr>
        <w:tab/>
        <w:t>ii.</w:t>
      </w:r>
      <w:r w:rsidRPr="00FC5566">
        <w:rPr>
          <w:kern w:val="2"/>
        </w:rPr>
        <w:tab/>
        <w:t>Full FCEs are indicated in complex work injury cases where injured workers who are medically stable and have been off for six months or more and report chronic pain and activity limitations that could interfere with their ability to safely return to work. Full FCEs aid in determining endpoint to treatment. Up to a total of eight hours of evaluation time conducted on one day or split over two-days should be authorized for Full FCEs.</w:t>
      </w:r>
    </w:p>
    <w:p w14:paraId="76DFFD26"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strike/>
          <w:kern w:val="2"/>
        </w:rPr>
      </w:pPr>
      <w:r w:rsidRPr="00FC5566">
        <w:rPr>
          <w:kern w:val="2"/>
        </w:rPr>
        <w:tab/>
        <w:t>iii.</w:t>
      </w:r>
      <w:r w:rsidRPr="00FC5566">
        <w:rPr>
          <w:kern w:val="2"/>
        </w:rPr>
        <w:tab/>
        <w:t>Frequency: Once every 12-month period if the injured worker has not returned to work within that interval or more often if there is a significant change in functional status.</w:t>
      </w:r>
    </w:p>
    <w:p w14:paraId="09FFA1E7" w14:textId="77777777" w:rsidR="00FC5566" w:rsidRPr="00FC5566" w:rsidRDefault="00FC5566" w:rsidP="00FC5566">
      <w:pPr>
        <w:tabs>
          <w:tab w:val="left" w:pos="907"/>
        </w:tabs>
        <w:ind w:firstLine="547"/>
        <w:jc w:val="both"/>
        <w:outlineLvl w:val="5"/>
        <w:rPr>
          <w:kern w:val="2"/>
        </w:rPr>
      </w:pPr>
      <w:r w:rsidRPr="00FC5566">
        <w:rPr>
          <w:kern w:val="2"/>
        </w:rPr>
        <w:t>c.</w:t>
      </w:r>
      <w:r w:rsidRPr="00FC5566">
        <w:rPr>
          <w:kern w:val="2"/>
        </w:rPr>
        <w:tab/>
        <w:t>Functional Job Analysis (FJA): is an on-site visit to a job-site for the purpose of quantifying and validating the physical demands of essential functions a full-duty or modified-duty job to facilitate safe return to work. FJA reports should utilize industry standardized physical demand, duration, and frequency terms which have been operationally defined by the U.S. Department of Labor and the American Physical Therapy Association. In addition, the vertical range of lifting and force directions and heights of pushing/pulling forces should be specified for clarity of the physical demands. The results from a FJA should be reviewed not only by an HR manager, but also by a representative sample of incumbent workers to validate that the physical demands of essential functions are job-related and accurate.</w:t>
      </w:r>
    </w:p>
    <w:p w14:paraId="2EF2E194"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w:t>
      </w:r>
      <w:r w:rsidRPr="00FC5566">
        <w:rPr>
          <w:kern w:val="2"/>
        </w:rPr>
        <w:tab/>
        <w:t>Requests for a Functional Job Analysis should describe the expected goals for the evaluation. Goals may include, but are not limited to the following:</w:t>
      </w:r>
    </w:p>
    <w:p w14:paraId="36C4A942" w14:textId="77777777" w:rsidR="00FC5566" w:rsidRPr="00FC5566" w:rsidRDefault="00FC5566" w:rsidP="00FC5566">
      <w:pPr>
        <w:tabs>
          <w:tab w:val="left" w:pos="1267"/>
          <w:tab w:val="left" w:pos="4500"/>
          <w:tab w:val="left" w:pos="4680"/>
          <w:tab w:val="left" w:pos="4860"/>
          <w:tab w:val="left" w:pos="5040"/>
          <w:tab w:val="left" w:pos="7200"/>
        </w:tabs>
        <w:ind w:firstLine="907"/>
        <w:jc w:val="both"/>
        <w:outlineLvl w:val="7"/>
        <w:rPr>
          <w:kern w:val="2"/>
        </w:rPr>
      </w:pPr>
      <w:r w:rsidRPr="00FC5566">
        <w:rPr>
          <w:kern w:val="2"/>
        </w:rPr>
        <w:tab/>
        <w:t xml:space="preserve">(a). to determine if there are potential contributing factors to the person’s condition and/or for the physician to assess causality; </w:t>
      </w:r>
    </w:p>
    <w:p w14:paraId="319E0F30" w14:textId="77777777" w:rsidR="00FC5566" w:rsidRPr="00FC5566" w:rsidRDefault="00FC5566" w:rsidP="00FC5566">
      <w:pPr>
        <w:tabs>
          <w:tab w:val="left" w:pos="1267"/>
          <w:tab w:val="left" w:pos="4500"/>
          <w:tab w:val="left" w:pos="4680"/>
          <w:tab w:val="left" w:pos="4860"/>
          <w:tab w:val="left" w:pos="5040"/>
          <w:tab w:val="left" w:pos="7200"/>
        </w:tabs>
        <w:ind w:firstLine="907"/>
        <w:jc w:val="both"/>
        <w:outlineLvl w:val="7"/>
        <w:rPr>
          <w:kern w:val="2"/>
        </w:rPr>
      </w:pPr>
      <w:r w:rsidRPr="00FC5566">
        <w:rPr>
          <w:kern w:val="2"/>
        </w:rPr>
        <w:tab/>
        <w:t xml:space="preserve">(b). to make recommendations for, and to assess the potential for ergonomic changes; </w:t>
      </w:r>
    </w:p>
    <w:p w14:paraId="17B95F7C" w14:textId="77777777" w:rsidR="00FC5566" w:rsidRPr="00FC5566" w:rsidRDefault="00FC5566" w:rsidP="00FC5566">
      <w:pPr>
        <w:tabs>
          <w:tab w:val="left" w:pos="1267"/>
          <w:tab w:val="left" w:pos="4500"/>
          <w:tab w:val="left" w:pos="4680"/>
          <w:tab w:val="left" w:pos="4860"/>
          <w:tab w:val="left" w:pos="5040"/>
          <w:tab w:val="left" w:pos="7200"/>
        </w:tabs>
        <w:ind w:firstLine="907"/>
        <w:jc w:val="both"/>
        <w:outlineLvl w:val="7"/>
        <w:rPr>
          <w:kern w:val="2"/>
        </w:rPr>
      </w:pPr>
      <w:r w:rsidRPr="00FC5566">
        <w:rPr>
          <w:kern w:val="2"/>
        </w:rPr>
        <w:tab/>
        <w:t xml:space="preserve">(c). to determine the essential demands of the job; </w:t>
      </w:r>
    </w:p>
    <w:p w14:paraId="3D90D09E" w14:textId="77777777" w:rsidR="00FC5566" w:rsidRPr="00FC5566" w:rsidRDefault="00FC5566" w:rsidP="00FC5566">
      <w:pPr>
        <w:tabs>
          <w:tab w:val="left" w:pos="1267"/>
          <w:tab w:val="left" w:pos="4500"/>
          <w:tab w:val="left" w:pos="4680"/>
          <w:tab w:val="left" w:pos="4860"/>
          <w:tab w:val="left" w:pos="5040"/>
          <w:tab w:val="left" w:pos="7200"/>
        </w:tabs>
        <w:ind w:firstLine="907"/>
        <w:jc w:val="both"/>
        <w:outlineLvl w:val="7"/>
        <w:rPr>
          <w:kern w:val="2"/>
        </w:rPr>
      </w:pPr>
      <w:r w:rsidRPr="00FC5566">
        <w:rPr>
          <w:kern w:val="2"/>
        </w:rPr>
        <w:tab/>
        <w:t xml:space="preserve">(d). to provide a detailed description of the physical and cognitive job requirements; </w:t>
      </w:r>
    </w:p>
    <w:p w14:paraId="77A01C8E" w14:textId="77777777" w:rsidR="00FC5566" w:rsidRPr="00FC5566" w:rsidRDefault="00FC5566" w:rsidP="00FC5566">
      <w:pPr>
        <w:tabs>
          <w:tab w:val="left" w:pos="1267"/>
          <w:tab w:val="left" w:pos="4500"/>
          <w:tab w:val="left" w:pos="4680"/>
          <w:tab w:val="left" w:pos="4860"/>
          <w:tab w:val="left" w:pos="5040"/>
          <w:tab w:val="left" w:pos="7200"/>
        </w:tabs>
        <w:ind w:firstLine="907"/>
        <w:jc w:val="both"/>
        <w:outlineLvl w:val="7"/>
        <w:rPr>
          <w:kern w:val="2"/>
        </w:rPr>
      </w:pPr>
      <w:r w:rsidRPr="00FC5566">
        <w:rPr>
          <w:kern w:val="2"/>
        </w:rPr>
        <w:tab/>
        <w:t xml:space="preserve">(e). to assist the patient in their return-to-work by educating them on how they may be able to do their job more safely and in a more bio-mechanically appropriate manner; </w:t>
      </w:r>
    </w:p>
    <w:p w14:paraId="547467A6" w14:textId="77777777" w:rsidR="00FC5566" w:rsidRPr="00FC5566" w:rsidRDefault="00FC5566" w:rsidP="00FC5566">
      <w:pPr>
        <w:tabs>
          <w:tab w:val="left" w:pos="1267"/>
          <w:tab w:val="left" w:pos="4500"/>
          <w:tab w:val="left" w:pos="4680"/>
          <w:tab w:val="left" w:pos="4860"/>
          <w:tab w:val="left" w:pos="5040"/>
          <w:tab w:val="left" w:pos="7200"/>
        </w:tabs>
        <w:ind w:firstLine="907"/>
        <w:jc w:val="both"/>
        <w:outlineLvl w:val="7"/>
        <w:rPr>
          <w:kern w:val="2"/>
        </w:rPr>
      </w:pPr>
      <w:r w:rsidRPr="00FC5566">
        <w:rPr>
          <w:kern w:val="2"/>
        </w:rPr>
        <w:tab/>
        <w:t>(f). to give detailed work/activity restrictions.</w:t>
      </w:r>
    </w:p>
    <w:p w14:paraId="10B93315"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ii.</w:t>
      </w:r>
      <w:r w:rsidRPr="00FC5566">
        <w:rPr>
          <w:kern w:val="2"/>
        </w:rPr>
        <w:tab/>
        <w:t>Frequency: One time with additional visits as needed for follow-up per job-site.</w:t>
      </w:r>
    </w:p>
    <w:p w14:paraId="2BE9760F" w14:textId="77777777" w:rsidR="00FC5566" w:rsidRPr="00FC5566" w:rsidRDefault="00FC5566" w:rsidP="00FC5566">
      <w:pPr>
        <w:tabs>
          <w:tab w:val="left" w:pos="907"/>
        </w:tabs>
        <w:ind w:firstLine="547"/>
        <w:jc w:val="both"/>
        <w:outlineLvl w:val="5"/>
        <w:rPr>
          <w:strike/>
          <w:kern w:val="2"/>
        </w:rPr>
      </w:pPr>
      <w:r w:rsidRPr="00FC5566">
        <w:rPr>
          <w:kern w:val="2"/>
        </w:rPr>
        <w:t>d. - d.i.</w:t>
      </w:r>
      <w:r w:rsidRPr="00FC5566">
        <w:rPr>
          <w:kern w:val="2"/>
        </w:rPr>
        <w:tab/>
        <w:t>...</w:t>
      </w:r>
    </w:p>
    <w:p w14:paraId="3662F797" w14:textId="77777777" w:rsidR="00FC5566" w:rsidRPr="00FC5566" w:rsidRDefault="00FC5566" w:rsidP="00FC5566">
      <w:pPr>
        <w:tabs>
          <w:tab w:val="left" w:pos="907"/>
        </w:tabs>
        <w:ind w:firstLine="547"/>
        <w:jc w:val="both"/>
        <w:outlineLvl w:val="5"/>
        <w:rPr>
          <w:kern w:val="2"/>
        </w:rPr>
      </w:pPr>
      <w:r w:rsidRPr="00FC5566">
        <w:rPr>
          <w:kern w:val="2"/>
        </w:rPr>
        <w:t>e.</w:t>
      </w:r>
      <w:r w:rsidRPr="00FC5566">
        <w:rPr>
          <w:kern w:val="2"/>
        </w:rPr>
        <w:tab/>
        <w:t xml:space="preserve">Work tolerance screening (Partial FCE): is a limited performance-based medical assessment of an injured worker’s physical and/or cognitive abilities to safely participate in work and other major life activities. Work Tolerance Screenings are indicated as part of a work conditioning evaluation to establish an injured worker’s safe functional baseline prior to beginning the work conditioning program. Work Tolerance screenings are also indicated early on after a work injury to help determine an injured worker’s safe functional baseline for return to work full-duty or in a </w:t>
      </w:r>
      <w:r w:rsidRPr="00FC5566">
        <w:rPr>
          <w:kern w:val="2"/>
        </w:rPr>
        <w:br w:type="column"/>
      </w:r>
      <w:r w:rsidRPr="00FC5566">
        <w:rPr>
          <w:kern w:val="2"/>
        </w:rPr>
        <w:t>modified-duty job. Work Tolerance Screenings can be used initially to determine baseline status and to monitor and assess progress. Up to a total of four hours of evaluation time conducted on one day should be authorized for Work Tolerance Screenings.</w:t>
      </w:r>
    </w:p>
    <w:p w14:paraId="0DC1230A"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w:t>
      </w:r>
      <w:r w:rsidRPr="00FC5566">
        <w:rPr>
          <w:kern w:val="2"/>
        </w:rPr>
        <w:tab/>
        <w:t xml:space="preserve">Frequency. Once every four weeks up to a total of six visits. </w:t>
      </w:r>
    </w:p>
    <w:p w14:paraId="4569FF8A"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23:1203.1.</w:t>
      </w:r>
    </w:p>
    <w:p w14:paraId="0E7D20DC"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Louisiana Workforce Commission, Office of Workers Compensation Administration, LR 37:1685 (June 2011), amended LR 46:199 (February 2020), amended by the Louisiana Works, Office of Workers Compensation Administration, LR 52:1361 (August 2026). .</w:t>
      </w:r>
    </w:p>
    <w:p w14:paraId="71625596"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Subchapter B.</w:t>
      </w:r>
      <w:r w:rsidRPr="00FC5566">
        <w:rPr>
          <w:b/>
          <w:kern w:val="2"/>
        </w:rPr>
        <w:tab/>
        <w:t>Complex Regional Pain Syndrome</w:t>
      </w:r>
    </w:p>
    <w:p w14:paraId="647A4823"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§2119.</w:t>
      </w:r>
      <w:r w:rsidRPr="00FC5566">
        <w:rPr>
          <w:b/>
          <w:kern w:val="2"/>
        </w:rPr>
        <w:tab/>
        <w:t>General Guideline Principles</w:t>
      </w:r>
    </w:p>
    <w:p w14:paraId="422E4F3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A.10.</w:t>
      </w:r>
      <w:r w:rsidRPr="00FC5566">
        <w:rPr>
          <w:kern w:val="2"/>
        </w:rPr>
        <w:tab/>
        <w:t>...</w:t>
      </w:r>
    </w:p>
    <w:p w14:paraId="05A2BFEA"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11.</w:t>
      </w:r>
      <w:r w:rsidRPr="00FC5566">
        <w:rPr>
          <w:kern w:val="2"/>
        </w:rPr>
        <w:tab/>
        <w:t>Return to Work. Return to work is therapeutic, assuming the work is not likely to aggravate the basic problem or increase long-term pain. Even if there is residual chronic pain, return-to-work is not necessarily contraindicated and can prevent delayed recovery and unnecessary disability. Employers should proactively have written job descriptions and job analyses in place and in sufficient detail to assist the return-to-work process. Practitioners should understand all the physical demands of an injured worker’s full-duty job or a proposed modified-duty job before allowing the injured worker to return to work. Practitioners should seek clarification about an injured worker’s full-duty or modified-duty job duties when there is insufficient information on job descriptions or job analysis for the practitioner to make an informed decision about an injured worker’s ability to safely return to work. Clarification about specific job demands should be obtained from multiple sources if indicated including a designated employer representative, the injured worker, and the U.S. Department of Labor. A functional job analysis may also be requested if specific physical demand job requirements are needed. The practitioner must provide specific written functional limitations, and the injured worker should never be released to “sedentary” or “light duty.” Practitioners should consider an injured worker’s safe functional abilities and functional limitations when addressing return to work. These factors include driving, sitting, standing/walking, lifting/carrying, pushing/pulling, climbing stairs/ramps, climbing ladders/equipment, stooping, kneeling crouching, crawling, reaching, gross manipulation, fine manipulation, and keyboarding. Practitioners should also consider other factors such as vision or hearing requirements, awkward and/or sustained postures, repetitive motion tasks, sustained grip, tool usage, vibration factors, and environmental conditions (e.g. working in hot or cold environments).</w:t>
      </w:r>
    </w:p>
    <w:p w14:paraId="4FA924EF"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A.12. - B.</w:t>
      </w:r>
      <w:r w:rsidRPr="00FC5566">
        <w:rPr>
          <w:kern w:val="2"/>
        </w:rPr>
        <w:tab/>
        <w:t>...</w:t>
      </w:r>
    </w:p>
    <w:p w14:paraId="26FAD61E"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 xml:space="preserve">Promulgated in accordance with R.S. 23:1203.1. </w:t>
      </w:r>
    </w:p>
    <w:p w14:paraId="7FF508F2"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Louisiana Workforce Commission, Office of Workers Compensation Administration, LR 37:1716 (June 2011), amended by the Louisiana Workforce Commission, Office of Workers Compensation, LR 40:1157 (June 2014), amended LR 46:253 (February 2020), amended by the Louisiana Works, Office of Workers Compensation Administration, LR 52:1362 (August 2026).</w:t>
      </w:r>
    </w:p>
    <w:p w14:paraId="76653A20"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lastRenderedPageBreak/>
        <w:t>Chapter 22.</w:t>
      </w:r>
      <w:r w:rsidRPr="00FC5566">
        <w:rPr>
          <w:b/>
          <w:kern w:val="2"/>
        </w:rPr>
        <w:tab/>
        <w:t>Neurological and Neuromuscular Disorder Medical Treatment Guidelines</w:t>
      </w:r>
    </w:p>
    <w:p w14:paraId="2473D48A"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Subchapter A.</w:t>
      </w:r>
      <w:r w:rsidRPr="00FC5566">
        <w:rPr>
          <w:b/>
          <w:kern w:val="2"/>
        </w:rPr>
        <w:tab/>
        <w:t>Carpal Tunnel Syndrome (CTS) Medical Treatment Guidelines</w:t>
      </w:r>
    </w:p>
    <w:p w14:paraId="0AAD6FCD"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§2203.</w:t>
      </w:r>
      <w:r w:rsidRPr="00FC5566">
        <w:rPr>
          <w:b/>
          <w:kern w:val="2"/>
        </w:rPr>
        <w:tab/>
        <w:t>General Guideline Principles</w:t>
      </w:r>
    </w:p>
    <w:p w14:paraId="3AA6D1C2"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A.11.</w:t>
      </w:r>
      <w:r w:rsidRPr="00FC5566">
        <w:rPr>
          <w:kern w:val="2"/>
        </w:rPr>
        <w:tab/>
        <w:t>...</w:t>
      </w:r>
    </w:p>
    <w:p w14:paraId="2CC9C17D"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12.</w:t>
      </w:r>
      <w:r w:rsidRPr="00FC5566">
        <w:rPr>
          <w:kern w:val="2"/>
        </w:rPr>
        <w:tab/>
        <w:t>Return to Work. Return to work is therapeutic, assuming the work is not likely to aggravate the basic problem or increase long-term pain. Even if there is residual chronic pain, return-to-work is not necessarily contraindicated and can prevent delayed recovery and unnecessary disability. Employers should proactively have written job descriptions and job analyses in place and in sufficient detail to assist the return-to-work process. Practitioners should understand all the physical demands of an injured worker’s full-duty job or a proposed modified-duty job before allowing the injured worker to return to work. Practitioners should seek clarification about an injured worker’s full-duty or modified-duty job duties when there is insufficient information on job descriptions or job analysis for the practitioner to make an informed decision about an injured worker’s ability to safely return to work. Clarification about specific job demands should be obtained from multiple sources if indicated including a designated employer representative, the injured worker, and the U.S. Department of Labor. A functional job analysis may also be requested if specific physical demand job requirements are needed. The practitioner must provide specific written functional limitations, and the injured worker should never be released to “sedentary” or “light duty.” Practitioners should consider an injured worker’s safe functional abilities and functional limitations when addressing return to work. These factors include driving, sitting, standing/walking, lifting/carrying, pushing/pulling, climbing stairs/ramps, climbing ladders/equipment, stooping, kneeling crouching, crawling, reaching, gross manipulation, fine manipulation, and keyboarding. Practitioners should also consider other factors such as vision or hearing requirements, awkward and/or sustained postures, repetitive motion tasks, sustained grip, tool usage, vibration factors, and environmental conditions (e.g. working in hot or cold environments).</w:t>
      </w:r>
    </w:p>
    <w:p w14:paraId="5310B339"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A.13. - B.</w:t>
      </w:r>
      <w:r w:rsidRPr="00FC5566">
        <w:rPr>
          <w:kern w:val="2"/>
        </w:rPr>
        <w:tab/>
        <w:t>...</w:t>
      </w:r>
    </w:p>
    <w:p w14:paraId="42B8713E"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 xml:space="preserve">Promulgated in accordance with R.S. 23:1203.1. </w:t>
      </w:r>
    </w:p>
    <w:p w14:paraId="38DD21B4"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 xml:space="preserve">Promulgated by the Louisiana Workforce Commission, Office of Workers Compensation Administration, LR 37:1736 (June 2011), amended by the Louisiana Workforce Commission, Office of Workers Compensation, LR 40:1158 (June 2014), LR 47:1653 (November 2021), amended by the Louisiana Works, Office of Workers Compensation Administration, LR 52:1363 (August 2026). </w:t>
      </w:r>
    </w:p>
    <w:p w14:paraId="1662C97D"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§2209.</w:t>
      </w:r>
      <w:r w:rsidRPr="00FC5566">
        <w:rPr>
          <w:b/>
          <w:kern w:val="2"/>
        </w:rPr>
        <w:tab/>
        <w:t>Follow-Up Diagnostic Testing Procedures</w:t>
      </w:r>
    </w:p>
    <w:p w14:paraId="66D884BE"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D.1.d.</w:t>
      </w:r>
      <w:r w:rsidRPr="00FC5566">
        <w:rPr>
          <w:kern w:val="2"/>
        </w:rPr>
        <w:tab/>
        <w:t>...</w:t>
      </w:r>
    </w:p>
    <w:p w14:paraId="1B69600A"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w:t>
      </w:r>
      <w:r w:rsidRPr="00FC5566">
        <w:rPr>
          <w:kern w:val="2"/>
        </w:rPr>
        <w:tab/>
        <w:t xml:space="preserve">Functional Job Analysis (FJA): is an on-site visit to a job site for the purpose of quantifying and validating the physical demands of essential functions a full-duty or modified-duty job to facilitate safe return to work. FJA reports should utilize industry standardized physical demand, duration, and frequency terms which have been operationally defined by the U.S. Department of Labor and the American Physical Therapy Association. In addition, the vertical range of lifting and force directions and heights of pushing/pulling </w:t>
      </w:r>
      <w:r w:rsidRPr="00FC5566">
        <w:rPr>
          <w:kern w:val="2"/>
        </w:rPr>
        <w:br w:type="column"/>
      </w:r>
      <w:r w:rsidRPr="00FC5566">
        <w:rPr>
          <w:kern w:val="2"/>
        </w:rPr>
        <w:t xml:space="preserve">forces should be specified for clarity of the physical demands. The results from a FJA should be reviewed not only by an HR manager, but also by a representative sample of incumbent workers to validate that the physical demands of essential functions are job-related and accurate. </w:t>
      </w:r>
    </w:p>
    <w:p w14:paraId="34963281" w14:textId="77777777" w:rsidR="00FC5566" w:rsidRPr="00FC5566" w:rsidRDefault="00FC5566" w:rsidP="00FC5566">
      <w:pPr>
        <w:tabs>
          <w:tab w:val="left" w:pos="1267"/>
          <w:tab w:val="left" w:pos="4500"/>
          <w:tab w:val="left" w:pos="4680"/>
          <w:tab w:val="left" w:pos="4860"/>
          <w:tab w:val="left" w:pos="5040"/>
          <w:tab w:val="left" w:pos="7200"/>
        </w:tabs>
        <w:ind w:firstLine="907"/>
        <w:jc w:val="both"/>
        <w:outlineLvl w:val="7"/>
        <w:rPr>
          <w:strike/>
          <w:kern w:val="2"/>
        </w:rPr>
      </w:pPr>
      <w:r w:rsidRPr="00FC5566">
        <w:rPr>
          <w:kern w:val="2"/>
        </w:rPr>
        <w:t>(a).</w:t>
      </w:r>
      <w:r w:rsidRPr="00FC5566">
        <w:rPr>
          <w:kern w:val="2"/>
        </w:rPr>
        <w:tab/>
        <w:t xml:space="preserve">Requests for a Functional Job Analysis should describe the expected goals for the evaluation. Goals may include, but are not limited to the following: </w:t>
      </w:r>
    </w:p>
    <w:p w14:paraId="011C54A9" w14:textId="77777777" w:rsidR="00FC5566" w:rsidRPr="00FC5566" w:rsidRDefault="00FC5566" w:rsidP="00FC5566">
      <w:pPr>
        <w:tabs>
          <w:tab w:val="decimal" w:pos="1440"/>
          <w:tab w:val="left" w:pos="1728"/>
        </w:tabs>
        <w:jc w:val="both"/>
        <w:outlineLvl w:val="8"/>
        <w:rPr>
          <w:kern w:val="2"/>
        </w:rPr>
      </w:pPr>
      <w:r w:rsidRPr="00FC5566">
        <w:rPr>
          <w:kern w:val="2"/>
        </w:rPr>
        <w:tab/>
        <w:t>(i).</w:t>
      </w:r>
      <w:r w:rsidRPr="00FC5566">
        <w:rPr>
          <w:kern w:val="2"/>
        </w:rPr>
        <w:tab/>
        <w:t xml:space="preserve">to determine if there are potential contributing factors to the person’s condition and/or for the physician to assess causality; </w:t>
      </w:r>
    </w:p>
    <w:p w14:paraId="36E88A0C" w14:textId="77777777" w:rsidR="00FC5566" w:rsidRPr="00FC5566" w:rsidRDefault="00FC5566" w:rsidP="00FC5566">
      <w:pPr>
        <w:tabs>
          <w:tab w:val="decimal" w:pos="1440"/>
          <w:tab w:val="left" w:pos="1728"/>
        </w:tabs>
        <w:jc w:val="both"/>
        <w:outlineLvl w:val="8"/>
        <w:rPr>
          <w:kern w:val="2"/>
        </w:rPr>
      </w:pPr>
      <w:r w:rsidRPr="00FC5566">
        <w:rPr>
          <w:kern w:val="2"/>
        </w:rPr>
        <w:tab/>
        <w:t>(ii).</w:t>
      </w:r>
      <w:r w:rsidRPr="00FC5566">
        <w:rPr>
          <w:kern w:val="2"/>
        </w:rPr>
        <w:tab/>
        <w:t xml:space="preserve">to make recommendations for, and to assess the potential for ergonomic changes; </w:t>
      </w:r>
    </w:p>
    <w:p w14:paraId="1204C01C" w14:textId="77777777" w:rsidR="00FC5566" w:rsidRPr="00FC5566" w:rsidRDefault="00FC5566" w:rsidP="00FC5566">
      <w:pPr>
        <w:tabs>
          <w:tab w:val="decimal" w:pos="1440"/>
          <w:tab w:val="left" w:pos="1728"/>
        </w:tabs>
        <w:jc w:val="both"/>
        <w:outlineLvl w:val="8"/>
        <w:rPr>
          <w:kern w:val="2"/>
        </w:rPr>
      </w:pPr>
      <w:r w:rsidRPr="00FC5566">
        <w:rPr>
          <w:kern w:val="2"/>
        </w:rPr>
        <w:tab/>
        <w:t>(iii).</w:t>
      </w:r>
      <w:r w:rsidRPr="00FC5566">
        <w:rPr>
          <w:kern w:val="2"/>
        </w:rPr>
        <w:tab/>
        <w:t>to determine the essential demands of the job;</w:t>
      </w:r>
    </w:p>
    <w:p w14:paraId="5B4AB7A1" w14:textId="77777777" w:rsidR="00FC5566" w:rsidRPr="00FC5566" w:rsidRDefault="00FC5566" w:rsidP="00FC5566">
      <w:pPr>
        <w:tabs>
          <w:tab w:val="decimal" w:pos="1440"/>
          <w:tab w:val="left" w:pos="1728"/>
        </w:tabs>
        <w:jc w:val="both"/>
        <w:outlineLvl w:val="8"/>
        <w:rPr>
          <w:kern w:val="2"/>
        </w:rPr>
      </w:pPr>
      <w:r w:rsidRPr="00FC5566">
        <w:rPr>
          <w:kern w:val="2"/>
        </w:rPr>
        <w:tab/>
        <w:t>(iv).</w:t>
      </w:r>
      <w:r w:rsidRPr="00FC5566">
        <w:rPr>
          <w:kern w:val="2"/>
        </w:rPr>
        <w:tab/>
        <w:t xml:space="preserve">to provide a detailed description of the physical and cognitive job requirements; </w:t>
      </w:r>
    </w:p>
    <w:p w14:paraId="5C7383F0" w14:textId="77777777" w:rsidR="00FC5566" w:rsidRPr="00FC5566" w:rsidRDefault="00FC5566" w:rsidP="00FC5566">
      <w:pPr>
        <w:tabs>
          <w:tab w:val="decimal" w:pos="1440"/>
          <w:tab w:val="left" w:pos="1728"/>
        </w:tabs>
        <w:jc w:val="both"/>
        <w:outlineLvl w:val="8"/>
        <w:rPr>
          <w:kern w:val="2"/>
        </w:rPr>
      </w:pPr>
      <w:r w:rsidRPr="00FC5566">
        <w:rPr>
          <w:kern w:val="2"/>
        </w:rPr>
        <w:tab/>
        <w:t>(v).</w:t>
      </w:r>
      <w:r w:rsidRPr="00FC5566">
        <w:rPr>
          <w:kern w:val="2"/>
        </w:rPr>
        <w:tab/>
        <w:t xml:space="preserve">to assist the patient in their return-to-work by educating them on how they may be able to do their job more safely and in a more bio-mechanically appropriate manner; </w:t>
      </w:r>
    </w:p>
    <w:p w14:paraId="56996FF8" w14:textId="77777777" w:rsidR="00FC5566" w:rsidRPr="00FC5566" w:rsidRDefault="00FC5566" w:rsidP="00FC5566">
      <w:pPr>
        <w:tabs>
          <w:tab w:val="decimal" w:pos="1440"/>
          <w:tab w:val="left" w:pos="1728"/>
        </w:tabs>
        <w:jc w:val="both"/>
        <w:outlineLvl w:val="8"/>
        <w:rPr>
          <w:kern w:val="2"/>
        </w:rPr>
      </w:pPr>
      <w:r w:rsidRPr="00FC5566">
        <w:rPr>
          <w:kern w:val="2"/>
        </w:rPr>
        <w:tab/>
        <w:t>(vi).</w:t>
      </w:r>
      <w:r w:rsidRPr="00FC5566">
        <w:rPr>
          <w:kern w:val="2"/>
        </w:rPr>
        <w:tab/>
        <w:t xml:space="preserve">to give detailed work/activity restrictions. </w:t>
      </w:r>
    </w:p>
    <w:p w14:paraId="57695881" w14:textId="77777777" w:rsidR="00FC5566" w:rsidRPr="00FC5566" w:rsidRDefault="00FC5566" w:rsidP="00FC5566">
      <w:pPr>
        <w:tabs>
          <w:tab w:val="left" w:pos="1267"/>
          <w:tab w:val="left" w:pos="4500"/>
          <w:tab w:val="left" w:pos="4680"/>
          <w:tab w:val="left" w:pos="4860"/>
          <w:tab w:val="left" w:pos="5040"/>
          <w:tab w:val="left" w:pos="7200"/>
        </w:tabs>
        <w:ind w:firstLine="907"/>
        <w:jc w:val="both"/>
        <w:outlineLvl w:val="7"/>
        <w:rPr>
          <w:kern w:val="2"/>
        </w:rPr>
      </w:pPr>
      <w:r w:rsidRPr="00FC5566">
        <w:rPr>
          <w:kern w:val="2"/>
        </w:rPr>
        <w:t>(b).</w:t>
      </w:r>
      <w:r w:rsidRPr="00FC5566">
        <w:rPr>
          <w:kern w:val="2"/>
        </w:rPr>
        <w:tab/>
        <w:t>Frequency: One time with additional visits as needed for follow-up per job site.</w:t>
      </w:r>
    </w:p>
    <w:p w14:paraId="7F753DC7"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ii.</w:t>
      </w:r>
      <w:r w:rsidRPr="00FC5566">
        <w:rPr>
          <w:kern w:val="2"/>
        </w:rPr>
        <w:tab/>
        <w:t xml:space="preserve">Functional Capacity Evaluation (FCE): is a comprehensive performance-based medical assessment of an injured worker’s physical and/or cognitive abilities to safely participate in work and other major life activities. An FCE is a complex evaluation and should only be performed by licensed healthcare practitioners who have received additional post-professional training in evidence-based best practices relative to the design, administration, interpretation, and reporting of FCE results in order ensure safety of the injured worker and effective utility of the FCE results. The primary components of an FCE include a review and summary of relevant medical records, intake interview, physical examination, and content-valid functional testing. Healthcare practitioners should continuously monitor heart rate during the administration of functional testing first to ensure patient safety, but also to guide determinations regarding patient effort and physical endurance to tolerate work activities over specified durations based on the Heart Rate Reserve method. Other functional testing endpoints should also be regularly monitored and documented during functional testing include but are not limited to biomechanical and psychophysical signs of exertion. </w:t>
      </w:r>
    </w:p>
    <w:p w14:paraId="4FCFF13B" w14:textId="77777777" w:rsidR="00FC5566" w:rsidRPr="00FC5566" w:rsidRDefault="00FC5566" w:rsidP="00FC5566">
      <w:pPr>
        <w:tabs>
          <w:tab w:val="left" w:pos="1267"/>
          <w:tab w:val="left" w:pos="4500"/>
          <w:tab w:val="left" w:pos="4680"/>
          <w:tab w:val="left" w:pos="4860"/>
          <w:tab w:val="left" w:pos="5040"/>
          <w:tab w:val="left" w:pos="7200"/>
        </w:tabs>
        <w:ind w:firstLine="907"/>
        <w:jc w:val="both"/>
        <w:outlineLvl w:val="7"/>
        <w:rPr>
          <w:kern w:val="2"/>
        </w:rPr>
      </w:pPr>
      <w:r w:rsidRPr="00FC5566">
        <w:rPr>
          <w:kern w:val="2"/>
        </w:rPr>
        <w:t>(a).</w:t>
      </w:r>
      <w:r w:rsidRPr="00FC5566">
        <w:rPr>
          <w:kern w:val="2"/>
        </w:rPr>
        <w:tab/>
        <w:t xml:space="preserve">There are two primary classifications of FCEs, Job-Specific FCEs and Any-Occupation FCEs. When an FCE is being used to help relevant stakeholders determine if an injured worker can safely return to work in a specific job, the healthcare practitioner (FCE examiner) performing the FCE is responsible for fully understanding the job duties. A Functional Job Analysis may be necessary to help the FCE examiner fully understand the physical demands of the injured worker’s full-duty or modified-duty job. The depth and breadth of an FCE should be determined by the requesting healthcare provider, but in all cases should focus on the worker’s work-related injury or injuries and should predominantly consider the employer’s specific job requirements when determining the focus and extent of the FCE. </w:t>
      </w:r>
    </w:p>
    <w:p w14:paraId="77663AAC" w14:textId="77777777" w:rsidR="00FC5566" w:rsidRPr="00FC5566" w:rsidRDefault="00FC5566" w:rsidP="00FC5566">
      <w:pPr>
        <w:tabs>
          <w:tab w:val="left" w:pos="1267"/>
          <w:tab w:val="left" w:pos="4500"/>
          <w:tab w:val="left" w:pos="4680"/>
          <w:tab w:val="left" w:pos="4860"/>
          <w:tab w:val="left" w:pos="5040"/>
          <w:tab w:val="left" w:pos="7200"/>
        </w:tabs>
        <w:ind w:firstLine="907"/>
        <w:jc w:val="both"/>
        <w:outlineLvl w:val="7"/>
        <w:rPr>
          <w:kern w:val="2"/>
        </w:rPr>
      </w:pPr>
      <w:r w:rsidRPr="00FC5566">
        <w:rPr>
          <w:kern w:val="2"/>
        </w:rPr>
        <w:lastRenderedPageBreak/>
        <w:t>(b).</w:t>
      </w:r>
      <w:r w:rsidRPr="00FC5566">
        <w:rPr>
          <w:kern w:val="2"/>
        </w:rPr>
        <w:tab/>
        <w:t xml:space="preserve">Full FCEs are indicated in complex work injury cases where injured workers who are medically stable and have been off for six months or more and report chronic pain and activity limitations that could interfere with their ability to safely return to work. Full FCEs aid in determining endpoint to treatment. Up to a total of eight hours of evaluation time conducted on one day or split over two days should be authorized for Full FCEs. </w:t>
      </w:r>
    </w:p>
    <w:p w14:paraId="27E5DB50" w14:textId="77777777" w:rsidR="00FC5566" w:rsidRPr="00FC5566" w:rsidRDefault="00FC5566" w:rsidP="00FC5566">
      <w:pPr>
        <w:tabs>
          <w:tab w:val="left" w:pos="1267"/>
          <w:tab w:val="left" w:pos="4500"/>
          <w:tab w:val="left" w:pos="4680"/>
          <w:tab w:val="left" w:pos="4860"/>
          <w:tab w:val="left" w:pos="5040"/>
          <w:tab w:val="left" w:pos="7200"/>
        </w:tabs>
        <w:ind w:firstLine="907"/>
        <w:jc w:val="both"/>
        <w:outlineLvl w:val="7"/>
        <w:rPr>
          <w:kern w:val="2"/>
        </w:rPr>
      </w:pPr>
      <w:r w:rsidRPr="00FC5566">
        <w:rPr>
          <w:kern w:val="2"/>
        </w:rPr>
        <w:t>(c).</w:t>
      </w:r>
      <w:r w:rsidRPr="00FC5566">
        <w:rPr>
          <w:kern w:val="2"/>
        </w:rPr>
        <w:tab/>
        <w:t>Frequency: Once every 12-month period if the injured worker has not returned to work within that interval or more often if there is a significant change in functional status.</w:t>
      </w:r>
    </w:p>
    <w:p w14:paraId="381B453C" w14:textId="77777777" w:rsidR="00FC5566" w:rsidRPr="00FC5566" w:rsidRDefault="00FC5566" w:rsidP="00FC5566">
      <w:pPr>
        <w:tabs>
          <w:tab w:val="decimal" w:pos="806"/>
          <w:tab w:val="left" w:pos="1080"/>
          <w:tab w:val="left" w:pos="1800"/>
          <w:tab w:val="left" w:pos="4680"/>
          <w:tab w:val="left" w:pos="4860"/>
          <w:tab w:val="left" w:pos="5040"/>
          <w:tab w:val="left" w:pos="7200"/>
        </w:tabs>
        <w:jc w:val="both"/>
        <w:outlineLvl w:val="5"/>
        <w:rPr>
          <w:kern w:val="2"/>
        </w:rPr>
      </w:pPr>
      <w:r w:rsidRPr="00FC5566">
        <w:rPr>
          <w:kern w:val="2"/>
        </w:rPr>
        <w:tab/>
        <w:t>iii. - iii.(a).</w:t>
      </w:r>
      <w:r w:rsidRPr="00FC5566">
        <w:rPr>
          <w:kern w:val="2"/>
        </w:rPr>
        <w:tab/>
        <w:t>...</w:t>
      </w:r>
    </w:p>
    <w:p w14:paraId="093BD8FB"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iv.</w:t>
      </w:r>
      <w:r w:rsidRPr="00FC5566">
        <w:rPr>
          <w:kern w:val="2"/>
        </w:rPr>
        <w:tab/>
        <w:t>Work Tolerance Screening (Partial FCE): is a limited performance-based medical assessment of an injured worker’s physical and/or cognitive abilities to safely participate in work and other major life activities. Work Tolerance Screenings are indicated as part of a work conditioning evaluation to establish an injured worker’s safe functional baseline prior to beginning the work conditioning program. Work Tolerance screenings are also indicated early on after a work injury to help determine an injured worker’s safe functional baseline for return to work full-duty or in a modified-duty job. Work Tolerance Screenings can be used initially to determine baseline status and to monitor and assess progress. Up to a total of four hours of evaluation time conducted on one day should be authorized for Work Tolerance Screenings.</w:t>
      </w:r>
    </w:p>
    <w:p w14:paraId="57FFC1EA" w14:textId="77777777" w:rsidR="00FC5566" w:rsidRPr="00FC5566" w:rsidRDefault="00FC5566" w:rsidP="00FC5566">
      <w:pPr>
        <w:tabs>
          <w:tab w:val="left" w:pos="1267"/>
          <w:tab w:val="left" w:pos="4500"/>
          <w:tab w:val="left" w:pos="4680"/>
          <w:tab w:val="left" w:pos="4860"/>
          <w:tab w:val="left" w:pos="5040"/>
          <w:tab w:val="left" w:pos="7200"/>
        </w:tabs>
        <w:ind w:firstLine="907"/>
        <w:jc w:val="both"/>
        <w:outlineLvl w:val="7"/>
        <w:rPr>
          <w:kern w:val="2"/>
        </w:rPr>
      </w:pPr>
      <w:r w:rsidRPr="00FC5566">
        <w:rPr>
          <w:kern w:val="2"/>
        </w:rPr>
        <w:t>(a).</w:t>
      </w:r>
      <w:r w:rsidRPr="00FC5566">
        <w:rPr>
          <w:kern w:val="2"/>
        </w:rPr>
        <w:tab/>
        <w:t>Frequency: Once every four weeks up to a total of six visits.</w:t>
      </w:r>
    </w:p>
    <w:p w14:paraId="09BF18B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 xml:space="preserve">Promulgated in accordance with R.S. 23:1203.1. </w:t>
      </w:r>
    </w:p>
    <w:p w14:paraId="0323A469"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Louisiana Workforce Commission, Office of Workers Compensation Administration, LR 37:1740 (June 2011), LR 47:1654 (November 2021), amended by the Louisiana Works, Office of Workers Compensation Administration, LR 52:1363 (August 2026).</w:t>
      </w:r>
    </w:p>
    <w:p w14:paraId="0966FCA8"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Subchapter B.</w:t>
      </w:r>
      <w:r w:rsidRPr="00FC5566">
        <w:rPr>
          <w:b/>
          <w:kern w:val="2"/>
        </w:rPr>
        <w:tab/>
        <w:t>Thoracic Outlet Syndrome</w:t>
      </w:r>
    </w:p>
    <w:p w14:paraId="4EF76876"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§2217.</w:t>
      </w:r>
      <w:r w:rsidRPr="00FC5566">
        <w:rPr>
          <w:b/>
          <w:kern w:val="2"/>
        </w:rPr>
        <w:tab/>
        <w:t>General Guidelines Principles</w:t>
      </w:r>
    </w:p>
    <w:p w14:paraId="046F66E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A.11.</w:t>
      </w:r>
      <w:r w:rsidRPr="00FC5566">
        <w:rPr>
          <w:kern w:val="2"/>
        </w:rPr>
        <w:tab/>
        <w:t>...</w:t>
      </w:r>
    </w:p>
    <w:p w14:paraId="40CA7F22"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12.</w:t>
      </w:r>
      <w:r w:rsidRPr="00FC5566">
        <w:rPr>
          <w:kern w:val="2"/>
        </w:rPr>
        <w:tab/>
        <w:t xml:space="preserve">Return to Work. Return to work is therapeutic, assuming the work is not likely to aggravate the basic problem or increase long-term pain. Even if there is residual chronic pain, return-to-work is not necessarily contraindicated and can prevent delayed recovery and unnecessary disability. Employers should proactively have written job descriptions and job analyses in place and in sufficient detail to assist the return-to-work process. Practitioners should understand all the physical demands of an injured worker’s full-duty job or a proposed modified-duty job before allowing the injured worker to return to work. Practitioners should seek clarification about an injured worker’s full-duty or modified-duty job duties when there is insufficient information on job descriptions or job analysis for the practitioner to make an informed decision about an injured worker’s ability to safely return to work. Clarification about specific job demands should be obtained from multiple sources if indicated including a designated employer representative, the injured worker, and the U.S. Department of Labor. A functional job analysis may also be requested if specific physical demand job requirements are needed. The practitioner must provide specific written functional limitations, and the injured worker </w:t>
      </w:r>
      <w:r w:rsidRPr="00FC5566">
        <w:rPr>
          <w:kern w:val="2"/>
        </w:rPr>
        <w:br w:type="column"/>
      </w:r>
      <w:r w:rsidRPr="00FC5566">
        <w:rPr>
          <w:kern w:val="2"/>
        </w:rPr>
        <w:t>should never be released to “sedentary” or “light duty.” Practitioners should consider an injured worker’s safe functional abilities and functional limitations when addressing return to work. These factors include driving, sitting, standing/walking, lifting/carrying, pushing/pulling, climbing stairs/ramps, climbing ladders/equipment, stooping, kneeling crouching, crawling, reaching, gross manipulation, fine manipulation, and keyboarding. Practitioners should also consider other factors such as vision or hearing requirements, awkward and/or sustained postures, repetitive motion tasks, sustained grip, tool usage, vibration factors, and environmental conditions (e.g. working in hot or cold environments).</w:t>
      </w:r>
    </w:p>
    <w:p w14:paraId="337C1A70"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A.13. - B.</w:t>
      </w:r>
      <w:r w:rsidRPr="00FC5566">
        <w:rPr>
          <w:kern w:val="2"/>
        </w:rPr>
        <w:tab/>
        <w:t>...</w:t>
      </w:r>
    </w:p>
    <w:p w14:paraId="3B0F016C"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 xml:space="preserve">Promulgated in accordance with R.S. 23:1203.1. </w:t>
      </w:r>
    </w:p>
    <w:p w14:paraId="49B651B1"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Louisiana Workforce Commission, Office of Workers Compensation Administration, LR 37:1750 (June 2011), amended by the Louisiana Workforce Commission, Office of Workers Compensation, LR 40:1159 (June 2014), LR 47:1656 (November 2021), amended by the Louisiana Works, Office of Workers Compensation Administration, LR 52:1364 (August 2026).</w:t>
      </w:r>
    </w:p>
    <w:p w14:paraId="7268DBC0"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§2223.</w:t>
      </w:r>
      <w:r w:rsidRPr="00FC5566">
        <w:rPr>
          <w:b/>
          <w:kern w:val="2"/>
        </w:rPr>
        <w:tab/>
        <w:t>Follow-up Diagnostic Imaging and Testing Procedures</w:t>
      </w:r>
    </w:p>
    <w:p w14:paraId="3BC33688"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G.1.a.</w:t>
      </w:r>
      <w:r w:rsidRPr="00FC5566">
        <w:rPr>
          <w:kern w:val="2"/>
        </w:rPr>
        <w:tab/>
        <w:t>...</w:t>
      </w:r>
    </w:p>
    <w:p w14:paraId="4B0FDAE5"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 xml:space="preserve">2. Functional capacity evaluation (FCE) is a comprehensive performance-based medical assessment of an injured worker’s physical and/or cognitive abilities to safely participate in work and other major life activities. An FCE is a complex evaluation and should only be performed by licensed healthcare practitioners who have received additional post-professional training in evidence-based best practices relative to the design, administration, interpretation, and reporting of FCE results in order ensure safety of the injured worker and effective utility of the FCE results. The primary components of an FCE include a review and summary of relevant medical records, intake interview, physical examination, and content-valid functional testing. Healthcare practitioners should continuously monitor heart rate during the administration of functional testing first to ensure patient safety, but also to guide determinations regarding patient effort and physical endurance to tolerate work activities over specified durations based on the Heart Rate Reserve method. Other functional testing endpoints should also be regularly monitored and documented during functional testing include but are not limited to biomechanical and psychophysical signs of exertion. </w:t>
      </w:r>
    </w:p>
    <w:p w14:paraId="3A4D54B7" w14:textId="77777777" w:rsidR="00FC5566" w:rsidRPr="00FC5566" w:rsidRDefault="00FC5566" w:rsidP="00FC5566">
      <w:pPr>
        <w:tabs>
          <w:tab w:val="left" w:pos="907"/>
        </w:tabs>
        <w:ind w:firstLine="547"/>
        <w:jc w:val="both"/>
        <w:outlineLvl w:val="5"/>
        <w:rPr>
          <w:kern w:val="2"/>
        </w:rPr>
      </w:pPr>
      <w:r w:rsidRPr="00FC5566">
        <w:rPr>
          <w:kern w:val="2"/>
        </w:rPr>
        <w:t>a.</w:t>
      </w:r>
      <w:r w:rsidRPr="00FC5566">
        <w:rPr>
          <w:kern w:val="2"/>
        </w:rPr>
        <w:tab/>
        <w:t xml:space="preserve">There are two primary classifications of FCEs, Job-Specific FCEs and Any-Occupation FCEs. When an FCE is being used to help relevant stakeholders determine if an injured worker can safely return to work in a specific job, the healthcare practitioner (FCE examiner) performing the FCE is responsible for fully understanding the job duties. A Functional Job Analysis may be necessary to help the FCE examiner fully understand the physical demands of the injured worker’s full-duty or modified-duty job. The depth and breadth of an FCE should be determined by the requesting healthcare provider, but in all cases should focus on the worker’s work-related injury or injuries and should predominantly consider the employer’s specific job requirements when determining the focus and extent of the FCE. </w:t>
      </w:r>
    </w:p>
    <w:p w14:paraId="43B7BBEF" w14:textId="77777777" w:rsidR="00FC5566" w:rsidRPr="00FC5566" w:rsidRDefault="00FC5566" w:rsidP="00FC5566">
      <w:pPr>
        <w:tabs>
          <w:tab w:val="left" w:pos="907"/>
        </w:tabs>
        <w:ind w:firstLine="547"/>
        <w:jc w:val="both"/>
        <w:outlineLvl w:val="5"/>
        <w:rPr>
          <w:kern w:val="2"/>
        </w:rPr>
      </w:pPr>
      <w:r w:rsidRPr="00FC5566">
        <w:rPr>
          <w:kern w:val="2"/>
        </w:rPr>
        <w:lastRenderedPageBreak/>
        <w:t>b.</w:t>
      </w:r>
      <w:r w:rsidRPr="00FC5566">
        <w:rPr>
          <w:kern w:val="2"/>
        </w:rPr>
        <w:tab/>
        <w:t xml:space="preserve">Full FCEs are indicated in complex work injury cases where injured workers who are medically stable and have been off for six months or more and report chronic pain and activity limitations that could interfere with their ability to safely return to work. Full FCEs aid in determining endpoint to treatment. Up to a total of eight hours of evaluation time conducted on one day or split over two-days should be authorized for Full FCEs. </w:t>
      </w:r>
    </w:p>
    <w:p w14:paraId="7AB1964A"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strike/>
          <w:kern w:val="2"/>
        </w:rPr>
      </w:pPr>
      <w:r w:rsidRPr="00FC5566">
        <w:rPr>
          <w:kern w:val="2"/>
        </w:rPr>
        <w:tab/>
        <w:t>i.</w:t>
      </w:r>
      <w:r w:rsidRPr="00FC5566">
        <w:rPr>
          <w:kern w:val="2"/>
        </w:rPr>
        <w:tab/>
        <w:t xml:space="preserve">Frequency—Once every 12-month period if the injured worker has not returned to work within that interval or more often if there is a significant change in functional status. </w:t>
      </w:r>
    </w:p>
    <w:p w14:paraId="09DF8641"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 xml:space="preserve">Functional Job Analysis (FJA): is an on-site visit to a job site for the purpose of quantifying and validating the physical demands of essential functions a full-duty or modified-duty job to facilitate safe return to work. FJA reports should utilize industry standardized physical demand, duration, and frequency terms which have been operationally defined by the U.S. Department of Labor and the American Physical Therapy Association. In addition, the vertical range of lifting and force directions and heights of pushing/pulling forces should be specified for clarity of the physical demands. The results from a FJA should be reviewed not only by an HR manager, but also by a representative sample of incumbent workers to validate that the physical demands of essential functions are job-related and accurate. </w:t>
      </w:r>
    </w:p>
    <w:p w14:paraId="5F2E1858" w14:textId="77777777" w:rsidR="00FC5566" w:rsidRPr="00FC5566" w:rsidRDefault="00FC5566" w:rsidP="00FC5566">
      <w:pPr>
        <w:tabs>
          <w:tab w:val="left" w:pos="907"/>
        </w:tabs>
        <w:ind w:firstLine="547"/>
        <w:jc w:val="both"/>
        <w:outlineLvl w:val="5"/>
        <w:rPr>
          <w:kern w:val="2"/>
        </w:rPr>
      </w:pPr>
      <w:r w:rsidRPr="00FC5566">
        <w:rPr>
          <w:kern w:val="2"/>
        </w:rPr>
        <w:t>a.</w:t>
      </w:r>
      <w:r w:rsidRPr="00FC5566">
        <w:rPr>
          <w:kern w:val="2"/>
        </w:rPr>
        <w:tab/>
        <w:t xml:space="preserve">Requests for a Functional Job Analysis should describe the expected goals for the evaluation. Goals may include, but are not limited to the following: </w:t>
      </w:r>
    </w:p>
    <w:p w14:paraId="0668D2AC"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strike/>
          <w:kern w:val="2"/>
        </w:rPr>
      </w:pPr>
      <w:r w:rsidRPr="00FC5566">
        <w:rPr>
          <w:kern w:val="2"/>
        </w:rPr>
        <w:tab/>
        <w:t>i.</w:t>
      </w:r>
      <w:r w:rsidRPr="00FC5566">
        <w:rPr>
          <w:kern w:val="2"/>
        </w:rPr>
        <w:tab/>
        <w:t xml:space="preserve">to determine if there are potential contributing factors to the person’s condition and/or for the physician to assess causality; </w:t>
      </w:r>
    </w:p>
    <w:p w14:paraId="7E66B6C5"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ii.</w:t>
      </w:r>
      <w:r w:rsidRPr="00FC5566">
        <w:rPr>
          <w:kern w:val="2"/>
        </w:rPr>
        <w:tab/>
        <w:t xml:space="preserve"> to make recommendations for, and to assess the potential for ergonomic changes; </w:t>
      </w:r>
    </w:p>
    <w:p w14:paraId="457E9CCD"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iii.</w:t>
      </w:r>
      <w:r w:rsidRPr="00FC5566">
        <w:rPr>
          <w:kern w:val="2"/>
        </w:rPr>
        <w:tab/>
        <w:t xml:space="preserve"> to determine the essential demands of the job;</w:t>
      </w:r>
    </w:p>
    <w:p w14:paraId="25523A6B"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iv.</w:t>
      </w:r>
      <w:r w:rsidRPr="00FC5566">
        <w:rPr>
          <w:kern w:val="2"/>
        </w:rPr>
        <w:tab/>
        <w:t xml:space="preserve">to provide a detailed description of the physical and cognitive job requirements; </w:t>
      </w:r>
    </w:p>
    <w:p w14:paraId="5E97DB75"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v.</w:t>
      </w:r>
      <w:r w:rsidRPr="00FC5566">
        <w:rPr>
          <w:kern w:val="2"/>
        </w:rPr>
        <w:tab/>
        <w:t xml:space="preserve">to assist the patient in their return-to-work by educating them on how they may be able to do their job more safely and in a more bio-mechanically appropriate manner; </w:t>
      </w:r>
    </w:p>
    <w:p w14:paraId="02CB0760"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vi.</w:t>
      </w:r>
      <w:r w:rsidRPr="00FC5566">
        <w:rPr>
          <w:kern w:val="2"/>
        </w:rPr>
        <w:tab/>
        <w:t xml:space="preserve">to give detailed work/activity restrictions. </w:t>
      </w:r>
    </w:p>
    <w:p w14:paraId="41E6A89E" w14:textId="77777777" w:rsidR="00FC5566" w:rsidRPr="00FC5566" w:rsidRDefault="00FC5566" w:rsidP="00FC5566">
      <w:pPr>
        <w:tabs>
          <w:tab w:val="left" w:pos="1267"/>
          <w:tab w:val="left" w:pos="4500"/>
          <w:tab w:val="left" w:pos="4680"/>
          <w:tab w:val="left" w:pos="4860"/>
          <w:tab w:val="left" w:pos="5040"/>
          <w:tab w:val="left" w:pos="7200"/>
        </w:tabs>
        <w:ind w:firstLine="907"/>
        <w:jc w:val="both"/>
        <w:outlineLvl w:val="7"/>
        <w:rPr>
          <w:kern w:val="2"/>
        </w:rPr>
      </w:pPr>
      <w:r w:rsidRPr="00FC5566">
        <w:rPr>
          <w:kern w:val="2"/>
        </w:rPr>
        <w:t>(a).</w:t>
      </w:r>
      <w:r w:rsidRPr="00FC5566">
        <w:rPr>
          <w:kern w:val="2"/>
        </w:rPr>
        <w:tab/>
        <w:t>Frequency: One time with additional visits as needed for follow-up per job site.</w:t>
      </w:r>
    </w:p>
    <w:p w14:paraId="48DF9ED3"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 - 4.a.</w:t>
      </w:r>
      <w:r w:rsidRPr="00FC5566">
        <w:rPr>
          <w:kern w:val="2"/>
        </w:rPr>
        <w:tab/>
        <w:t>...</w:t>
      </w:r>
    </w:p>
    <w:p w14:paraId="45DCE4EF"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5.</w:t>
      </w:r>
      <w:r w:rsidRPr="00FC5566">
        <w:rPr>
          <w:kern w:val="2"/>
        </w:rPr>
        <w:tab/>
        <w:t xml:space="preserve">Work tolerance screening </w:t>
      </w:r>
      <w:r w:rsidRPr="00FC5566">
        <w:rPr>
          <w:bCs/>
          <w:kern w:val="2"/>
        </w:rPr>
        <w:t>(Partial FCE)</w:t>
      </w:r>
      <w:r w:rsidRPr="00FC5566">
        <w:rPr>
          <w:kern w:val="2"/>
        </w:rPr>
        <w:t xml:space="preserve">: is a limited performance-based medical assessment of an injured worker’s physical and/or cognitive abilities to safely participate in work and other major life activities. Work Tolerance Screenings are indicated as part of a work conditioning evaluation to establish an injured worker’s safe functional baseline prior to beginning the work conditioning program. Work Tolerance screenings are also indicated early on after a work injury to help determine an injured worker’s safe functional baseline for return to work full-duty or in a modified-duty job. Work Tolerance Screenings can be used initially to determine baseline status and to monitor and assess progress. Up to a total of four hours of evaluation time conducted on one day should be authorized for Work Tolerance Screenings. </w:t>
      </w:r>
    </w:p>
    <w:p w14:paraId="46478E53" w14:textId="77777777" w:rsidR="00FC5566" w:rsidRPr="00FC5566" w:rsidRDefault="00FC5566" w:rsidP="00FC5566">
      <w:pPr>
        <w:tabs>
          <w:tab w:val="left" w:pos="907"/>
        </w:tabs>
        <w:ind w:firstLine="547"/>
        <w:jc w:val="both"/>
        <w:outlineLvl w:val="5"/>
        <w:rPr>
          <w:kern w:val="2"/>
        </w:rPr>
      </w:pPr>
      <w:r w:rsidRPr="00FC5566">
        <w:rPr>
          <w:kern w:val="2"/>
        </w:rPr>
        <w:t>a.</w:t>
      </w:r>
      <w:r w:rsidRPr="00FC5566">
        <w:rPr>
          <w:kern w:val="2"/>
        </w:rPr>
        <w:tab/>
        <w:t xml:space="preserve">Frequency—Once every four weeks up to a total of six visits. </w:t>
      </w:r>
    </w:p>
    <w:p w14:paraId="422BD667"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 xml:space="preserve">Promulgated in accordance with R.S. 23:1203.1. </w:t>
      </w:r>
    </w:p>
    <w:p w14:paraId="26CCF580"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Louisiana Workforce Commission, Office of Workers Compensation Administration, LR 37:1753 (June 2011), amended LR 47:1657 (November 2021), amended by the Louisiana Works, Office of Workers Compensation Administration, LR 52:1364 (August 2026).</w:t>
      </w:r>
    </w:p>
    <w:p w14:paraId="1FF2FF4D"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Chapter 23.</w:t>
      </w:r>
      <w:r w:rsidRPr="00FC5566">
        <w:rPr>
          <w:b/>
          <w:kern w:val="2"/>
        </w:rPr>
        <w:tab/>
        <w:t xml:space="preserve">Upper and Lower Extremities Medical Treatment Guidelines </w:t>
      </w:r>
    </w:p>
    <w:p w14:paraId="4838F19B"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Subchapter A.</w:t>
      </w:r>
      <w:r w:rsidRPr="00FC5566">
        <w:rPr>
          <w:b/>
          <w:kern w:val="2"/>
        </w:rPr>
        <w:tab/>
        <w:t>Lower Extremities</w:t>
      </w:r>
    </w:p>
    <w:p w14:paraId="4B99AFD5"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§2303.</w:t>
      </w:r>
      <w:r w:rsidRPr="00FC5566">
        <w:rPr>
          <w:b/>
          <w:kern w:val="2"/>
        </w:rPr>
        <w:tab/>
        <w:t>General Guidelines Principles</w:t>
      </w:r>
    </w:p>
    <w:p w14:paraId="61FB6720"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A.11.</w:t>
      </w:r>
      <w:r w:rsidRPr="00FC5566">
        <w:rPr>
          <w:kern w:val="2"/>
        </w:rPr>
        <w:tab/>
        <w:t>...</w:t>
      </w:r>
    </w:p>
    <w:p w14:paraId="04B03449"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12.</w:t>
      </w:r>
      <w:r w:rsidRPr="00FC5566">
        <w:rPr>
          <w:kern w:val="2"/>
        </w:rPr>
        <w:tab/>
        <w:t>Return to Work. Return to work is therapeutic, assuming the work is not likely to aggravate the basic problem or increase long-term pain. Even if there is residual chronic pain, return-to-work is not necessarily contraindicated and can prevent delayed recovery and unnecessary disability. Employers should proactively have written job descriptions and job analyses in place and in sufficient detail to assist the return-to-work process. Practitioners should understand all the physical demands of an injured worker’s full-duty job or a proposed modified-duty job before allowing the injured worker to return to work. Practitioners should seek clarification about an injured worker’s full-duty or modified-duty job duties when there is insufficient information on job descriptions or job analysis for the practitioner to make an informed decision about an injured worker’s ability to safely return to work. Clarification about specific job demands should be obtained from multiple sources if indicated including a designated employer representative, the injured worker, and the U.S. Department of Labor. A functional job analysis may also be requested if specific physical demand job requirements are needed. The practitioner must provide specific written functional limitations, and the injured worker should never be released to “sedentary” or “light duty.” Practitioners should consider an injured worker’s safe functional abilities and functional limitations when addressing return to work. These factors include driving, sitting, standing/walking, lifting/carrying, pushing/pulling, climbing stairs/ramps, climbing ladders/equipment, stooping, kneeling crouching, crawling, reaching, gross manipulation, fine manipulation, and keyboarding. Practitioners should also consider other factors such as vision or hearing requirements, awkward and/or sustained postures, repetitive motion tasks, sustained grip, tool usage, vibration factors, and environmental conditions (e.g. working in hot or cold environments).</w:t>
      </w:r>
    </w:p>
    <w:p w14:paraId="76D2791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A.13. - B.</w:t>
      </w:r>
      <w:r w:rsidRPr="00FC5566">
        <w:rPr>
          <w:kern w:val="2"/>
        </w:rPr>
        <w:tab/>
        <w:t>...</w:t>
      </w:r>
    </w:p>
    <w:p w14:paraId="037C0D0C"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 xml:space="preserve">Promulgated in accordance with R.S. 23:1203.1. </w:t>
      </w:r>
    </w:p>
    <w:p w14:paraId="490D46EC"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 xml:space="preserve">Promulgated by the Louisiana Workforce Commission, Office of Workers Compensation Administration, LR 37:1765 (June 2011), amended by the Louisiana Workforce Commission, Office of Workers Compensation, LR 40:1160 (June 2014), LR 48:513 (March 2022), amended by the Louisiana Works, Office of Workers Compensation Administration, LR 52:1365 (August 2026). </w:t>
      </w:r>
    </w:p>
    <w:p w14:paraId="1D66A31A"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§2307.</w:t>
      </w:r>
      <w:r w:rsidRPr="00FC5566">
        <w:rPr>
          <w:b/>
          <w:kern w:val="2"/>
        </w:rPr>
        <w:tab/>
        <w:t>Follow-Up Diagnostic Imaging and Testing Procedures</w:t>
      </w:r>
    </w:p>
    <w:p w14:paraId="058BEE59"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A.3.a.i.</w:t>
      </w:r>
      <w:r w:rsidRPr="00FC5566">
        <w:rPr>
          <w:kern w:val="2"/>
        </w:rPr>
        <w:tab/>
        <w:t>...</w:t>
      </w:r>
    </w:p>
    <w:p w14:paraId="64436DE6" w14:textId="77777777" w:rsidR="00FC5566" w:rsidRPr="00FC5566" w:rsidRDefault="00FC5566" w:rsidP="00FC5566">
      <w:pPr>
        <w:tabs>
          <w:tab w:val="left" w:pos="907"/>
        </w:tabs>
        <w:ind w:firstLine="547"/>
        <w:jc w:val="both"/>
        <w:outlineLvl w:val="5"/>
        <w:rPr>
          <w:kern w:val="2"/>
        </w:rPr>
      </w:pPr>
      <w:r w:rsidRPr="00FC5566">
        <w:rPr>
          <w:kern w:val="2"/>
        </w:rPr>
        <w:t>b.</w:t>
      </w:r>
      <w:r w:rsidRPr="00FC5566">
        <w:rPr>
          <w:kern w:val="2"/>
        </w:rPr>
        <w:tab/>
        <w:t xml:space="preserve">Functional Capacity Evaluation (FCE) is a comprehensive performance-based medical assessment of an injured worker’s physical and/or cognitive abilities to safely participate in work and other major life activities. An FCE is a complex evaluation and should only be performed by </w:t>
      </w:r>
      <w:r w:rsidRPr="00FC5566">
        <w:rPr>
          <w:kern w:val="2"/>
        </w:rPr>
        <w:br w:type="page"/>
      </w:r>
    </w:p>
    <w:p w14:paraId="09DBF8C9" w14:textId="77777777" w:rsidR="00FC5566" w:rsidRPr="00FC5566" w:rsidRDefault="00FC5566" w:rsidP="00FC5566">
      <w:pPr>
        <w:tabs>
          <w:tab w:val="left" w:pos="907"/>
        </w:tabs>
        <w:jc w:val="both"/>
        <w:outlineLvl w:val="5"/>
        <w:rPr>
          <w:kern w:val="2"/>
        </w:rPr>
      </w:pPr>
      <w:r w:rsidRPr="00FC5566">
        <w:rPr>
          <w:kern w:val="2"/>
        </w:rPr>
        <w:lastRenderedPageBreak/>
        <w:t xml:space="preserve">licensed healthcare practitioners who have received additional post-professional training in evidence-based best practices relative to the design, administration, interpretation, and reporting of FCE results in order ensure safety of the injured worker and effective utility of the FCE results. The primary components of an FCE include a review and summary of relevant medical records, intake interview, physical examination, and content-valid functional testing. Healthcare practitioners should continuously monitor heart rate during the administration of functional testing first to ensure patient safety, but also to guide determinations regarding patient effort and physical endurance to tolerate work activities over specified durations based on the Heart Rate Reserve method. Other functional testing endpoints should also be regularly monitored and documented during functional testing include but are not limited to biomechanical and psychophysical signs of exertion. </w:t>
      </w:r>
    </w:p>
    <w:p w14:paraId="56E3DD88" w14:textId="434B043D"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w:t>
      </w:r>
      <w:r w:rsidRPr="00FC5566">
        <w:rPr>
          <w:kern w:val="2"/>
        </w:rPr>
        <w:tab/>
        <w:t>There are two primary classifications of FCEs, Job-Specific FCEs and Any-Occupation FCEs. When an FCE is being used to</w:t>
      </w:r>
      <w:r w:rsidR="00DD4E51">
        <w:rPr>
          <w:kern w:val="2"/>
        </w:rPr>
        <w:t xml:space="preserve"> </w:t>
      </w:r>
      <w:r w:rsidRPr="00FC5566">
        <w:rPr>
          <w:kern w:val="2"/>
        </w:rPr>
        <w:t xml:space="preserve">help relevant stakeholders determine if an injured worker can safely return to work in a specific job, the healthcare practitioner (FCE examiner) performing the FCE is responsible for fully understanding the job duties. A Functional Job Analysis may be necessary to help the FCE examiner fully understand the physical demands of the injured worker’s full-duty or modified-duty job. The depth and breadth of an FCE should be determined by the requesting healthcare provider, but in all cases should focus on the worker’s work-related injury or injuries and should predominantly consider the employer’s specific job requirements when determining the focus and extent of the FCE. </w:t>
      </w:r>
    </w:p>
    <w:p w14:paraId="7EB6922E"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ii.</w:t>
      </w:r>
      <w:r w:rsidRPr="00FC5566">
        <w:rPr>
          <w:kern w:val="2"/>
        </w:rPr>
        <w:tab/>
        <w:t xml:space="preserve">Full FCEs are indicated in complex work injury cases where injured workers who are medically stable and have been off for six months or more and report chronic pain and activity limitations that could interfere with their ability to safely return to work. Full FCEs aid in determining endpoint to treatment. Up to a total of eight hours of evaluation time conducted on one day or split over two-days should be authorized for Full FCEs. </w:t>
      </w:r>
    </w:p>
    <w:p w14:paraId="3D12DE81" w14:textId="77777777" w:rsidR="00FC5566" w:rsidRPr="00FC5566" w:rsidRDefault="00FC5566" w:rsidP="00FC5566">
      <w:pPr>
        <w:tabs>
          <w:tab w:val="left" w:pos="1267"/>
          <w:tab w:val="left" w:pos="4500"/>
          <w:tab w:val="left" w:pos="4680"/>
          <w:tab w:val="left" w:pos="4860"/>
          <w:tab w:val="left" w:pos="5040"/>
          <w:tab w:val="left" w:pos="7200"/>
        </w:tabs>
        <w:ind w:firstLine="907"/>
        <w:jc w:val="both"/>
        <w:outlineLvl w:val="7"/>
        <w:rPr>
          <w:strike/>
          <w:kern w:val="2"/>
        </w:rPr>
      </w:pPr>
      <w:r w:rsidRPr="00FC5566">
        <w:rPr>
          <w:kern w:val="2"/>
        </w:rPr>
        <w:t>(a).</w:t>
      </w:r>
      <w:r w:rsidRPr="00FC5566">
        <w:rPr>
          <w:kern w:val="2"/>
        </w:rPr>
        <w:tab/>
        <w:t>Frequency: Once every 12-month period if the injured worker has not returned to work within that interval or more often if there is a significant change in functional status.</w:t>
      </w:r>
    </w:p>
    <w:p w14:paraId="17EED501" w14:textId="77777777" w:rsidR="00FC5566" w:rsidRPr="00FC5566" w:rsidRDefault="00FC5566" w:rsidP="00FC5566">
      <w:pPr>
        <w:tabs>
          <w:tab w:val="left" w:pos="907"/>
        </w:tabs>
        <w:ind w:firstLine="547"/>
        <w:jc w:val="both"/>
        <w:outlineLvl w:val="5"/>
        <w:rPr>
          <w:kern w:val="2"/>
        </w:rPr>
      </w:pPr>
      <w:r w:rsidRPr="00FC5566">
        <w:rPr>
          <w:kern w:val="2"/>
        </w:rPr>
        <w:t>c.</w:t>
      </w:r>
      <w:r w:rsidRPr="00FC5566">
        <w:rPr>
          <w:kern w:val="2"/>
        </w:rPr>
        <w:tab/>
        <w:t xml:space="preserve">Functional Job Analysis (FJA): is an on-site visit to a job-site for the purpose of quantifying and validating the physical demands of essential functions a full-duty or modified-duty job to facilitate safe return to work. FJA reports should utilize industry standardized physical demand, duration, and frequency terms which have been operationally defined by the U.S. Department of Labor and the American Physical Therapy Association. In addition, the vertical range of lifting and force directions and heights of pushing/pulling forces should be specified for clarity of the physical demands. The results from a FJA should be reviewed not only by an HR manager, but also by a representative sample of incumbent workers to validate that the physical demands of essential functions are job-related and accurate. </w:t>
      </w:r>
    </w:p>
    <w:p w14:paraId="406E4E8C"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w:t>
      </w:r>
      <w:r w:rsidRPr="00FC5566">
        <w:rPr>
          <w:kern w:val="2"/>
        </w:rPr>
        <w:tab/>
        <w:t xml:space="preserve">Requests for a Functional Job Analysis should describe the expected goals for the evaluation. Goals may include, but are not limited to the following: </w:t>
      </w:r>
    </w:p>
    <w:p w14:paraId="62C819C3" w14:textId="77777777" w:rsidR="00FC5566" w:rsidRPr="00FC5566" w:rsidRDefault="00FC5566" w:rsidP="00FC5566">
      <w:pPr>
        <w:tabs>
          <w:tab w:val="left" w:pos="1267"/>
          <w:tab w:val="left" w:pos="4500"/>
          <w:tab w:val="left" w:pos="4680"/>
          <w:tab w:val="left" w:pos="4860"/>
          <w:tab w:val="left" w:pos="5040"/>
          <w:tab w:val="left" w:pos="7200"/>
        </w:tabs>
        <w:ind w:firstLine="907"/>
        <w:jc w:val="both"/>
        <w:outlineLvl w:val="7"/>
        <w:rPr>
          <w:kern w:val="2"/>
        </w:rPr>
      </w:pPr>
      <w:r w:rsidRPr="00FC5566">
        <w:rPr>
          <w:kern w:val="2"/>
        </w:rPr>
        <w:t>(a).</w:t>
      </w:r>
      <w:r w:rsidRPr="00FC5566">
        <w:rPr>
          <w:kern w:val="2"/>
        </w:rPr>
        <w:tab/>
        <w:t xml:space="preserve">to determine if there are potential contributing factors to the person’s condition and/or for the physician to assess causality; </w:t>
      </w:r>
    </w:p>
    <w:p w14:paraId="319143EE" w14:textId="77777777" w:rsidR="00FC5566" w:rsidRPr="00FC5566" w:rsidRDefault="00FC5566" w:rsidP="00FC5566">
      <w:pPr>
        <w:tabs>
          <w:tab w:val="left" w:pos="1267"/>
          <w:tab w:val="left" w:pos="4500"/>
          <w:tab w:val="left" w:pos="4680"/>
          <w:tab w:val="left" w:pos="4860"/>
          <w:tab w:val="left" w:pos="5040"/>
          <w:tab w:val="left" w:pos="7200"/>
        </w:tabs>
        <w:ind w:firstLine="907"/>
        <w:jc w:val="both"/>
        <w:outlineLvl w:val="7"/>
        <w:rPr>
          <w:kern w:val="2"/>
        </w:rPr>
      </w:pPr>
      <w:r w:rsidRPr="00FC5566">
        <w:rPr>
          <w:kern w:val="2"/>
        </w:rPr>
        <w:t>(b).</w:t>
      </w:r>
      <w:r w:rsidRPr="00FC5566">
        <w:rPr>
          <w:kern w:val="2"/>
        </w:rPr>
        <w:tab/>
        <w:t xml:space="preserve">to make recommendations for, and to assess the potential for ergonomic changes; </w:t>
      </w:r>
    </w:p>
    <w:p w14:paraId="2CE7BF21" w14:textId="77777777" w:rsidR="00FC5566" w:rsidRPr="00FC5566" w:rsidRDefault="00FC5566" w:rsidP="00FC5566">
      <w:pPr>
        <w:tabs>
          <w:tab w:val="left" w:pos="1267"/>
          <w:tab w:val="left" w:pos="4500"/>
          <w:tab w:val="left" w:pos="4680"/>
          <w:tab w:val="left" w:pos="4860"/>
          <w:tab w:val="left" w:pos="5040"/>
          <w:tab w:val="left" w:pos="7200"/>
        </w:tabs>
        <w:ind w:firstLine="907"/>
        <w:jc w:val="both"/>
        <w:outlineLvl w:val="7"/>
        <w:rPr>
          <w:kern w:val="2"/>
        </w:rPr>
      </w:pPr>
      <w:r w:rsidRPr="00FC5566">
        <w:rPr>
          <w:kern w:val="2"/>
        </w:rPr>
        <w:t>(c).</w:t>
      </w:r>
      <w:r w:rsidRPr="00FC5566">
        <w:rPr>
          <w:kern w:val="2"/>
        </w:rPr>
        <w:tab/>
        <w:t>to determine the essential demands of the job;</w:t>
      </w:r>
    </w:p>
    <w:p w14:paraId="519C1B45" w14:textId="77777777" w:rsidR="00FC5566" w:rsidRPr="00FC5566" w:rsidRDefault="00FC5566" w:rsidP="00FC5566">
      <w:pPr>
        <w:tabs>
          <w:tab w:val="left" w:pos="1267"/>
          <w:tab w:val="left" w:pos="4500"/>
          <w:tab w:val="left" w:pos="4680"/>
          <w:tab w:val="left" w:pos="4860"/>
          <w:tab w:val="left" w:pos="5040"/>
          <w:tab w:val="left" w:pos="7200"/>
        </w:tabs>
        <w:ind w:firstLine="907"/>
        <w:jc w:val="both"/>
        <w:outlineLvl w:val="7"/>
        <w:rPr>
          <w:kern w:val="2"/>
        </w:rPr>
      </w:pPr>
      <w:r w:rsidRPr="00FC5566">
        <w:rPr>
          <w:kern w:val="2"/>
        </w:rPr>
        <w:t>(d).</w:t>
      </w:r>
      <w:r w:rsidRPr="00FC5566">
        <w:rPr>
          <w:kern w:val="2"/>
        </w:rPr>
        <w:tab/>
        <w:t xml:space="preserve">to provide a detailed description of the physical and cognitive job requirements; </w:t>
      </w:r>
    </w:p>
    <w:p w14:paraId="6CCF0E70" w14:textId="77777777" w:rsidR="00FC5566" w:rsidRPr="00FC5566" w:rsidRDefault="00FC5566" w:rsidP="00FC5566">
      <w:pPr>
        <w:tabs>
          <w:tab w:val="left" w:pos="1267"/>
          <w:tab w:val="left" w:pos="4500"/>
          <w:tab w:val="left" w:pos="4680"/>
          <w:tab w:val="left" w:pos="4860"/>
          <w:tab w:val="left" w:pos="5040"/>
          <w:tab w:val="left" w:pos="7200"/>
        </w:tabs>
        <w:ind w:firstLine="907"/>
        <w:jc w:val="both"/>
        <w:outlineLvl w:val="7"/>
        <w:rPr>
          <w:kern w:val="2"/>
        </w:rPr>
      </w:pPr>
      <w:r w:rsidRPr="00FC5566">
        <w:rPr>
          <w:kern w:val="2"/>
        </w:rPr>
        <w:t>(e).</w:t>
      </w:r>
      <w:r w:rsidRPr="00FC5566">
        <w:rPr>
          <w:kern w:val="2"/>
        </w:rPr>
        <w:tab/>
        <w:t xml:space="preserve">to assist the patient in their return-to-work by educating them on how they may be able to do their job more safely and in a more bio-mechanically appropriate manner; </w:t>
      </w:r>
    </w:p>
    <w:p w14:paraId="5E69DFDD" w14:textId="77777777" w:rsidR="00FC5566" w:rsidRPr="00FC5566" w:rsidRDefault="00FC5566" w:rsidP="00FC5566">
      <w:pPr>
        <w:tabs>
          <w:tab w:val="left" w:pos="1267"/>
          <w:tab w:val="left" w:pos="4500"/>
          <w:tab w:val="left" w:pos="4680"/>
          <w:tab w:val="left" w:pos="4860"/>
          <w:tab w:val="left" w:pos="5040"/>
          <w:tab w:val="left" w:pos="7200"/>
        </w:tabs>
        <w:ind w:firstLine="907"/>
        <w:jc w:val="both"/>
        <w:outlineLvl w:val="7"/>
        <w:rPr>
          <w:kern w:val="2"/>
        </w:rPr>
      </w:pPr>
      <w:r w:rsidRPr="00FC5566">
        <w:rPr>
          <w:kern w:val="2"/>
        </w:rPr>
        <w:t>(f).</w:t>
      </w:r>
      <w:r w:rsidRPr="00FC5566">
        <w:rPr>
          <w:kern w:val="2"/>
        </w:rPr>
        <w:tab/>
        <w:t xml:space="preserve">to give detailed work/activity restrictions. </w:t>
      </w:r>
    </w:p>
    <w:p w14:paraId="1EBE00D2"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ii.</w:t>
      </w:r>
      <w:r w:rsidRPr="00FC5566">
        <w:rPr>
          <w:kern w:val="2"/>
        </w:rPr>
        <w:tab/>
        <w:t>Frequency: One time with additional visits as needed for follow-up per job-site.</w:t>
      </w:r>
    </w:p>
    <w:p w14:paraId="7A324277" w14:textId="77777777" w:rsidR="00FC5566" w:rsidRPr="00FC5566" w:rsidRDefault="00FC5566" w:rsidP="00FC5566">
      <w:pPr>
        <w:tabs>
          <w:tab w:val="left" w:pos="907"/>
        </w:tabs>
        <w:ind w:firstLine="547"/>
        <w:jc w:val="both"/>
        <w:outlineLvl w:val="5"/>
        <w:rPr>
          <w:kern w:val="2"/>
        </w:rPr>
      </w:pPr>
      <w:r w:rsidRPr="00FC5566">
        <w:rPr>
          <w:kern w:val="2"/>
        </w:rPr>
        <w:t>d. - d.i.</w:t>
      </w:r>
      <w:r w:rsidRPr="00FC5566">
        <w:rPr>
          <w:kern w:val="2"/>
        </w:rPr>
        <w:tab/>
        <w:t>...</w:t>
      </w:r>
    </w:p>
    <w:p w14:paraId="752CC8B0" w14:textId="77777777" w:rsidR="00FC5566" w:rsidRPr="00FC5566" w:rsidRDefault="00FC5566" w:rsidP="00FC5566">
      <w:pPr>
        <w:tabs>
          <w:tab w:val="left" w:pos="907"/>
        </w:tabs>
        <w:ind w:firstLine="547"/>
        <w:jc w:val="both"/>
        <w:outlineLvl w:val="5"/>
        <w:rPr>
          <w:kern w:val="2"/>
        </w:rPr>
      </w:pPr>
      <w:r w:rsidRPr="00FC5566">
        <w:rPr>
          <w:kern w:val="2"/>
        </w:rPr>
        <w:t>e.</w:t>
      </w:r>
      <w:r w:rsidRPr="00FC5566">
        <w:rPr>
          <w:kern w:val="2"/>
        </w:rPr>
        <w:tab/>
        <w:t xml:space="preserve">Work Tolerance Screening </w:t>
      </w:r>
      <w:r w:rsidRPr="00FC5566">
        <w:rPr>
          <w:bCs/>
          <w:kern w:val="2"/>
        </w:rPr>
        <w:t>(Partial FCE)</w:t>
      </w:r>
      <w:r w:rsidRPr="00FC5566">
        <w:rPr>
          <w:kern w:val="2"/>
        </w:rPr>
        <w:t xml:space="preserve">: is a limited performance-based medical assessment of an injured worker’s physical and/or cognitive abilities to safely participate in work and other major life activities. Work Tolerance Screenings are indicated as part of a work conditioning evaluation to establish an injured worker’s safe functional baseline prior to beginning the work conditioning program. Work Tolerance screenings are also indicated early on after a work injury to help determine an injured worker’s safe functional baseline for return to work full-duty or in a modified-duty job. Work Tolerance Screenings can be used initially to determine baseline status and to monitor and assess progress. Up to a total of 4 hours of evaluation time conducted on one day should be authorized for Work Tolerance Screenings. </w:t>
      </w:r>
    </w:p>
    <w:p w14:paraId="521BF2B6"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w:t>
      </w:r>
      <w:r w:rsidRPr="00FC5566">
        <w:rPr>
          <w:kern w:val="2"/>
        </w:rPr>
        <w:tab/>
        <w:t xml:space="preserve">Frequency: Once every four weeks up to a total of six visits. </w:t>
      </w:r>
    </w:p>
    <w:p w14:paraId="153B03D1"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 xml:space="preserve">Promulgated in accordance with R.S. 23:1203.1. </w:t>
      </w:r>
    </w:p>
    <w:p w14:paraId="140E1849"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 xml:space="preserve">Promulgated by the Louisiana Workforce Commission, Office of Workers Compensation Administration, LR 37:1769 (June 2011), amended LR 48:515 (March 2022), amended by the Louisiana Works, Office of Workers Compensation Administration, LR 52:1365 (August 2026). </w:t>
      </w:r>
    </w:p>
    <w:p w14:paraId="7BC65433"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Subchapter B.</w:t>
      </w:r>
      <w:r w:rsidRPr="00FC5566">
        <w:rPr>
          <w:b/>
          <w:kern w:val="2"/>
        </w:rPr>
        <w:tab/>
        <w:t>Shoulder Injury Medical Treatment Guidelines</w:t>
      </w:r>
    </w:p>
    <w:p w14:paraId="029924C3"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§2317.</w:t>
      </w:r>
      <w:r w:rsidRPr="00FC5566">
        <w:rPr>
          <w:b/>
          <w:kern w:val="2"/>
        </w:rPr>
        <w:tab/>
        <w:t>General Guideline Principles</w:t>
      </w:r>
    </w:p>
    <w:p w14:paraId="4824069C"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A.11.</w:t>
      </w:r>
      <w:r w:rsidRPr="00FC5566">
        <w:rPr>
          <w:kern w:val="2"/>
        </w:rPr>
        <w:tab/>
        <w:t>...</w:t>
      </w:r>
    </w:p>
    <w:p w14:paraId="291E6A3D"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12.</w:t>
      </w:r>
      <w:r w:rsidRPr="00FC5566">
        <w:rPr>
          <w:kern w:val="2"/>
        </w:rPr>
        <w:tab/>
        <w:t xml:space="preserve">Return to Work. Return to work is therapeutic, assuming the work is not likely to aggravate the basic problem or increase long-term pain. Even if there is residual chronic pain, return-to-work is not necessarily contraindicated and can prevent delayed recovery and unnecessary disability. Employers should proactively have written job descriptions and job analyses in place and in sufficient detail to assist the return-to-work process. Practitioners should understand all the physical demands of an injured worker’s full-duty job or a proposed modified-duty job before allowing the injured worker to return to work. Practitioners should seek clarification about an injured worker’s full-duty or modified-duty job duties when there is insufficient information on job descriptions or job analysis for the practitioner to make an informed decision about an injured worker’s ability to safely return to work. Clarification about specific job demands should be obtained from multiple sources if indicated including a designated employer representative, the injured worker, and the U.S. Department of Labor. A functional job </w:t>
      </w:r>
      <w:r w:rsidRPr="00FC5566">
        <w:rPr>
          <w:kern w:val="2"/>
        </w:rPr>
        <w:br w:type="page"/>
      </w:r>
    </w:p>
    <w:p w14:paraId="0EDE6F4B" w14:textId="77777777" w:rsidR="00FC5566" w:rsidRPr="00FC5566" w:rsidRDefault="00FC5566" w:rsidP="00FC5566">
      <w:pPr>
        <w:tabs>
          <w:tab w:val="left" w:pos="720"/>
          <w:tab w:val="left" w:pos="979"/>
          <w:tab w:val="left" w:pos="1152"/>
        </w:tabs>
        <w:jc w:val="both"/>
        <w:outlineLvl w:val="4"/>
        <w:rPr>
          <w:kern w:val="2"/>
        </w:rPr>
      </w:pPr>
      <w:r w:rsidRPr="00FC5566">
        <w:rPr>
          <w:kern w:val="2"/>
        </w:rPr>
        <w:lastRenderedPageBreak/>
        <w:t>analysis may also be requested if specific physical demand job requirements are needed. The practitioner must provide specific written functional limitations, and the injured worker should never be released to “sedentary” or “light duty.” Practitioners should consider an injured worker’s safe functional abilities and functional limitations when addressing return to work. These factors include driving, sitting, standing/walking, lifting/carrying, pushing/pulling, climbing stairs/ramps, climbing ladders/equipment, stooping, kneeling crouching, crawling, reaching, gross manipulation, fine manipulation, and keyboarding. Practitioners should also consider other factors such as vision or hearing requirements, awkward and/or sustained postures, repetitive motion tasks, sustained grip, tool usage, vibration factors, and environmental conditions (e.g. working in hot or cold environments).</w:t>
      </w:r>
    </w:p>
    <w:p w14:paraId="06604E8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A.13. - B.</w:t>
      </w:r>
      <w:r w:rsidRPr="00FC5566">
        <w:rPr>
          <w:kern w:val="2"/>
        </w:rPr>
        <w:tab/>
        <w:t>...</w:t>
      </w:r>
    </w:p>
    <w:p w14:paraId="37B0CF42"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 xml:space="preserve">Promulgated in accordance with R.S. 23:1203.1. </w:t>
      </w:r>
    </w:p>
    <w:p w14:paraId="150BDE63"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Louisiana Workforce Commission, Office of Workers Compensation Administration, LR 37:1821 (June 2011), amended by the Louisiana Workforce Commission, Office of Workers Compensation, LR 40:1162 (June 2014), LR 49:521 (March 2023), amended by the Louisiana Works, Office of Workers Compensation Administration, LR 52:1366 (August 2026).</w:t>
      </w:r>
    </w:p>
    <w:p w14:paraId="035F336A"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§2321.</w:t>
      </w:r>
      <w:r w:rsidRPr="00FC5566">
        <w:rPr>
          <w:b/>
          <w:kern w:val="2"/>
        </w:rPr>
        <w:tab/>
        <w:t>Follow-Up diagnostic imaging and testing procedures</w:t>
      </w:r>
    </w:p>
    <w:p w14:paraId="76442CDE"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C.4.a.i</w:t>
      </w:r>
      <w:r w:rsidRPr="00FC5566">
        <w:rPr>
          <w:kern w:val="2"/>
        </w:rPr>
        <w:tab/>
        <w:t>...</w:t>
      </w:r>
    </w:p>
    <w:p w14:paraId="307A25CE" w14:textId="77777777" w:rsidR="00FC5566" w:rsidRPr="00FC5566" w:rsidRDefault="00FC5566" w:rsidP="00FC5566">
      <w:pPr>
        <w:tabs>
          <w:tab w:val="left" w:pos="907"/>
        </w:tabs>
        <w:ind w:firstLine="547"/>
        <w:jc w:val="both"/>
        <w:outlineLvl w:val="5"/>
        <w:rPr>
          <w:kern w:val="2"/>
        </w:rPr>
      </w:pPr>
      <w:r w:rsidRPr="00FC5566">
        <w:rPr>
          <w:kern w:val="2"/>
        </w:rPr>
        <w:t>b.</w:t>
      </w:r>
      <w:r w:rsidRPr="00FC5566">
        <w:rPr>
          <w:kern w:val="2"/>
        </w:rPr>
        <w:tab/>
        <w:t xml:space="preserve">Functional Capacity Evaluation (FCE): is a comprehensive performance-based medical assessment of an injured worker’s physical and/or cognitive abilities to safely participate in work and other major life activities. An FCE is a complex evaluation and should only be performed by licensed healthcare practitioners who have received additional post-professional training in evidence-based best practices relative to the design, administration, interpretation, and reporting of FCE results in order ensure safety of the injured worker and effective utility of the FCE results. The primary components of an FCE include a review and summary of relevant medical records, intake interview, physical examination, and content-valid functional testing. Healthcare practitioners should continuously monitor heart rate during the administration of functional testing first to ensure patient safety, but also to guide determinations regarding patient effort and physical endurance to tolerate work activities over specified durations based on the Heart Rate Reserve method. Other functional testing endpoints should also be regularly monitored and documented during functional testing include but are not limited to biomechanical and psychophysical signs of exertion. </w:t>
      </w:r>
    </w:p>
    <w:p w14:paraId="59090BB4"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w:t>
      </w:r>
      <w:r w:rsidRPr="00FC5566">
        <w:rPr>
          <w:kern w:val="2"/>
        </w:rPr>
        <w:tab/>
        <w:t xml:space="preserve">There are two primary classifications of FCEs, Job-Specific FCEs and Any-Occupation FCEs. When an FCE is being used to help relevant stakeholders determine if an injured worker can safely return to work in a specific job, the healthcare practitioner (FCE examiner) performing the FCE is responsible for fully understanding the job duties. A Functional Job Analysis may be necessary to help the FCE examiner fully understand the physical demands of the injured worker’s full-duty or modified-duty job. The depth and breadth of an FCE should be determined by the requesting healthcare provider, but in all cases should focus on the worker’s work-related injury or injuries and should </w:t>
      </w:r>
      <w:r w:rsidRPr="00FC5566">
        <w:rPr>
          <w:kern w:val="2"/>
        </w:rPr>
        <w:t xml:space="preserve">predominantly consider the employer’s specific job requirements when determining the focus and extent of the FCE. </w:t>
      </w:r>
    </w:p>
    <w:p w14:paraId="4B12D740"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ii.</w:t>
      </w:r>
      <w:r w:rsidRPr="00FC5566">
        <w:rPr>
          <w:kern w:val="2"/>
        </w:rPr>
        <w:tab/>
        <w:t xml:space="preserve">Full FCEs are indicated in complex work injury cases where injured workers who are medically stable and have been off for six months or more and report chronic pain and activity limitations that could interfere with their ability to safely return to work. Full FCEs aid in determining endpoint to treatment. Up to a total of eight hours of evaluation time conducted on one day or split over two-days should be authorized for Full FCEs. </w:t>
      </w:r>
    </w:p>
    <w:p w14:paraId="2CD88A71"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iii.</w:t>
      </w:r>
      <w:r w:rsidRPr="00FC5566">
        <w:rPr>
          <w:kern w:val="2"/>
        </w:rPr>
        <w:tab/>
        <w:t xml:space="preserve">Frequency: Once every 12-month period if the injured worker has not returned to work within that interval or more often if there is a significant change in functional status. </w:t>
      </w:r>
    </w:p>
    <w:p w14:paraId="0A43E2E0" w14:textId="77777777" w:rsidR="00FC5566" w:rsidRPr="00FC5566" w:rsidRDefault="00FC5566" w:rsidP="00FC5566">
      <w:pPr>
        <w:tabs>
          <w:tab w:val="left" w:pos="907"/>
        </w:tabs>
        <w:ind w:firstLine="547"/>
        <w:jc w:val="both"/>
        <w:outlineLvl w:val="5"/>
        <w:rPr>
          <w:kern w:val="2"/>
        </w:rPr>
      </w:pPr>
      <w:r w:rsidRPr="00FC5566">
        <w:rPr>
          <w:kern w:val="2"/>
        </w:rPr>
        <w:t>c.</w:t>
      </w:r>
      <w:r w:rsidRPr="00FC5566">
        <w:rPr>
          <w:kern w:val="2"/>
        </w:rPr>
        <w:tab/>
      </w:r>
      <w:r w:rsidRPr="00FC5566">
        <w:rPr>
          <w:bCs/>
          <w:kern w:val="2"/>
        </w:rPr>
        <w:t>Functional Job Analysis (FJA)</w:t>
      </w:r>
      <w:r w:rsidRPr="00FC5566">
        <w:rPr>
          <w:kern w:val="2"/>
        </w:rPr>
        <w:t>:</w:t>
      </w:r>
      <w:r w:rsidRPr="00FC5566">
        <w:rPr>
          <w:rFonts w:eastAsia="Calibri"/>
          <w:kern w:val="2"/>
        </w:rPr>
        <w:t xml:space="preserve"> </w:t>
      </w:r>
      <w:r w:rsidRPr="00FC5566">
        <w:rPr>
          <w:kern w:val="2"/>
        </w:rPr>
        <w:t xml:space="preserve">is an on-site visit to a job-site for the purpose of quantifying and validating the physical demands of essential functions a full-duty or modified-duty job to facilitate safe return to work. FJA reports should utilize industry standardized physical demand, duration, and frequency terms which have been operationally defined by the U.S. Department of Labor and the American Physical Therapy Association. In addition, the vertical range of lifting and force directions and heights of pushing/pulling forces should be specified for clarity of the physical demands. The results from a FJA should be reviewed not only by an HR manager, but also by a representative sample of incumbent workers to validate that the physical demands of essential functions are job-related and accurate. </w:t>
      </w:r>
    </w:p>
    <w:p w14:paraId="69636C56"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w:t>
      </w:r>
      <w:r w:rsidRPr="00FC5566">
        <w:rPr>
          <w:kern w:val="2"/>
        </w:rPr>
        <w:tab/>
        <w:t>Requests for a Functional Job Analysis should describe the expected goals for the evaluation. Goals may include, but are not limited to the following:</w:t>
      </w:r>
    </w:p>
    <w:p w14:paraId="26400B97" w14:textId="77777777" w:rsidR="00FC5566" w:rsidRPr="00FC5566" w:rsidRDefault="00FC5566" w:rsidP="00FC5566">
      <w:pPr>
        <w:tabs>
          <w:tab w:val="left" w:pos="1267"/>
          <w:tab w:val="left" w:pos="4500"/>
          <w:tab w:val="left" w:pos="4680"/>
          <w:tab w:val="left" w:pos="4860"/>
          <w:tab w:val="left" w:pos="5040"/>
          <w:tab w:val="left" w:pos="7200"/>
        </w:tabs>
        <w:ind w:firstLine="907"/>
        <w:jc w:val="both"/>
        <w:outlineLvl w:val="7"/>
        <w:rPr>
          <w:kern w:val="2"/>
        </w:rPr>
      </w:pPr>
      <w:r w:rsidRPr="00FC5566">
        <w:rPr>
          <w:kern w:val="2"/>
        </w:rPr>
        <w:t>(a).</w:t>
      </w:r>
      <w:r w:rsidRPr="00FC5566">
        <w:rPr>
          <w:kern w:val="2"/>
        </w:rPr>
        <w:tab/>
        <w:t xml:space="preserve">to determine if there are potential contributing factors to the person’s condition and/or for the physician to assess causality; </w:t>
      </w:r>
    </w:p>
    <w:p w14:paraId="02096C5D" w14:textId="77777777" w:rsidR="00FC5566" w:rsidRPr="00FC5566" w:rsidRDefault="00FC5566" w:rsidP="00FC5566">
      <w:pPr>
        <w:tabs>
          <w:tab w:val="left" w:pos="1267"/>
          <w:tab w:val="left" w:pos="4500"/>
          <w:tab w:val="left" w:pos="4680"/>
          <w:tab w:val="left" w:pos="4860"/>
          <w:tab w:val="left" w:pos="5040"/>
          <w:tab w:val="left" w:pos="7200"/>
        </w:tabs>
        <w:ind w:firstLine="907"/>
        <w:jc w:val="both"/>
        <w:outlineLvl w:val="7"/>
        <w:rPr>
          <w:kern w:val="2"/>
        </w:rPr>
      </w:pPr>
      <w:r w:rsidRPr="00FC5566">
        <w:rPr>
          <w:kern w:val="2"/>
        </w:rPr>
        <w:t>(b).</w:t>
      </w:r>
      <w:r w:rsidRPr="00FC5566">
        <w:rPr>
          <w:kern w:val="2"/>
        </w:rPr>
        <w:tab/>
        <w:t xml:space="preserve">to make recommendations for, and to assess the potential for ergonomic changes; </w:t>
      </w:r>
    </w:p>
    <w:p w14:paraId="3E8ECA5B" w14:textId="77777777" w:rsidR="00FC5566" w:rsidRPr="00FC5566" w:rsidRDefault="00FC5566" w:rsidP="00FC5566">
      <w:pPr>
        <w:tabs>
          <w:tab w:val="left" w:pos="1267"/>
          <w:tab w:val="left" w:pos="4500"/>
          <w:tab w:val="left" w:pos="4680"/>
          <w:tab w:val="left" w:pos="4860"/>
          <w:tab w:val="left" w:pos="5040"/>
          <w:tab w:val="left" w:pos="7200"/>
        </w:tabs>
        <w:ind w:firstLine="907"/>
        <w:jc w:val="both"/>
        <w:outlineLvl w:val="7"/>
        <w:rPr>
          <w:kern w:val="2"/>
        </w:rPr>
      </w:pPr>
      <w:r w:rsidRPr="00FC5566">
        <w:rPr>
          <w:kern w:val="2"/>
        </w:rPr>
        <w:t>(c).</w:t>
      </w:r>
      <w:r w:rsidRPr="00FC5566">
        <w:rPr>
          <w:kern w:val="2"/>
        </w:rPr>
        <w:tab/>
        <w:t xml:space="preserve">to determine the essential demands of the job; </w:t>
      </w:r>
    </w:p>
    <w:p w14:paraId="06F5E31A" w14:textId="77777777" w:rsidR="00FC5566" w:rsidRPr="00FC5566" w:rsidRDefault="00FC5566" w:rsidP="00FC5566">
      <w:pPr>
        <w:tabs>
          <w:tab w:val="left" w:pos="1267"/>
          <w:tab w:val="left" w:pos="4500"/>
          <w:tab w:val="left" w:pos="4680"/>
          <w:tab w:val="left" w:pos="4860"/>
          <w:tab w:val="left" w:pos="5040"/>
          <w:tab w:val="left" w:pos="7200"/>
        </w:tabs>
        <w:ind w:firstLine="907"/>
        <w:jc w:val="both"/>
        <w:outlineLvl w:val="7"/>
        <w:rPr>
          <w:kern w:val="2"/>
        </w:rPr>
      </w:pPr>
      <w:r w:rsidRPr="00FC5566">
        <w:rPr>
          <w:kern w:val="2"/>
        </w:rPr>
        <w:t>(d).</w:t>
      </w:r>
      <w:r w:rsidRPr="00FC5566">
        <w:rPr>
          <w:kern w:val="2"/>
        </w:rPr>
        <w:tab/>
        <w:t xml:space="preserve">to provide a detailed description of the physical and cognitive job requirements; </w:t>
      </w:r>
    </w:p>
    <w:p w14:paraId="2215FEFD" w14:textId="77777777" w:rsidR="00FC5566" w:rsidRPr="00FC5566" w:rsidRDefault="00FC5566" w:rsidP="00FC5566">
      <w:pPr>
        <w:tabs>
          <w:tab w:val="left" w:pos="1267"/>
          <w:tab w:val="left" w:pos="4500"/>
          <w:tab w:val="left" w:pos="4680"/>
          <w:tab w:val="left" w:pos="4860"/>
          <w:tab w:val="left" w:pos="5040"/>
          <w:tab w:val="left" w:pos="7200"/>
        </w:tabs>
        <w:ind w:firstLine="907"/>
        <w:jc w:val="both"/>
        <w:outlineLvl w:val="7"/>
        <w:rPr>
          <w:kern w:val="2"/>
        </w:rPr>
      </w:pPr>
      <w:r w:rsidRPr="00FC5566">
        <w:rPr>
          <w:kern w:val="2"/>
        </w:rPr>
        <w:t>(e).</w:t>
      </w:r>
      <w:r w:rsidRPr="00FC5566">
        <w:rPr>
          <w:kern w:val="2"/>
        </w:rPr>
        <w:tab/>
        <w:t xml:space="preserve">to assist the patient in their return-to-work by educating them on how they may be able to do their job more safely and in a more bio-mechanically appropriate manner; </w:t>
      </w:r>
    </w:p>
    <w:p w14:paraId="40E3FFA2" w14:textId="77777777" w:rsidR="00FC5566" w:rsidRPr="00FC5566" w:rsidRDefault="00FC5566" w:rsidP="00FC5566">
      <w:pPr>
        <w:tabs>
          <w:tab w:val="left" w:pos="1267"/>
          <w:tab w:val="left" w:pos="4500"/>
          <w:tab w:val="left" w:pos="4680"/>
          <w:tab w:val="left" w:pos="4860"/>
          <w:tab w:val="left" w:pos="5040"/>
          <w:tab w:val="left" w:pos="7200"/>
        </w:tabs>
        <w:ind w:firstLine="907"/>
        <w:jc w:val="both"/>
        <w:outlineLvl w:val="7"/>
        <w:rPr>
          <w:kern w:val="2"/>
        </w:rPr>
      </w:pPr>
      <w:r w:rsidRPr="00FC5566">
        <w:rPr>
          <w:kern w:val="2"/>
        </w:rPr>
        <w:t>(f).</w:t>
      </w:r>
      <w:r w:rsidRPr="00FC5566">
        <w:rPr>
          <w:kern w:val="2"/>
        </w:rPr>
        <w:tab/>
        <w:t xml:space="preserve">to give detailed work/activity restrictions. </w:t>
      </w:r>
    </w:p>
    <w:p w14:paraId="05D2CDE2"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strike/>
          <w:kern w:val="2"/>
        </w:rPr>
      </w:pPr>
      <w:r w:rsidRPr="00FC5566">
        <w:rPr>
          <w:kern w:val="2"/>
        </w:rPr>
        <w:tab/>
        <w:t>ii.</w:t>
      </w:r>
      <w:r w:rsidRPr="00FC5566">
        <w:rPr>
          <w:kern w:val="2"/>
        </w:rPr>
        <w:tab/>
        <w:t>Frequency: One time with additional visits as needed for follow-up per job-site.</w:t>
      </w:r>
    </w:p>
    <w:p w14:paraId="03311D63" w14:textId="77777777" w:rsidR="00FC5566" w:rsidRPr="00FC5566" w:rsidRDefault="00FC5566" w:rsidP="00FC5566">
      <w:pPr>
        <w:tabs>
          <w:tab w:val="left" w:pos="907"/>
        </w:tabs>
        <w:ind w:firstLine="547"/>
        <w:jc w:val="both"/>
        <w:outlineLvl w:val="5"/>
        <w:rPr>
          <w:kern w:val="2"/>
        </w:rPr>
      </w:pPr>
      <w:r w:rsidRPr="00FC5566">
        <w:rPr>
          <w:kern w:val="2"/>
        </w:rPr>
        <w:t>d. - d.i.</w:t>
      </w:r>
      <w:r w:rsidRPr="00FC5566">
        <w:rPr>
          <w:kern w:val="2"/>
        </w:rPr>
        <w:tab/>
        <w:t>...</w:t>
      </w:r>
    </w:p>
    <w:p w14:paraId="0E4120FB" w14:textId="77777777" w:rsidR="00FC5566" w:rsidRPr="00FC5566" w:rsidRDefault="00FC5566" w:rsidP="00FC5566">
      <w:pPr>
        <w:tabs>
          <w:tab w:val="left" w:pos="907"/>
        </w:tabs>
        <w:ind w:firstLine="547"/>
        <w:jc w:val="both"/>
        <w:outlineLvl w:val="5"/>
        <w:rPr>
          <w:kern w:val="2"/>
        </w:rPr>
      </w:pPr>
      <w:r w:rsidRPr="00FC5566">
        <w:rPr>
          <w:kern w:val="2"/>
        </w:rPr>
        <w:t>e.</w:t>
      </w:r>
      <w:r w:rsidRPr="00FC5566">
        <w:rPr>
          <w:kern w:val="2"/>
        </w:rPr>
        <w:tab/>
        <w:t xml:space="preserve">Work Tolerance Screening (Partial FCE): is a limited performance-based medical assessment of an injured worker’s physical and/or cognitive abilities to safely participate in work and other major life activities. Work Tolerance Screenings are indicated as part of a work conditioning evaluation to establish an injured worker’s safe functional baseline prior to beginning the work conditioning program. Work Tolerance screenings are also indicated early on after a work injury to help determine an injured worker’s safe functional baseline for return to work full-duty or in a modified-duty job. Work Tolerance Screenings can be used initially to determine baseline status and to monitor and assess progress. Up to a total of four hours of evaluation time conducted on one day should be authorized for Work Tolerance Screenings. </w:t>
      </w:r>
    </w:p>
    <w:p w14:paraId="739AF1A2"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lastRenderedPageBreak/>
        <w:tab/>
        <w:t>i.</w:t>
      </w:r>
      <w:r w:rsidRPr="00FC5566">
        <w:rPr>
          <w:kern w:val="2"/>
        </w:rPr>
        <w:tab/>
        <w:t xml:space="preserve">Frequency: Once every four weeks up to a total of six visits. </w:t>
      </w:r>
    </w:p>
    <w:p w14:paraId="1A34CA64"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 xml:space="preserve">Promulgated in accordance with R.S. 23:1203.1. </w:t>
      </w:r>
    </w:p>
    <w:p w14:paraId="76451F9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Louisiana Workforce Commission, Office of Workers Compensation Administration, LR 37:1825 (June 2011), LR 49:522 (March 2023), amended by the Louisiana Works, Office of Workers Compensation Administration, LR 52:1367 (August 2026).</w:t>
      </w:r>
    </w:p>
    <w:p w14:paraId="54D9C5B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p w14:paraId="4182B9A6" w14:textId="77777777" w:rsidR="00FC5566" w:rsidRPr="00FC5566" w:rsidRDefault="00FC5566" w:rsidP="00FC5566">
      <w:pPr>
        <w:keepNext/>
        <w:ind w:left="2160"/>
        <w:jc w:val="both"/>
      </w:pPr>
      <w:r w:rsidRPr="00FC5566">
        <w:t>Susana Schowen</w:t>
      </w:r>
    </w:p>
    <w:p w14:paraId="4F18E9AC" w14:textId="77777777" w:rsidR="00FC5566" w:rsidRPr="00FC5566" w:rsidRDefault="00FC5566" w:rsidP="00FC5566">
      <w:pPr>
        <w:keepNext/>
        <w:ind w:left="2160"/>
        <w:jc w:val="both"/>
      </w:pPr>
      <w:r w:rsidRPr="00FC5566">
        <w:t xml:space="preserve">Secretary </w:t>
      </w:r>
    </w:p>
    <w:p w14:paraId="09C9598F" w14:textId="77777777" w:rsidR="00FC5566" w:rsidRPr="00FC5566" w:rsidRDefault="00FC5566" w:rsidP="00FC5566">
      <w:pPr>
        <w:rPr>
          <w:noProof/>
          <w:sz w:val="16"/>
          <w:szCs w:val="16"/>
        </w:rPr>
      </w:pPr>
      <w:r w:rsidRPr="00FC5566">
        <w:rPr>
          <w:noProof/>
          <w:sz w:val="16"/>
          <w:szCs w:val="16"/>
        </w:rPr>
        <w:t>2608#057</w:t>
      </w:r>
    </w:p>
    <w:p w14:paraId="0C7D6FE9" w14:textId="77777777" w:rsidR="00FC5566" w:rsidRPr="00FC5566" w:rsidRDefault="00FC5566" w:rsidP="00FC5566"/>
    <w:p w14:paraId="433AF085" w14:textId="77777777" w:rsidR="00FC5566" w:rsidRPr="00FC5566" w:rsidRDefault="00FC5566" w:rsidP="00FC5566">
      <w:pPr>
        <w:keepNext/>
        <w:tabs>
          <w:tab w:val="left" w:pos="-1440"/>
        </w:tabs>
        <w:spacing w:after="120"/>
        <w:jc w:val="center"/>
        <w:rPr>
          <w:b/>
          <w:noProof/>
        </w:rPr>
      </w:pPr>
      <w:r w:rsidRPr="00FC5566">
        <w:rPr>
          <w:b/>
          <w:noProof/>
        </w:rPr>
        <w:t>RULE</w:t>
      </w:r>
    </w:p>
    <w:p w14:paraId="472A04F8" w14:textId="77777777" w:rsidR="00FC5566" w:rsidRPr="00FC5566" w:rsidRDefault="00FC5566" w:rsidP="00FC5566">
      <w:pPr>
        <w:keepNext/>
        <w:jc w:val="center"/>
        <w:rPr>
          <w:b/>
          <w:noProof/>
        </w:rPr>
      </w:pPr>
      <w:r w:rsidRPr="00FC5566">
        <w:rPr>
          <w:b/>
          <w:noProof/>
        </w:rPr>
        <w:t>Louisiana Works</w:t>
      </w:r>
    </w:p>
    <w:p w14:paraId="320D7217" w14:textId="77777777" w:rsidR="00FC5566" w:rsidRPr="00FC5566" w:rsidRDefault="00FC5566" w:rsidP="00FC5566">
      <w:pPr>
        <w:keepNext/>
        <w:jc w:val="center"/>
        <w:rPr>
          <w:b/>
          <w:noProof/>
        </w:rPr>
      </w:pPr>
      <w:r w:rsidRPr="00FC5566">
        <w:rPr>
          <w:b/>
          <w:noProof/>
        </w:rPr>
        <w:t>Rehabilitation Services</w:t>
      </w:r>
    </w:p>
    <w:p w14:paraId="48DEA795" w14:textId="77777777" w:rsidR="00FC5566" w:rsidRPr="00FC5566" w:rsidRDefault="00FC5566" w:rsidP="00FC5566">
      <w:pPr>
        <w:keepNext/>
        <w:spacing w:before="240" w:after="240"/>
        <w:jc w:val="center"/>
        <w:rPr>
          <w:noProof/>
        </w:rPr>
      </w:pPr>
      <w:r w:rsidRPr="00FC5566">
        <w:rPr>
          <w:noProof/>
        </w:rPr>
        <w:t>Rehabilitation Services</w:t>
      </w:r>
      <w:r w:rsidRPr="00FC5566">
        <w:rPr>
          <w:noProof/>
        </w:rPr>
        <w:br/>
        <w:t>(LAC 67:VII.Chapters 1-21)</w:t>
      </w:r>
    </w:p>
    <w:p w14:paraId="20CFE70F"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Louisiana Works, Louisiana Rehabilitation Services (LRS) amends Chapters 1, 2, 5, 15, 17, and 21 of LAC 67, Social Services, as authorized by R.S. 23:3022. The amendments are adopted in accordance with provisions of the Administrative Procedure Act, R.S. 49:950 et seq.</w:t>
      </w:r>
    </w:p>
    <w:p w14:paraId="62DFDB73"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The amendments to Chapter 1 of LAC 67 update the name of the designated state agency providing governance and oversight to Louisiana Rehabilitation Services (LRS) from “Louisiana Workforce Commission” to “Louisiana Works” in accordance with Act No. 478 of the 2025 regular legislative session. The amendments adopt language for eligibility and ineligibility criteria. The amendments clarify stipulations for Trial Work services. The amendments add language pertaining to the development of Individualized Plans for Employment. The amendments change and clarify language regarding the financial administration of services provided by LRS. The amendments update the services provided by LRS. The amendments adopt language for conditions of case closure. The amendments also update citations of legal authority, and correct spelling and punctuation errors for accuracy throughout the chapter.</w:t>
      </w:r>
    </w:p>
    <w:p w14:paraId="40F2C30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The amendments to Chapter 2 of LAC 67 add language to the purpose of Community Rehabilitation Programs (CRP). The amendments update language related to items required in administrative files of a CRP. The amendments clarify language for the governing body. The adopted amendments add criteria requirement for personnel administration and staff development. The amendments change language to clarify monitoring practices, and denial or revocation of vendorship.</w:t>
      </w:r>
    </w:p>
    <w:p w14:paraId="3C311E9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The amendments to Chapter 5 of LAC 67 update and add definition of terms. The amendments provide further clarification on the policy of non-discrimination. The amendments include language adopted to clarify the responsibilities of licensed managers and the State Licensing Authority with regard to Business Enterprise operations and standards. The amendments provide clarification on the Title and authority of the Louisiana Blind Vendor’s Elected Committee. The amendments also update citations of legal authority and correct spelling and punctuation errors for accuracy throughout the chapter.</w:t>
      </w:r>
    </w:p>
    <w:p w14:paraId="436E628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 xml:space="preserve">The amendments to Chapter 15 of LAC 67 update the name of the designated state agency providing governance and </w:t>
      </w:r>
      <w:r w:rsidRPr="00FC5566">
        <w:rPr>
          <w:kern w:val="2"/>
        </w:rPr>
        <w:t>oversight to Louisiana Rehabilitation Services (LRS) from “Louisiana Workforce Commission” to “Louisiana Works” in accordance with Act No. 478 of the 2025 regular legislative session.</w:t>
      </w:r>
    </w:p>
    <w:p w14:paraId="7CC7150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The amendments to Chapter 17 of LAC 67 provide federal guidance on the prohibition of sub-granting. The amendments repeal language that is unnecessary or not applicable to this chapter. The amendments replace the terms of “grantee” and “grant” with “contractor” and “project”. The amendments adopt changes related to the acquisition of real property and equipment.</w:t>
      </w:r>
    </w:p>
    <w:p w14:paraId="7C7DD580"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 xml:space="preserve">The amendments to Chapter 21 of LAC 67 update the name of the designated state agency providing governance and oversight to Louisiana Rehabilitation Services (LRS) from “Louisiana Workforce Commission” to “Louisiana Works” in accordance with Act No. 478 of the 2025 regular legislative session. The amendments include an update to the definition of terms. The amendments also clarify the membership composition of the Blind Vendors Trust Fund Board. The amendments also include the consideration of the Louisiana Blind Vendors Elected Committee with regard to expenditure approval of the fund. This Rule is hereby adopted on the day of promulgation. </w:t>
      </w:r>
    </w:p>
    <w:p w14:paraId="02747F5F" w14:textId="77777777" w:rsidR="00FC5566" w:rsidRPr="00FC5566" w:rsidRDefault="00FC5566" w:rsidP="00FC5566">
      <w:pPr>
        <w:keepNext/>
        <w:jc w:val="center"/>
        <w:rPr>
          <w:b/>
          <w:kern w:val="28"/>
        </w:rPr>
      </w:pPr>
      <w:r w:rsidRPr="00FC5566">
        <w:rPr>
          <w:b/>
          <w:kern w:val="28"/>
        </w:rPr>
        <w:t>Title 67</w:t>
      </w:r>
    </w:p>
    <w:p w14:paraId="4A471A55" w14:textId="77777777" w:rsidR="00FC5566" w:rsidRPr="00FC5566" w:rsidRDefault="00FC5566" w:rsidP="00FC5566">
      <w:pPr>
        <w:keepNext/>
        <w:jc w:val="center"/>
        <w:rPr>
          <w:b/>
          <w:kern w:val="28"/>
        </w:rPr>
      </w:pPr>
      <w:r w:rsidRPr="00FC5566">
        <w:rPr>
          <w:b/>
          <w:kern w:val="28"/>
        </w:rPr>
        <w:t>SOCIAL SERVICES</w:t>
      </w:r>
    </w:p>
    <w:p w14:paraId="24C9F8EA" w14:textId="77777777" w:rsidR="00FC5566" w:rsidRPr="00FC5566" w:rsidRDefault="00FC5566" w:rsidP="00FC5566">
      <w:pPr>
        <w:keepNext/>
        <w:jc w:val="center"/>
        <w:rPr>
          <w:b/>
          <w:noProof/>
        </w:rPr>
      </w:pPr>
      <w:bookmarkStart w:id="303" w:name="TOC_Part24"/>
      <w:bookmarkStart w:id="304" w:name="_Toc248893790"/>
      <w:bookmarkStart w:id="305" w:name="_Toc257205913"/>
      <w:bookmarkStart w:id="306" w:name="_Toc40957896"/>
      <w:r w:rsidRPr="00FC5566">
        <w:rPr>
          <w:b/>
          <w:noProof/>
        </w:rPr>
        <w:t>Part VII.  Rehabilitation Services</w:t>
      </w:r>
      <w:bookmarkStart w:id="307" w:name="TOC_Chap184"/>
      <w:bookmarkStart w:id="308" w:name="_Toc215471615"/>
      <w:bookmarkStart w:id="309" w:name="_Toc248893791"/>
      <w:bookmarkStart w:id="310" w:name="_Toc257205914"/>
      <w:bookmarkStart w:id="311" w:name="_Toc40957897"/>
      <w:bookmarkEnd w:id="303"/>
      <w:bookmarkEnd w:id="304"/>
      <w:bookmarkEnd w:id="305"/>
      <w:bookmarkEnd w:id="306"/>
      <w:r w:rsidRPr="00FC5566">
        <w:rPr>
          <w:b/>
          <w:noProof/>
        </w:rPr>
        <w:t xml:space="preserve"> </w:t>
      </w:r>
    </w:p>
    <w:p w14:paraId="735EDECE"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Chapter 1.</w:t>
      </w:r>
      <w:bookmarkStart w:id="312" w:name="TOCT_Chap184"/>
      <w:bookmarkEnd w:id="307"/>
      <w:r w:rsidRPr="00FC5566">
        <w:rPr>
          <w:b/>
          <w:kern w:val="2"/>
        </w:rPr>
        <w:tab/>
        <w:t>General Provisions</w:t>
      </w:r>
      <w:bookmarkStart w:id="313" w:name="_Toc215471616"/>
      <w:bookmarkStart w:id="314" w:name="_Toc248893792"/>
      <w:bookmarkStart w:id="315" w:name="_Toc257205915"/>
      <w:bookmarkStart w:id="316" w:name="_Toc40957898"/>
      <w:bookmarkEnd w:id="308"/>
      <w:bookmarkEnd w:id="309"/>
      <w:bookmarkEnd w:id="310"/>
      <w:bookmarkEnd w:id="311"/>
      <w:bookmarkEnd w:id="312"/>
    </w:p>
    <w:p w14:paraId="19966EB6"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§101.</w:t>
      </w:r>
      <w:r w:rsidRPr="00FC5566">
        <w:rPr>
          <w:b/>
          <w:kern w:val="2"/>
        </w:rPr>
        <w:tab/>
        <w:t>Agency Profile</w:t>
      </w:r>
      <w:bookmarkEnd w:id="313"/>
      <w:bookmarkEnd w:id="314"/>
      <w:bookmarkEnd w:id="315"/>
      <w:bookmarkEnd w:id="316"/>
    </w:p>
    <w:p w14:paraId="3B2208EB"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D.</w:t>
      </w:r>
      <w:r w:rsidRPr="00FC5566">
        <w:rPr>
          <w:kern w:val="2"/>
        </w:rPr>
        <w:tab/>
        <w:t>…</w:t>
      </w:r>
    </w:p>
    <w:p w14:paraId="23BD002E"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E.</w:t>
      </w:r>
      <w:r w:rsidRPr="00FC5566">
        <w:rPr>
          <w:kern w:val="2"/>
        </w:rPr>
        <w:tab/>
        <w:t>Nondiscrimination. All programs administered by and all services provided by LRS shall be rendered on a nondiscrimination basis without regard to disability, race, color, sex, religion, age, national origin, duration of residence in Louisiana, or status with regard to public assistance in compliance with all appropriate state and federal laws and regulations to include Title VI of the Civil Rights Act of 1964.</w:t>
      </w:r>
    </w:p>
    <w:p w14:paraId="24BCB24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F.</w:t>
      </w:r>
      <w:r w:rsidRPr="00FC5566">
        <w:rPr>
          <w:kern w:val="2"/>
        </w:rPr>
        <w:tab/>
        <w:t>Compliance with State Laws, Federal Laws and Regulations, and Departmental Policies and Procedures. Staff shall comply with all state and federal laws, agency and civil service rules and regulations, Title I of the Rehabilitation Act of 1973, as amended, and the Americans with Disabilities Act (ADA) of 1990, as amended (Public Law 101-336).</w:t>
      </w:r>
    </w:p>
    <w:p w14:paraId="760F8E1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G. - Q.</w:t>
      </w:r>
      <w:r w:rsidRPr="00FC5566">
        <w:rPr>
          <w:kern w:val="2"/>
        </w:rPr>
        <w:tab/>
        <w:t>...</w:t>
      </w:r>
    </w:p>
    <w:p w14:paraId="4DCB6C83"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R.</w:t>
      </w:r>
      <w:r w:rsidRPr="00FC5566">
        <w:rPr>
          <w:kern w:val="2"/>
        </w:rPr>
        <w:tab/>
        <w:t>Misrepresentation, Fraud, Collusion, or Criminal Conduct</w:t>
      </w:r>
    </w:p>
    <w:p w14:paraId="100EBB2E"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Individuals who obtain access to the services provided by LRS through means of misrepresentation, fraud, collusion, or criminal conduct shall be held responsible for the return of funds expended by LRS on the individual's behalf. Further, such actions shall result in the closure of the individual's vocational rehabilitation case record. Failure on the individual's part to make reparation of funds to the agency may result in legal action being taken by Louisiana Works.</w:t>
      </w:r>
    </w:p>
    <w:p w14:paraId="202F822B"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 xml:space="preserve">In cases in which LRS is in possession of clear evidence of misrepresentation, fraud, collusion, or criminal conduct on the part of the individual for the purpose of obtaining services for which the individual would not otherwise be eligible, the individual's case will be referred to the Louisiana Works general counsel for consultation and/or investigation. If the Louisiana Works general counsel concurs or determines that the individual has obtained services through misrepresentation, fraud, collusion, or criminal </w:t>
      </w:r>
      <w:r w:rsidRPr="00FC5566">
        <w:rPr>
          <w:kern w:val="2"/>
        </w:rPr>
        <w:lastRenderedPageBreak/>
        <w:t>conduct, a certified letter will be directed to the individual by the LRS Counselor demanding payment in full of funds which have been expended by the agency on the individual's behalf. The failure of the individual to comply with the demand for reparation may result in legal action being taken on behalf of LRS.</w:t>
      </w:r>
    </w:p>
    <w:p w14:paraId="59A176C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S. - T.</w:t>
      </w:r>
      <w:r w:rsidRPr="00FC5566">
        <w:rPr>
          <w:kern w:val="2"/>
        </w:rPr>
        <w:tab/>
        <w:t>…</w:t>
      </w:r>
    </w:p>
    <w:p w14:paraId="22566AE4"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49:664.4 and R.S. 36:477.</w:t>
      </w:r>
    </w:p>
    <w:p w14:paraId="684F61F3"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Rehabilitation Services, LR 17:891 (September 1991), amended LR 20:317 (March 1994), repromulgated LR 21:189 (February 1995), amended LR 21:473 (May 1995), LR 21:837 (August 1995), LR 25:1263 (July 1999), LR 29:46 (January 2003), amended by the Workforce Commission, Rehabilitation Services, LR 48:304 (February 2022), amended by Louisiana Works, Rehabilitation Services, LR 52:1368 (August 2026).</w:t>
      </w:r>
    </w:p>
    <w:p w14:paraId="486D9F2A"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§103.</w:t>
      </w:r>
      <w:r w:rsidRPr="00FC5566">
        <w:rPr>
          <w:b/>
          <w:kern w:val="2"/>
        </w:rPr>
        <w:tab/>
        <w:t>Enabling Legislation</w:t>
      </w:r>
    </w:p>
    <w:p w14:paraId="307FD9B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B.</w:t>
      </w:r>
      <w:r w:rsidRPr="00FC5566">
        <w:rPr>
          <w:kern w:val="2"/>
        </w:rPr>
        <w:tab/>
        <w:t>…</w:t>
      </w:r>
    </w:p>
    <w:p w14:paraId="33CFF19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r>
      <w:r w:rsidRPr="00FC5566">
        <w:rPr>
          <w:i/>
          <w:iCs/>
          <w:kern w:val="2"/>
        </w:rPr>
        <w:t>Louisiana Revised Statutes</w:t>
      </w:r>
    </w:p>
    <w:p w14:paraId="4B73D27F"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Act 939 of the 2010 Legislative Session transferred programs operated by LRS from the Department of Social Services to Louisiana Workforce Commission, now known as Louisiana Works.</w:t>
      </w:r>
    </w:p>
    <w:p w14:paraId="355F2529"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w:t>
      </w:r>
    </w:p>
    <w:p w14:paraId="1E215343"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Act 109 of 1984 and Act 291 of 1986 enacted and authorized the State Use Law.</w:t>
      </w:r>
    </w:p>
    <w:p w14:paraId="7F84021C"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w:t>
      </w:r>
      <w:r w:rsidRPr="00FC5566">
        <w:rPr>
          <w:kern w:val="2"/>
        </w:rPr>
        <w:tab/>
        <w:t>Act 10 of 1994 enacted and authorized to provide for the implementation of the National Voter Registration Act of 1993.</w:t>
      </w:r>
    </w:p>
    <w:p w14:paraId="0651E509"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23-3001.</w:t>
      </w:r>
    </w:p>
    <w:p w14:paraId="0ECC3D4D"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Rehabilitation Services, LR 17:891 (September 1991), amended LR 20:317 (March 1994), LR 25:1265 (July 1999), LR 29:46 (January 2003), amended by Workforce Commission, Rehabilitation Services, LR 41:1775 (September 2015), LR 48:305 (February 2022), amended by Louisiana Works, Rehabilitation Services, LR 52:1369 (August 2026).</w:t>
      </w:r>
    </w:p>
    <w:p w14:paraId="4C585AD6"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317" w:name="_Toc215471617"/>
      <w:bookmarkStart w:id="318" w:name="_Toc248893793"/>
      <w:bookmarkStart w:id="319" w:name="_Toc257205916"/>
      <w:bookmarkStart w:id="320" w:name="_Toc40957899"/>
      <w:r w:rsidRPr="00FC5566">
        <w:rPr>
          <w:b/>
          <w:kern w:val="2"/>
        </w:rPr>
        <w:t>§105.</w:t>
      </w:r>
      <w:r w:rsidRPr="00FC5566">
        <w:rPr>
          <w:b/>
          <w:kern w:val="2"/>
        </w:rPr>
        <w:tab/>
      </w:r>
      <w:bookmarkEnd w:id="317"/>
      <w:bookmarkEnd w:id="318"/>
      <w:bookmarkEnd w:id="319"/>
      <w:bookmarkEnd w:id="320"/>
      <w:r w:rsidRPr="00FC5566">
        <w:rPr>
          <w:b/>
          <w:kern w:val="2"/>
        </w:rPr>
        <w:t>Confidentiality</w:t>
      </w:r>
    </w:p>
    <w:p w14:paraId="74A18F7E"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C.1.a.</w:t>
      </w:r>
      <w:r w:rsidRPr="00FC5566">
        <w:rPr>
          <w:kern w:val="2"/>
        </w:rPr>
        <w:tab/>
        <w:t>…</w:t>
      </w:r>
    </w:p>
    <w:p w14:paraId="750AC71C" w14:textId="77777777" w:rsidR="00FC5566" w:rsidRPr="00FC5566" w:rsidRDefault="00FC5566" w:rsidP="00FC5566">
      <w:pPr>
        <w:tabs>
          <w:tab w:val="left" w:pos="907"/>
        </w:tabs>
        <w:ind w:firstLine="547"/>
        <w:jc w:val="both"/>
        <w:outlineLvl w:val="5"/>
        <w:rPr>
          <w:kern w:val="2"/>
        </w:rPr>
      </w:pPr>
      <w:r w:rsidRPr="00FC5566">
        <w:rPr>
          <w:kern w:val="2"/>
        </w:rPr>
        <w:t>b.</w:t>
      </w:r>
      <w:r w:rsidRPr="00FC5566">
        <w:rPr>
          <w:kern w:val="2"/>
        </w:rPr>
        <w:tab/>
        <w:t>Louisiana Works, formerly the Louisiana Department of Labor and Louisiana Workforce Commission, and military services of the United States government;</w:t>
      </w:r>
    </w:p>
    <w:p w14:paraId="3985849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C.1.c. - D.1.</w:t>
      </w:r>
      <w:r w:rsidRPr="00FC5566">
        <w:rPr>
          <w:kern w:val="2"/>
        </w:rPr>
        <w:tab/>
        <w:t>…</w:t>
      </w:r>
    </w:p>
    <w:p w14:paraId="523B9135"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medical, psychological, or other information which the counselor determines harmful to the individual;</w:t>
      </w:r>
    </w:p>
    <w:p w14:paraId="523E729F" w14:textId="77777777" w:rsidR="00FC5566" w:rsidRPr="00FC5566" w:rsidRDefault="00FC5566" w:rsidP="00FC5566">
      <w:pPr>
        <w:ind w:left="432" w:right="432"/>
        <w:jc w:val="both"/>
        <w:rPr>
          <w:noProof/>
          <w:sz w:val="16"/>
          <w:szCs w:val="16"/>
        </w:rPr>
      </w:pPr>
      <w:r w:rsidRPr="00FC5566">
        <w:rPr>
          <w:noProof/>
          <w:sz w:val="16"/>
          <w:szCs w:val="16"/>
        </w:rPr>
        <w:t>NOTE: Such information may not be released directly to the individual, but must be released, with the individual's informed consent, to the individual's representative, or a physician or a licensed or certified mental health professional.</w:t>
      </w:r>
    </w:p>
    <w:p w14:paraId="40C02BD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D.3. - G.2.b.</w:t>
      </w:r>
      <w:r w:rsidRPr="00FC5566">
        <w:rPr>
          <w:kern w:val="2"/>
        </w:rPr>
        <w:tab/>
        <w:t>…</w:t>
      </w:r>
    </w:p>
    <w:p w14:paraId="275E5DB3" w14:textId="77777777" w:rsidR="00FC5566" w:rsidRPr="00FC5566" w:rsidRDefault="00FC5566" w:rsidP="00FC5566">
      <w:pPr>
        <w:tabs>
          <w:tab w:val="left" w:pos="907"/>
        </w:tabs>
        <w:ind w:firstLine="547"/>
        <w:jc w:val="both"/>
        <w:outlineLvl w:val="5"/>
        <w:rPr>
          <w:kern w:val="2"/>
        </w:rPr>
      </w:pPr>
      <w:r w:rsidRPr="00FC5566">
        <w:rPr>
          <w:kern w:val="2"/>
        </w:rPr>
        <w:t>c.</w:t>
      </w:r>
      <w:r w:rsidRPr="00FC5566">
        <w:rPr>
          <w:kern w:val="2"/>
        </w:rPr>
        <w:tab/>
        <w:t>inform the regional manager or designee if the above steps do not resolve the situation. In this case, the regional manager or designee will then turn the matter over to the Louisiana Works’ legal counsel.</w:t>
      </w:r>
    </w:p>
    <w:p w14:paraId="6A3D7544"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when an employee is subpoenaed to testify in court or to present case record information in court concerning a client, the employee is to do the following:</w:t>
      </w:r>
    </w:p>
    <w:p w14:paraId="52C8985B" w14:textId="77777777" w:rsidR="00FC5566" w:rsidRPr="00FC5566" w:rsidRDefault="00FC5566" w:rsidP="00FC5566">
      <w:pPr>
        <w:tabs>
          <w:tab w:val="left" w:pos="144"/>
          <w:tab w:val="left" w:pos="187"/>
          <w:tab w:val="left" w:pos="540"/>
          <w:tab w:val="left" w:pos="907"/>
          <w:tab w:val="left" w:pos="1080"/>
          <w:tab w:val="left" w:pos="1980"/>
        </w:tabs>
        <w:ind w:firstLine="187"/>
        <w:jc w:val="both"/>
        <w:outlineLvl w:val="3"/>
        <w:rPr>
          <w:kern w:val="2"/>
        </w:rPr>
      </w:pPr>
      <w:r w:rsidRPr="00FC5566">
        <w:rPr>
          <w:kern w:val="2"/>
        </w:rPr>
        <w:t>G.3.a. - G.3.d.iii.</w:t>
      </w:r>
      <w:r w:rsidRPr="00FC5566">
        <w:rPr>
          <w:kern w:val="2"/>
        </w:rPr>
        <w:tab/>
        <w:t>…</w:t>
      </w:r>
    </w:p>
    <w:p w14:paraId="7489AF0D"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23-3001.</w:t>
      </w:r>
    </w:p>
    <w:p w14:paraId="610D7750"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br w:type="column"/>
      </w:r>
      <w:r w:rsidRPr="00FC5566">
        <w:rPr>
          <w:kern w:val="2"/>
          <w:sz w:val="18"/>
        </w:rPr>
        <w:t>HISTORICAL NOTE:</w:t>
      </w:r>
      <w:r w:rsidRPr="00FC5566">
        <w:rPr>
          <w:kern w:val="2"/>
          <w:sz w:val="18"/>
        </w:rPr>
        <w:tab/>
        <w:t>Promulgated by the Department of Social Services, Office of Rehabilitation Services, LR 17:891 (September 1991), amended LR 20:317 (March 1994), LR 22:993 (October 1996), repromulgated LR 25:1265 (July 1999), amended by the Workforce Commission, Rehabilitation Services, LR 41:1775 (September 2015), amended by Louisiana Works, Rehabilitation Services, LR 52:1369 (August 2026).</w:t>
      </w:r>
    </w:p>
    <w:p w14:paraId="5CA71FFD"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321" w:name="_Toc215471619"/>
      <w:bookmarkStart w:id="322" w:name="_Toc248893795"/>
      <w:bookmarkStart w:id="323" w:name="_Toc257205918"/>
      <w:bookmarkStart w:id="324" w:name="_Toc40957901"/>
      <w:r w:rsidRPr="00FC5566">
        <w:rPr>
          <w:b/>
          <w:kern w:val="2"/>
        </w:rPr>
        <w:t>§107.</w:t>
      </w:r>
      <w:r w:rsidRPr="00FC5566">
        <w:rPr>
          <w:b/>
          <w:kern w:val="2"/>
        </w:rPr>
        <w:tab/>
        <w:t>Applicant/Client Appeal Rights</w:t>
      </w:r>
      <w:bookmarkEnd w:id="321"/>
      <w:bookmarkEnd w:id="322"/>
      <w:bookmarkEnd w:id="323"/>
      <w:bookmarkEnd w:id="324"/>
    </w:p>
    <w:p w14:paraId="12830448"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Administrative Review</w:t>
      </w:r>
    </w:p>
    <w:p w14:paraId="4747E9B1"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The administrative review is a process which may be used by applicants/clients (or as appropriate the applicant's/client's representative) for a timely resolution of disagreements. However, this process may not be used as a means to delay a fair hearing conducted by an impartial hearing officer. The administrative review will allow the applicant/client an opportunity for an in-person or virtual meeting in which a thorough discussion with the regional manager or designee can take place regarding the issue(s) of concern. All administrative reviews render a final decision expeditiously after receipt of the initial written request from the applicant/client.</w:t>
      </w:r>
    </w:p>
    <w:p w14:paraId="2CDCF33C"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w:t>
      </w:r>
    </w:p>
    <w:p w14:paraId="336C06A9"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In order to ensure that an applicant/client is afforded the option of availing themselves of the opportunity to appeal agency decisions impacting their vocational rehabilitation case, written notification by the counselor and/or regional manager must include:</w:t>
      </w:r>
    </w:p>
    <w:p w14:paraId="52484E45" w14:textId="77777777" w:rsidR="00FC5566" w:rsidRPr="00FC5566" w:rsidRDefault="00FC5566" w:rsidP="00FC5566">
      <w:pPr>
        <w:tabs>
          <w:tab w:val="left" w:pos="720"/>
          <w:tab w:val="left" w:pos="1080"/>
          <w:tab w:val="left" w:pos="1152"/>
        </w:tabs>
        <w:ind w:firstLine="360"/>
        <w:jc w:val="both"/>
        <w:outlineLvl w:val="4"/>
        <w:rPr>
          <w:kern w:val="2"/>
        </w:rPr>
      </w:pPr>
      <w:r w:rsidRPr="00FC5566">
        <w:rPr>
          <w:kern w:val="2"/>
        </w:rPr>
        <w:t>3.a. - e.</w:t>
      </w:r>
      <w:r w:rsidRPr="00FC5566">
        <w:rPr>
          <w:kern w:val="2"/>
        </w:rPr>
        <w:tab/>
        <w:t>…</w:t>
      </w:r>
    </w:p>
    <w:p w14:paraId="3AEF94D8" w14:textId="77777777" w:rsidR="00FC5566" w:rsidRPr="00FC5566" w:rsidRDefault="00FC5566" w:rsidP="00FC5566">
      <w:pPr>
        <w:tabs>
          <w:tab w:val="left" w:pos="907"/>
        </w:tabs>
        <w:ind w:firstLine="547"/>
        <w:jc w:val="both"/>
        <w:outlineLvl w:val="5"/>
        <w:rPr>
          <w:kern w:val="2"/>
        </w:rPr>
      </w:pPr>
      <w:r w:rsidRPr="00FC5566">
        <w:rPr>
          <w:kern w:val="2"/>
        </w:rPr>
        <w:t>f.</w:t>
      </w:r>
      <w:r w:rsidRPr="00FC5566">
        <w:rPr>
          <w:kern w:val="2"/>
        </w:rPr>
        <w:tab/>
        <w:t>the name and address of the regional manager who should be contacted in order to schedule an administrative review, mediation session, or fair hearing.</w:t>
      </w:r>
    </w:p>
    <w:p w14:paraId="142DEBE7" w14:textId="77777777" w:rsidR="00FC5566" w:rsidRPr="00FC5566" w:rsidRDefault="00FC5566" w:rsidP="00FC5566">
      <w:pPr>
        <w:ind w:left="432" w:right="432"/>
        <w:jc w:val="both"/>
        <w:rPr>
          <w:noProof/>
          <w:sz w:val="16"/>
          <w:szCs w:val="16"/>
        </w:rPr>
      </w:pPr>
      <w:r w:rsidRPr="00FC5566">
        <w:rPr>
          <w:noProof/>
          <w:sz w:val="16"/>
          <w:szCs w:val="16"/>
        </w:rPr>
        <w:t>NOTE: All administrative reviews must be conducted in a manner which ensures that the proceedings are understood by the applicant/client.</w:t>
      </w:r>
    </w:p>
    <w:p w14:paraId="40BFB0B2"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 - B.5.</w:t>
      </w:r>
      <w:r w:rsidRPr="00FC5566">
        <w:rPr>
          <w:kern w:val="2"/>
        </w:rPr>
        <w:tab/>
        <w:t>…</w:t>
      </w:r>
    </w:p>
    <w:p w14:paraId="14EA63D9"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6.</w:t>
      </w:r>
      <w:r w:rsidRPr="00FC5566">
        <w:rPr>
          <w:kern w:val="2"/>
        </w:rPr>
        <w:tab/>
        <w:t>In order to ensure that an applicant/client is afforded the option of availing themselves the opportunity to appeal agency decisions impacting their vocational rehabilitation case, written notification by the counselor and/or regional manager must include:</w:t>
      </w:r>
    </w:p>
    <w:p w14:paraId="7F0544BC" w14:textId="77777777" w:rsidR="00FC5566" w:rsidRPr="00FC5566" w:rsidRDefault="00FC5566" w:rsidP="00FC5566">
      <w:pPr>
        <w:tabs>
          <w:tab w:val="left" w:pos="720"/>
          <w:tab w:val="left" w:pos="1080"/>
          <w:tab w:val="left" w:pos="1152"/>
        </w:tabs>
        <w:ind w:firstLine="360"/>
        <w:jc w:val="both"/>
        <w:outlineLvl w:val="4"/>
        <w:rPr>
          <w:kern w:val="2"/>
        </w:rPr>
      </w:pPr>
      <w:r w:rsidRPr="00FC5566">
        <w:rPr>
          <w:kern w:val="2"/>
        </w:rPr>
        <w:t>6.a. - e.</w:t>
      </w:r>
      <w:r w:rsidRPr="00FC5566">
        <w:rPr>
          <w:kern w:val="2"/>
        </w:rPr>
        <w:tab/>
        <w:t>…</w:t>
      </w:r>
    </w:p>
    <w:p w14:paraId="082AD663" w14:textId="77777777" w:rsidR="00FC5566" w:rsidRPr="00FC5566" w:rsidRDefault="00FC5566" w:rsidP="00FC5566">
      <w:pPr>
        <w:tabs>
          <w:tab w:val="left" w:pos="907"/>
        </w:tabs>
        <w:ind w:firstLine="547"/>
        <w:jc w:val="both"/>
        <w:outlineLvl w:val="5"/>
        <w:rPr>
          <w:kern w:val="2"/>
        </w:rPr>
      </w:pPr>
      <w:r w:rsidRPr="00FC5566">
        <w:rPr>
          <w:kern w:val="2"/>
        </w:rPr>
        <w:t>f.</w:t>
      </w:r>
      <w:r w:rsidRPr="00FC5566">
        <w:rPr>
          <w:kern w:val="2"/>
        </w:rPr>
        <w:tab/>
        <w:t>the name and address of the Regional Manager who should be contacted in order to schedule a mediation session or fair hearing.</w:t>
      </w:r>
    </w:p>
    <w:p w14:paraId="6E6F51A1" w14:textId="77777777" w:rsidR="00FC5566" w:rsidRPr="00FC5566" w:rsidRDefault="00FC5566" w:rsidP="00FC5566">
      <w:pPr>
        <w:ind w:left="432" w:right="432"/>
        <w:jc w:val="both"/>
        <w:rPr>
          <w:noProof/>
          <w:sz w:val="16"/>
          <w:szCs w:val="16"/>
        </w:rPr>
      </w:pPr>
      <w:r w:rsidRPr="00FC5566">
        <w:rPr>
          <w:noProof/>
          <w:sz w:val="16"/>
          <w:szCs w:val="16"/>
        </w:rPr>
        <w:t>Note: All mediation sessions must be conducted in a manner which ensures that the proceedings are understood by the applicant/client.</w:t>
      </w:r>
    </w:p>
    <w:p w14:paraId="3F9B7A22"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 - E.3.</w:t>
      </w:r>
      <w:r w:rsidRPr="00FC5566">
        <w:rPr>
          <w:kern w:val="2"/>
        </w:rPr>
        <w:tab/>
        <w:t>…</w:t>
      </w:r>
    </w:p>
    <w:p w14:paraId="4AA952E0"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49:664.4 and R.S. 36:477.</w:t>
      </w:r>
    </w:p>
    <w:p w14:paraId="5CDD4420"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Rehabilitation Services, LR 17:891 (September 1991), amended LR 20:317 (March 1994), repromulgated LR 21:189 (February 1995), amended LR 24:958 (May 1998), LR 25:1266 (July 1999), LR 26:1634 (August 2000), LR 29:46 (January 2003), amended by the Workforce Commission, Rehabilitation Services, LR 48:305 (February 2022), amended by Louisiana Works, Rehabilitation Services, LR 52:1369 (August 2026).</w:t>
      </w:r>
    </w:p>
    <w:p w14:paraId="2F8B56EB"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325" w:name="_Toc215471620"/>
      <w:bookmarkStart w:id="326" w:name="_Toc248893796"/>
      <w:bookmarkStart w:id="327" w:name="_Toc257205919"/>
      <w:bookmarkStart w:id="328" w:name="_Toc40957902"/>
      <w:r w:rsidRPr="00FC5566">
        <w:rPr>
          <w:b/>
          <w:kern w:val="2"/>
        </w:rPr>
        <w:t>§109.</w:t>
      </w:r>
      <w:r w:rsidRPr="00FC5566">
        <w:rPr>
          <w:b/>
          <w:kern w:val="2"/>
        </w:rPr>
        <w:tab/>
        <w:t>Eligibility and Ineligibility</w:t>
      </w:r>
      <w:bookmarkEnd w:id="325"/>
      <w:bookmarkEnd w:id="326"/>
      <w:bookmarkEnd w:id="327"/>
      <w:bookmarkEnd w:id="328"/>
    </w:p>
    <w:p w14:paraId="0F92404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Criteria for Eligibility</w:t>
      </w:r>
    </w:p>
    <w:p w14:paraId="78B99606"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The determination of an applicant's eligibility for vocational rehabilitation services is to be based on the following requirements:</w:t>
      </w:r>
    </w:p>
    <w:p w14:paraId="02BD4C09" w14:textId="77777777" w:rsidR="00FC5566" w:rsidRPr="00FC5566" w:rsidRDefault="00FC5566" w:rsidP="00FC5566">
      <w:pPr>
        <w:tabs>
          <w:tab w:val="left" w:pos="907"/>
        </w:tabs>
        <w:ind w:firstLine="547"/>
        <w:jc w:val="both"/>
        <w:outlineLvl w:val="5"/>
        <w:rPr>
          <w:kern w:val="2"/>
        </w:rPr>
      </w:pPr>
      <w:r w:rsidRPr="00FC5566">
        <w:rPr>
          <w:kern w:val="2"/>
        </w:rPr>
        <w:lastRenderedPageBreak/>
        <w:t>a.</w:t>
      </w:r>
      <w:r w:rsidRPr="00FC5566">
        <w:rPr>
          <w:kern w:val="2"/>
        </w:rPr>
        <w:tab/>
        <w:t>a determination by qualified personnel that the applicant has a physical or mental impairment;</w:t>
      </w:r>
    </w:p>
    <w:p w14:paraId="331A9F75" w14:textId="77777777" w:rsidR="00FC5566" w:rsidRPr="00FC5566" w:rsidRDefault="00FC5566" w:rsidP="00FC5566">
      <w:pPr>
        <w:tabs>
          <w:tab w:val="left" w:pos="907"/>
        </w:tabs>
        <w:ind w:firstLine="547"/>
        <w:jc w:val="both"/>
        <w:outlineLvl w:val="5"/>
        <w:rPr>
          <w:kern w:val="2"/>
        </w:rPr>
      </w:pPr>
      <w:r w:rsidRPr="00FC5566">
        <w:rPr>
          <w:kern w:val="2"/>
        </w:rPr>
        <w:t>b.</w:t>
      </w:r>
      <w:r w:rsidRPr="00FC5566">
        <w:rPr>
          <w:kern w:val="2"/>
        </w:rPr>
        <w:tab/>
        <w:t>a determination by qualified personnel that the applicant's physical or mental impairment constitutes or results in a substantial impediment to employment for the applicant; and</w:t>
      </w:r>
    </w:p>
    <w:p w14:paraId="1F64091A" w14:textId="77777777" w:rsidR="00FC5566" w:rsidRPr="00FC5566" w:rsidRDefault="00FC5566" w:rsidP="00FC5566">
      <w:pPr>
        <w:tabs>
          <w:tab w:val="left" w:pos="907"/>
        </w:tabs>
        <w:ind w:firstLine="547"/>
        <w:jc w:val="both"/>
        <w:outlineLvl w:val="5"/>
        <w:rPr>
          <w:kern w:val="2"/>
        </w:rPr>
      </w:pPr>
      <w:r w:rsidRPr="00FC5566">
        <w:rPr>
          <w:kern w:val="2"/>
        </w:rPr>
        <w:t>c.</w:t>
      </w:r>
      <w:r w:rsidRPr="00FC5566">
        <w:rPr>
          <w:kern w:val="2"/>
        </w:rPr>
        <w:tab/>
        <w:t>a determination by a qualified vocational rehabilitation counselor employed by LRS that the applicant requires vocational rehabilitation services to prepare for, secure, retain, advance in, or regain employment that is consistent with the individual's unique strengths, resources, priorities, concerns, abilities, capabilities, interest, and informed choice. For purposes of an assessment for determining eligibility and vocational rehabilitation needs under this part, an individual is presumed to have a goal of an employment outcome.</w:t>
      </w:r>
    </w:p>
    <w:p w14:paraId="5BBDDA66" w14:textId="77777777" w:rsidR="00FC5566" w:rsidRPr="00FC5566" w:rsidRDefault="00FC5566" w:rsidP="00FC5566">
      <w:pPr>
        <w:tabs>
          <w:tab w:val="left" w:pos="144"/>
          <w:tab w:val="left" w:pos="187"/>
          <w:tab w:val="left" w:pos="540"/>
          <w:tab w:val="left" w:pos="907"/>
          <w:tab w:val="left" w:pos="1170"/>
        </w:tabs>
        <w:ind w:firstLine="187"/>
        <w:jc w:val="both"/>
        <w:outlineLvl w:val="3"/>
        <w:rPr>
          <w:kern w:val="2"/>
        </w:rPr>
      </w:pPr>
      <w:r w:rsidRPr="00FC5566">
        <w:rPr>
          <w:kern w:val="2"/>
        </w:rPr>
        <w:t>B. - B.2.b.</w:t>
      </w:r>
      <w:r w:rsidRPr="00FC5566">
        <w:rPr>
          <w:kern w:val="2"/>
        </w:rPr>
        <w:tab/>
        <w:t>…</w:t>
      </w:r>
    </w:p>
    <w:p w14:paraId="1D705E7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Presumption of Eligibility</w:t>
      </w:r>
    </w:p>
    <w:p w14:paraId="7AE5964E"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An individual who has a disability or who is blind as determined pursuant to Title II or Title XVI of the Social Security Act (42 U.S.C. 401 et seq. and 1381 et seq.) shall be:</w:t>
      </w:r>
    </w:p>
    <w:p w14:paraId="54C437AE" w14:textId="77777777" w:rsidR="00FC5566" w:rsidRPr="00FC5566" w:rsidRDefault="00FC5566" w:rsidP="00FC5566">
      <w:pPr>
        <w:tabs>
          <w:tab w:val="left" w:pos="907"/>
        </w:tabs>
        <w:ind w:firstLine="547"/>
        <w:jc w:val="both"/>
        <w:outlineLvl w:val="5"/>
        <w:rPr>
          <w:kern w:val="2"/>
        </w:rPr>
      </w:pPr>
      <w:r w:rsidRPr="00FC5566">
        <w:rPr>
          <w:kern w:val="2"/>
        </w:rPr>
        <w:t>a.</w:t>
      </w:r>
      <w:r w:rsidRPr="00FC5566">
        <w:rPr>
          <w:kern w:val="2"/>
        </w:rPr>
        <w:tab/>
        <w:t>considered to be an individual with a significant disability, as such determination is made by LRS; and</w:t>
      </w:r>
    </w:p>
    <w:p w14:paraId="0698E61B"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C.1.b. - E.1.</w:t>
      </w:r>
      <w:r w:rsidRPr="00FC5566">
        <w:rPr>
          <w:kern w:val="2"/>
        </w:rPr>
        <w:tab/>
        <w:t>…</w:t>
      </w:r>
    </w:p>
    <w:p w14:paraId="32C04FC2" w14:textId="77777777" w:rsidR="00FC5566" w:rsidRPr="00FC5566" w:rsidRDefault="00FC5566" w:rsidP="00FC5566">
      <w:pPr>
        <w:tabs>
          <w:tab w:val="left" w:pos="907"/>
        </w:tabs>
        <w:ind w:firstLine="547"/>
        <w:jc w:val="both"/>
        <w:outlineLvl w:val="5"/>
        <w:rPr>
          <w:kern w:val="2"/>
        </w:rPr>
      </w:pPr>
      <w:r w:rsidRPr="00FC5566">
        <w:rPr>
          <w:kern w:val="2"/>
        </w:rPr>
        <w:t>a.</w:t>
      </w:r>
      <w:r w:rsidRPr="00FC5566">
        <w:rPr>
          <w:kern w:val="2"/>
        </w:rPr>
        <w:tab/>
        <w:t>Eligibility decisions must be made without regard to sex, race, age, color or national origin of the individual applying for services.</w:t>
      </w:r>
    </w:p>
    <w:p w14:paraId="16C096ED" w14:textId="77777777" w:rsidR="00FC5566" w:rsidRPr="00FC5566" w:rsidRDefault="00FC5566" w:rsidP="00FC5566">
      <w:pPr>
        <w:tabs>
          <w:tab w:val="left" w:pos="907"/>
        </w:tabs>
        <w:ind w:firstLine="547"/>
        <w:jc w:val="both"/>
        <w:outlineLvl w:val="5"/>
        <w:rPr>
          <w:kern w:val="2"/>
        </w:rPr>
      </w:pPr>
      <w:r w:rsidRPr="00FC5566">
        <w:rPr>
          <w:kern w:val="2"/>
        </w:rPr>
        <w:t>b. - c.</w:t>
      </w:r>
      <w:r w:rsidRPr="00FC5566">
        <w:rPr>
          <w:kern w:val="2"/>
        </w:rPr>
        <w:tab/>
        <w:t>…</w:t>
      </w:r>
    </w:p>
    <w:p w14:paraId="756AC694" w14:textId="77777777" w:rsidR="00FC5566" w:rsidRPr="00FC5566" w:rsidRDefault="00FC5566" w:rsidP="00FC5566">
      <w:pPr>
        <w:tabs>
          <w:tab w:val="left" w:pos="907"/>
        </w:tabs>
        <w:ind w:firstLine="547"/>
        <w:jc w:val="both"/>
        <w:outlineLvl w:val="5"/>
        <w:rPr>
          <w:kern w:val="2"/>
        </w:rPr>
      </w:pPr>
      <w:r w:rsidRPr="00FC5566">
        <w:rPr>
          <w:kern w:val="2"/>
        </w:rPr>
        <w:t>d.</w:t>
      </w:r>
      <w:r w:rsidRPr="00FC5566">
        <w:rPr>
          <w:kern w:val="2"/>
        </w:rPr>
        <w:tab/>
        <w:t>Louisiana Rehabilitation Services does not impose a residence requirement. Undocumented immigrants, however, cannot be served. Immigrants who are disabled who have a legal, unexpired work visa, and who otherwise meet the eligibility criteria, can be served.</w:t>
      </w:r>
    </w:p>
    <w:p w14:paraId="1C511CB8"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F. - F.1.a.</w:t>
      </w:r>
      <w:r w:rsidRPr="00FC5566">
        <w:rPr>
          <w:kern w:val="2"/>
        </w:rPr>
        <w:tab/>
        <w:t>…</w:t>
      </w:r>
    </w:p>
    <w:p w14:paraId="6EC7898B" w14:textId="77777777" w:rsidR="00FC5566" w:rsidRPr="00FC5566" w:rsidRDefault="00FC5566" w:rsidP="00FC5566">
      <w:pPr>
        <w:tabs>
          <w:tab w:val="left" w:pos="907"/>
        </w:tabs>
        <w:ind w:firstLine="547"/>
        <w:jc w:val="both"/>
        <w:outlineLvl w:val="5"/>
        <w:rPr>
          <w:kern w:val="2"/>
        </w:rPr>
      </w:pPr>
      <w:r w:rsidRPr="00FC5566">
        <w:rPr>
          <w:kern w:val="2"/>
        </w:rPr>
        <w:t>b.</w:t>
      </w:r>
      <w:r w:rsidRPr="00FC5566">
        <w:rPr>
          <w:kern w:val="2"/>
        </w:rPr>
        <w:tab/>
        <w:t>when LRS is in possession of clear and convincing evidence that an individual with a disability does not require vocational rehabilitation services to prepare for, secure, retain, regain, or advance in employment; or</w:t>
      </w:r>
    </w:p>
    <w:p w14:paraId="77F49D5E"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F.1.c. - J.</w:t>
      </w:r>
      <w:r w:rsidRPr="00FC5566">
        <w:rPr>
          <w:kern w:val="2"/>
        </w:rPr>
        <w:tab/>
        <w:t>…</w:t>
      </w:r>
    </w:p>
    <w:p w14:paraId="7E46135C"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K.</w:t>
      </w:r>
      <w:r w:rsidRPr="00FC5566">
        <w:rPr>
          <w:kern w:val="2"/>
        </w:rPr>
        <w:tab/>
        <w:t>Order of Selection</w:t>
      </w:r>
    </w:p>
    <w:p w14:paraId="6161A622"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LRS follows an order of selection to ensure that individuals with the most significant disabilities receive priority for vocational rehabilitation services.</w:t>
      </w:r>
    </w:p>
    <w:p w14:paraId="7A2F4DF9"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The following factors shall not be used either in determining the order of selection or in determining the placement category of eligible individuals:</w:t>
      </w:r>
    </w:p>
    <w:p w14:paraId="03CF51AE" w14:textId="77777777" w:rsidR="00FC5566" w:rsidRPr="00FC5566" w:rsidRDefault="00FC5566" w:rsidP="00FC5566">
      <w:pPr>
        <w:tabs>
          <w:tab w:val="left" w:pos="907"/>
        </w:tabs>
        <w:ind w:firstLine="547"/>
        <w:jc w:val="both"/>
        <w:outlineLvl w:val="5"/>
        <w:rPr>
          <w:kern w:val="2"/>
        </w:rPr>
      </w:pPr>
      <w:r w:rsidRPr="00FC5566">
        <w:rPr>
          <w:kern w:val="2"/>
        </w:rPr>
        <w:t>a. - b.</w:t>
      </w:r>
      <w:r w:rsidRPr="00FC5566">
        <w:rPr>
          <w:kern w:val="2"/>
        </w:rPr>
        <w:tab/>
        <w:t>…</w:t>
      </w:r>
    </w:p>
    <w:p w14:paraId="437D3C61" w14:textId="77777777" w:rsidR="00FC5566" w:rsidRPr="00FC5566" w:rsidRDefault="00FC5566" w:rsidP="00FC5566">
      <w:pPr>
        <w:tabs>
          <w:tab w:val="left" w:pos="907"/>
        </w:tabs>
        <w:ind w:firstLine="547"/>
        <w:jc w:val="both"/>
        <w:outlineLvl w:val="5"/>
        <w:rPr>
          <w:kern w:val="2"/>
        </w:rPr>
      </w:pPr>
      <w:r w:rsidRPr="00FC5566">
        <w:rPr>
          <w:kern w:val="2"/>
        </w:rPr>
        <w:t>c.</w:t>
      </w:r>
      <w:r w:rsidRPr="00FC5566">
        <w:rPr>
          <w:kern w:val="2"/>
        </w:rPr>
        <w:tab/>
        <w:t>age, gender, race, color, or national origin;</w:t>
      </w:r>
    </w:p>
    <w:p w14:paraId="3682299C" w14:textId="77777777" w:rsidR="00FC5566" w:rsidRPr="00FC5566" w:rsidRDefault="00FC5566" w:rsidP="00FC5566">
      <w:pPr>
        <w:tabs>
          <w:tab w:val="left" w:pos="907"/>
        </w:tabs>
        <w:ind w:firstLine="547"/>
        <w:jc w:val="both"/>
        <w:outlineLvl w:val="5"/>
        <w:rPr>
          <w:kern w:val="2"/>
        </w:rPr>
      </w:pPr>
      <w:r w:rsidRPr="00FC5566">
        <w:rPr>
          <w:kern w:val="2"/>
        </w:rPr>
        <w:t>d. - g.</w:t>
      </w:r>
      <w:r w:rsidRPr="00FC5566">
        <w:rPr>
          <w:kern w:val="2"/>
        </w:rPr>
        <w:tab/>
        <w:t>…</w:t>
      </w:r>
    </w:p>
    <w:p w14:paraId="3A830D61"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Prerequisite to placement in the order of selection assignment to a selection group is made after a determination of both of the following:</w:t>
      </w:r>
    </w:p>
    <w:p w14:paraId="50A5158F"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3.a. - 4.d.i.</w:t>
      </w:r>
      <w:r w:rsidRPr="00FC5566">
        <w:rPr>
          <w:kern w:val="2"/>
        </w:rPr>
        <w:tab/>
        <w:t>…</w:t>
      </w:r>
    </w:p>
    <w:p w14:paraId="6838E830"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ii.</w:t>
      </w:r>
      <w:r w:rsidRPr="00FC5566">
        <w:rPr>
          <w:kern w:val="2"/>
        </w:rPr>
        <w:tab/>
        <w:t>Upon placement into a priority category, individuals will be notified in writing of their category assignment and of their right to appeal their category assignment.</w:t>
      </w:r>
    </w:p>
    <w:p w14:paraId="6A306016"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iii.</w:t>
      </w:r>
      <w:r w:rsidRPr="00FC5566">
        <w:rPr>
          <w:kern w:val="2"/>
        </w:rPr>
        <w:tab/>
        <w:t>LRS will serve eligible individuals outside of the order of selection who require specific services or equipment to maintain employment.</w:t>
      </w:r>
    </w:p>
    <w:p w14:paraId="5CE32659"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5.</w:t>
      </w:r>
      <w:r w:rsidRPr="00FC5566">
        <w:rPr>
          <w:kern w:val="2"/>
        </w:rPr>
        <w:tab/>
        <w:t xml:space="preserve">Scope of Services Available. LRS's order of selection shall not limit the scope of services available for </w:t>
      </w:r>
      <w:r w:rsidRPr="00FC5566">
        <w:rPr>
          <w:kern w:val="2"/>
        </w:rPr>
        <w:t>eligible individuals within the selection group(s) being served.</w:t>
      </w:r>
    </w:p>
    <w:p w14:paraId="114315ED"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6. - 9.</w:t>
      </w:r>
      <w:r w:rsidRPr="00FC5566">
        <w:rPr>
          <w:kern w:val="2"/>
        </w:rPr>
        <w:tab/>
        <w:t>…</w:t>
      </w:r>
    </w:p>
    <w:p w14:paraId="55ACE6A9"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49:664.4 and R.S. 36:477.</w:t>
      </w:r>
    </w:p>
    <w:p w14:paraId="6519B8C2"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Rehabilitation Services, LR 17:891 (September 1991), amended LR 20:317 (March 1994), LR 21:191 (February 1995), LR 22:993 (October 1996), LR 23:995 (August 1997), LR 25:1267 (July 1999), LR 27:211 (February 2001), amended by the Workforce Commission, Rehabilitation Services, LR 48:3045 (February 2022), repromulgated LR 48:518 (March 2022), amended by Louisiana Works, Rehabilitation Services, LR 52:1369 (August 2026).</w:t>
      </w:r>
      <w:bookmarkStart w:id="329" w:name="_Toc215471621"/>
      <w:bookmarkStart w:id="330" w:name="_Toc248893797"/>
      <w:bookmarkStart w:id="331" w:name="_Toc257205920"/>
      <w:bookmarkStart w:id="332" w:name="_Toc40957903"/>
    </w:p>
    <w:p w14:paraId="26D1E2BD"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§110.</w:t>
      </w:r>
      <w:r w:rsidRPr="00FC5566">
        <w:rPr>
          <w:b/>
          <w:kern w:val="2"/>
        </w:rPr>
        <w:tab/>
        <w:t>Information and Referral Services</w:t>
      </w:r>
      <w:bookmarkEnd w:id="329"/>
      <w:bookmarkEnd w:id="330"/>
      <w:bookmarkEnd w:id="331"/>
      <w:bookmarkEnd w:id="332"/>
    </w:p>
    <w:p w14:paraId="5CF43497"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Purpose. The purpose of an expanded system of information and referral is as follows:</w:t>
      </w:r>
    </w:p>
    <w:p w14:paraId="1F926D15"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to ensure that individuals with disabilities who are not being served under LRS' order of selection receive accurate vocational rehabilitation information and guidance to assist such individuals in preparing for, securing, retaining, or regaining employment; and</w:t>
      </w:r>
    </w:p>
    <w:p w14:paraId="4F6F8B8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A.2. - B.1.a.ii.</w:t>
      </w:r>
      <w:r w:rsidRPr="00FC5566">
        <w:rPr>
          <w:kern w:val="2"/>
        </w:rPr>
        <w:tab/>
        <w:t>…</w:t>
      </w:r>
    </w:p>
    <w:p w14:paraId="0547BBA5"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iii.</w:t>
      </w:r>
      <w:r w:rsidRPr="00FC5566">
        <w:rPr>
          <w:kern w:val="2"/>
        </w:rPr>
        <w:tab/>
        <w:t>job placement referrals to a local workforce development office;</w:t>
      </w:r>
    </w:p>
    <w:p w14:paraId="2BF64C02" w14:textId="77777777" w:rsidR="00FC5566" w:rsidRPr="00FC5566" w:rsidRDefault="00FC5566" w:rsidP="00FC5566">
      <w:pPr>
        <w:tabs>
          <w:tab w:val="left" w:pos="144"/>
          <w:tab w:val="left" w:pos="187"/>
          <w:tab w:val="left" w:pos="540"/>
          <w:tab w:val="left" w:pos="907"/>
          <w:tab w:val="left" w:pos="1080"/>
          <w:tab w:val="left" w:pos="1890"/>
        </w:tabs>
        <w:ind w:firstLine="187"/>
        <w:jc w:val="both"/>
        <w:outlineLvl w:val="3"/>
        <w:rPr>
          <w:kern w:val="2"/>
        </w:rPr>
      </w:pPr>
      <w:r w:rsidRPr="00FC5566">
        <w:rPr>
          <w:kern w:val="2"/>
        </w:rPr>
        <w:t>B.1.iv. - B.2.b.ii.</w:t>
      </w:r>
      <w:r w:rsidRPr="00FC5566">
        <w:rPr>
          <w:kern w:val="2"/>
        </w:rPr>
        <w:tab/>
        <w:t>…</w:t>
      </w:r>
    </w:p>
    <w:p w14:paraId="22CEC2DE"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iii.</w:t>
      </w:r>
      <w:r w:rsidRPr="00FC5566">
        <w:rPr>
          <w:kern w:val="2"/>
        </w:rPr>
        <w:tab/>
        <w:t>information and advice regarding the most suitable services to assist the individual to prepare for, secure, retain, regain, or advance in employment.</w:t>
      </w:r>
    </w:p>
    <w:p w14:paraId="711685D4"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49:664.4 and R.S. 36:477.</w:t>
      </w:r>
    </w:p>
    <w:p w14:paraId="0819054A"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Rehabilitation Services, LR 25:1270 (July 1999), amended by the Workforce Commission, Rehabilitation Services, LR 48:306 (February 2022), amended by Louisiana Works, Rehabilitation Services, LR 52:1370 (August 2026).</w:t>
      </w:r>
    </w:p>
    <w:p w14:paraId="42EC9151"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§111.</w:t>
      </w:r>
      <w:r w:rsidRPr="00FC5566">
        <w:rPr>
          <w:b/>
          <w:kern w:val="2"/>
        </w:rPr>
        <w:tab/>
        <w:t>Comprehensive Assessment</w:t>
      </w:r>
    </w:p>
    <w:p w14:paraId="088FBB6D" w14:textId="77777777" w:rsidR="00FC5566" w:rsidRPr="00FC5566" w:rsidRDefault="00FC5566" w:rsidP="00FC5566">
      <w:pPr>
        <w:tabs>
          <w:tab w:val="left" w:pos="144"/>
          <w:tab w:val="left" w:pos="187"/>
          <w:tab w:val="left" w:pos="540"/>
          <w:tab w:val="left" w:pos="990"/>
          <w:tab w:val="left" w:pos="1080"/>
        </w:tabs>
        <w:ind w:firstLine="187"/>
        <w:jc w:val="both"/>
        <w:outlineLvl w:val="3"/>
        <w:rPr>
          <w:kern w:val="2"/>
        </w:rPr>
      </w:pPr>
      <w:r w:rsidRPr="00FC5566">
        <w:rPr>
          <w:kern w:val="2"/>
        </w:rPr>
        <w:t>A. - D.1.</w:t>
      </w:r>
      <w:r w:rsidRPr="00FC5566">
        <w:rPr>
          <w:kern w:val="2"/>
        </w:rPr>
        <w:tab/>
        <w:t>…</w:t>
      </w:r>
    </w:p>
    <w:p w14:paraId="0D1606C3"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An assessment will be conducted periodically as necessary.</w:t>
      </w:r>
    </w:p>
    <w:p w14:paraId="210E293B"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w:t>
      </w:r>
    </w:p>
    <w:p w14:paraId="37506D5D"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49:664.4 and R.S. 36:477.</w:t>
      </w:r>
    </w:p>
    <w:p w14:paraId="238053B7"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Rehabilitation Services, LR 17:891 (September 1991), amended LR 20:317 (March 1994), LR 25:1271 (July 1999), amended by Louisiana Works, Rehabilitation Services, LR 52:1370 (August 2026).</w:t>
      </w:r>
    </w:p>
    <w:p w14:paraId="0D185F89"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333" w:name="_Toc215471624"/>
      <w:bookmarkStart w:id="334" w:name="_Toc248893800"/>
      <w:bookmarkStart w:id="335" w:name="_Toc257205923"/>
      <w:bookmarkStart w:id="336" w:name="_Toc40957906"/>
      <w:r w:rsidRPr="00FC5566">
        <w:rPr>
          <w:b/>
          <w:kern w:val="2"/>
        </w:rPr>
        <w:t>§113.</w:t>
      </w:r>
      <w:r w:rsidRPr="00FC5566">
        <w:rPr>
          <w:b/>
          <w:kern w:val="2"/>
        </w:rPr>
        <w:tab/>
        <w:t>Individualized Plan for Employment (IPE)</w:t>
      </w:r>
    </w:p>
    <w:p w14:paraId="7B15CC4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Purpose of the Individualized Plan for Employment (IPE). The Individualized Plan for Employment, hereafter referred to as IPE, and all subsequent amendments assure that each individual determined eligible for vocational rehabilitation services or determined appropriate for trial work services shall have a formal plan for services.</w:t>
      </w:r>
    </w:p>
    <w:p w14:paraId="0E49D06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 - C.1.e.</w:t>
      </w:r>
      <w:r w:rsidRPr="00FC5566">
        <w:rPr>
          <w:kern w:val="2"/>
        </w:rPr>
        <w:tab/>
        <w:t>…</w:t>
      </w:r>
    </w:p>
    <w:p w14:paraId="40CBC8F8"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The IPE must be developed no later than 90 days after the date of eligibility determination, unless LRS and the eligible individual agree to an extension of that deadline for a specific date by which the IPE must be completed.</w:t>
      </w:r>
    </w:p>
    <w:p w14:paraId="64E9A09E"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D.</w:t>
      </w:r>
      <w:r w:rsidRPr="00FC5566">
        <w:rPr>
          <w:kern w:val="2"/>
        </w:rPr>
        <w:tab/>
        <w:t>Mandatory Components of an IPE</w:t>
      </w:r>
    </w:p>
    <w:p w14:paraId="71C3B506"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Regardless of the approach selected by an eligible individual to develop an IPE, an IPE shall, at a minimum, contain components consisting of the following:</w:t>
      </w:r>
    </w:p>
    <w:p w14:paraId="7C048908" w14:textId="77777777" w:rsidR="00FC5566" w:rsidRPr="00FC5566" w:rsidRDefault="00FC5566" w:rsidP="00FC5566">
      <w:pPr>
        <w:tabs>
          <w:tab w:val="left" w:pos="907"/>
        </w:tabs>
        <w:ind w:firstLine="547"/>
        <w:jc w:val="both"/>
        <w:outlineLvl w:val="5"/>
        <w:rPr>
          <w:kern w:val="2"/>
        </w:rPr>
      </w:pPr>
      <w:r w:rsidRPr="00FC5566">
        <w:rPr>
          <w:kern w:val="2"/>
        </w:rPr>
        <w:lastRenderedPageBreak/>
        <w:t>a.</w:t>
      </w:r>
      <w:r w:rsidRPr="00FC5566">
        <w:rPr>
          <w:kern w:val="2"/>
        </w:rPr>
        <w:tab/>
        <w:t>the specific employment goal chosen by the eligible individual, consistent with the unique strengths, resources, priorities, concerns, abilities, capabilities, interests, and informed choice of the eligible individual resulting in employment, and to the maximum extent appropriate, in an integrated setting;</w:t>
      </w:r>
    </w:p>
    <w:p w14:paraId="550A00CD" w14:textId="77777777" w:rsidR="00FC5566" w:rsidRPr="00FC5566" w:rsidRDefault="00FC5566" w:rsidP="00FC5566">
      <w:pPr>
        <w:tabs>
          <w:tab w:val="left" w:pos="907"/>
        </w:tabs>
        <w:ind w:firstLine="547"/>
        <w:jc w:val="both"/>
        <w:outlineLvl w:val="5"/>
        <w:rPr>
          <w:kern w:val="2"/>
        </w:rPr>
      </w:pPr>
      <w:r w:rsidRPr="00FC5566">
        <w:rPr>
          <w:kern w:val="2"/>
        </w:rPr>
        <w:t>b.</w:t>
      </w:r>
      <w:r w:rsidRPr="00FC5566">
        <w:rPr>
          <w:kern w:val="2"/>
        </w:rPr>
        <w:tab/>
        <w:t>…</w:t>
      </w:r>
    </w:p>
    <w:p w14:paraId="7BCD8CEA" w14:textId="77777777" w:rsidR="00FC5566" w:rsidRPr="00FC5566" w:rsidRDefault="00FC5566" w:rsidP="00FC5566">
      <w:pPr>
        <w:tabs>
          <w:tab w:val="left" w:pos="907"/>
        </w:tabs>
        <w:ind w:firstLine="547"/>
        <w:jc w:val="both"/>
        <w:outlineLvl w:val="5"/>
        <w:rPr>
          <w:kern w:val="2"/>
        </w:rPr>
      </w:pPr>
      <w:r w:rsidRPr="00FC5566">
        <w:rPr>
          <w:kern w:val="2"/>
        </w:rPr>
        <w:t>c.</w:t>
      </w:r>
      <w:r w:rsidRPr="00FC5566">
        <w:rPr>
          <w:kern w:val="2"/>
        </w:rPr>
        <w:tab/>
        <w:t>the approximate dates for the initiation of each service;</w:t>
      </w:r>
    </w:p>
    <w:p w14:paraId="17A3E20C" w14:textId="77777777" w:rsidR="00FC5566" w:rsidRPr="00FC5566" w:rsidRDefault="00FC5566" w:rsidP="00FC5566">
      <w:pPr>
        <w:tabs>
          <w:tab w:val="left" w:pos="907"/>
        </w:tabs>
        <w:ind w:firstLine="547"/>
        <w:jc w:val="both"/>
        <w:outlineLvl w:val="5"/>
        <w:rPr>
          <w:kern w:val="2"/>
        </w:rPr>
      </w:pPr>
      <w:r w:rsidRPr="00FC5566">
        <w:rPr>
          <w:kern w:val="2"/>
        </w:rPr>
        <w:t>d. - j.</w:t>
      </w:r>
      <w:r w:rsidRPr="00FC5566">
        <w:rPr>
          <w:kern w:val="2"/>
        </w:rPr>
        <w:tab/>
        <w:t>…</w:t>
      </w:r>
    </w:p>
    <w:p w14:paraId="0523B5B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E.</w:t>
      </w:r>
      <w:r w:rsidRPr="00FC5566">
        <w:rPr>
          <w:kern w:val="2"/>
        </w:rPr>
        <w:tab/>
        <w:t>Review and Amendment</w:t>
      </w:r>
    </w:p>
    <w:p w14:paraId="45FEC84E"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The IPE shall be reviewed at least annually by a qualified vocational rehabilitation counselor and the eligible individual, or as appropriate, the individual's representative; and</w:t>
      </w:r>
    </w:p>
    <w:p w14:paraId="5A573339"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E.2. - F.4.</w:t>
      </w:r>
      <w:r w:rsidRPr="00FC5566">
        <w:rPr>
          <w:kern w:val="2"/>
        </w:rPr>
        <w:tab/>
        <w:t>…</w:t>
      </w:r>
    </w:p>
    <w:p w14:paraId="5E54F83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G.</w:t>
      </w:r>
      <w:r w:rsidRPr="00FC5566">
        <w:rPr>
          <w:kern w:val="2"/>
        </w:rPr>
        <w:tab/>
        <w:t>IPE Content used to Demonstrate “Ineligibility” for Case Closure</w:t>
      </w:r>
    </w:p>
    <w:p w14:paraId="7CC2F5AC"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G.1 - 2.</w:t>
      </w:r>
      <w:r w:rsidRPr="00FC5566">
        <w:rPr>
          <w:kern w:val="2"/>
        </w:rPr>
        <w:tab/>
        <w:t>…</w:t>
      </w:r>
    </w:p>
    <w:p w14:paraId="5E57C151"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49:664.4 and R.S. 36:477.</w:t>
      </w:r>
    </w:p>
    <w:p w14:paraId="67A027C0"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Rehabilitation Services, LR 17:891 (September 1991), amended LR 20:317 (March 1994), LR 25:1271 (July 1999), amended by Louisiana Works, Rehabilitation Services, LR 52:1370 (August 2026).</w:t>
      </w:r>
    </w:p>
    <w:p w14:paraId="0621DD1A"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§115.</w:t>
      </w:r>
      <w:r w:rsidRPr="00FC5566">
        <w:rPr>
          <w:b/>
          <w:kern w:val="2"/>
        </w:rPr>
        <w:tab/>
        <w:t>Financial</w:t>
      </w:r>
      <w:bookmarkEnd w:id="333"/>
      <w:bookmarkEnd w:id="334"/>
      <w:bookmarkEnd w:id="335"/>
      <w:bookmarkEnd w:id="336"/>
      <w:r w:rsidRPr="00FC5566">
        <w:rPr>
          <w:b/>
          <w:kern w:val="2"/>
        </w:rPr>
        <w:t xml:space="preserve"> </w:t>
      </w:r>
    </w:p>
    <w:p w14:paraId="5C2BD495"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A.</w:t>
      </w:r>
      <w:r w:rsidRPr="00FC5566">
        <w:rPr>
          <w:rFonts w:eastAsia="Calibri"/>
          <w:kern w:val="2"/>
        </w:rPr>
        <w:tab/>
        <w:t>Application of a Financial Needs Test</w:t>
      </w:r>
    </w:p>
    <w:p w14:paraId="1887436E"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1.</w:t>
      </w:r>
      <w:r w:rsidRPr="00FC5566">
        <w:rPr>
          <w:rFonts w:eastAsia="Calibri"/>
          <w:kern w:val="2"/>
        </w:rPr>
        <w:tab/>
        <w:t xml:space="preserve">A financial needs test shall be applied to determine an individual’s ability to contribute to the cost of vocational rehabilitation services, except where prohibited by federal law or regulation. The administration of the financial needs test may be </w:t>
      </w:r>
      <w:r w:rsidRPr="00FC5566">
        <w:rPr>
          <w:rFonts w:eastAsia="Calibri"/>
          <w:bCs/>
          <w:kern w:val="2"/>
        </w:rPr>
        <w:t>activated or suspended</w:t>
      </w:r>
      <w:r w:rsidRPr="00FC5566">
        <w:rPr>
          <w:rFonts w:eastAsia="Calibri"/>
          <w:kern w:val="2"/>
        </w:rPr>
        <w:t xml:space="preserve"> in response to fiscal conditions, resource availability, or other factors affecting the delivery of vocational rehabilitation services.</w:t>
      </w:r>
    </w:p>
    <w:p w14:paraId="18328AA3"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B.</w:t>
      </w:r>
      <w:r w:rsidRPr="00FC5566">
        <w:rPr>
          <w:rFonts w:eastAsia="Calibri"/>
          <w:kern w:val="2"/>
        </w:rPr>
        <w:tab/>
        <w:t>Determination of Application</w:t>
      </w:r>
    </w:p>
    <w:p w14:paraId="65FD411D"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1.</w:t>
      </w:r>
      <w:r w:rsidRPr="00FC5566">
        <w:rPr>
          <w:rFonts w:eastAsia="Calibri"/>
          <w:kern w:val="2"/>
        </w:rPr>
        <w:tab/>
        <w:t>The decision to apply or suspend the financial needs test shall be made through an administrative review process based on an evaluation of current funding, service demand, and other relevant fiscal considerations.</w:t>
      </w:r>
    </w:p>
    <w:p w14:paraId="3FB7F4B0"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2.</w:t>
      </w:r>
      <w:r w:rsidRPr="00FC5566">
        <w:rPr>
          <w:rFonts w:eastAsia="Calibri"/>
          <w:kern w:val="2"/>
        </w:rPr>
        <w:tab/>
        <w:t>Any modification to the financial needs test shall be documented and issued through an official directive, specifying the effective date and scope of the change.</w:t>
      </w:r>
    </w:p>
    <w:p w14:paraId="0F32E725"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C.</w:t>
      </w:r>
      <w:r w:rsidRPr="00FC5566">
        <w:rPr>
          <w:rFonts w:eastAsia="Calibri"/>
          <w:kern w:val="2"/>
        </w:rPr>
        <w:tab/>
        <w:t>Effect of Suspension</w:t>
      </w:r>
    </w:p>
    <w:p w14:paraId="2EDA3CCD"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1.</w:t>
      </w:r>
      <w:r w:rsidRPr="00FC5566">
        <w:rPr>
          <w:rFonts w:eastAsia="Calibri"/>
          <w:kern w:val="2"/>
        </w:rPr>
        <w:tab/>
        <w:t>When suspended, individuals shall not be required to undergo a financial needs assessment, and services subject to the test shall be provided without financial participation.</w:t>
      </w:r>
    </w:p>
    <w:p w14:paraId="055B4D75"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2.</w:t>
      </w:r>
      <w:r w:rsidRPr="00FC5566">
        <w:rPr>
          <w:rFonts w:eastAsia="Calibri"/>
          <w:kern w:val="2"/>
        </w:rPr>
        <w:tab/>
        <w:t>When reinstated, the financial needs test shall be applied in accordance with the provisions outlined in this rule.</w:t>
      </w:r>
    </w:p>
    <w:p w14:paraId="1AB731D6"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D.</w:t>
      </w:r>
      <w:r w:rsidRPr="00FC5566">
        <w:rPr>
          <w:rFonts w:eastAsia="Calibri"/>
          <w:kern w:val="2"/>
        </w:rPr>
        <w:tab/>
        <w:t>Notice and Implementation</w:t>
      </w:r>
    </w:p>
    <w:p w14:paraId="00FF984B"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1.</w:t>
      </w:r>
      <w:r w:rsidRPr="00FC5566">
        <w:rPr>
          <w:rFonts w:eastAsia="Calibri"/>
          <w:kern w:val="2"/>
        </w:rPr>
        <w:tab/>
        <w:t>Any change in the application of the financial needs test shall be publicly posted and communicated to all relevant stakeholders, including applicants, service providers, and agency personnel.</w:t>
      </w:r>
    </w:p>
    <w:p w14:paraId="6882158A"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2.</w:t>
      </w:r>
      <w:r w:rsidRPr="00FC5566">
        <w:rPr>
          <w:rFonts w:eastAsia="Calibri"/>
          <w:kern w:val="2"/>
        </w:rPr>
        <w:tab/>
        <w:t>The agency shall ensure compliance with all federal and state regulations when modifying the application of the financial needs test.</w:t>
      </w:r>
    </w:p>
    <w:p w14:paraId="618133FC"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3.</w:t>
      </w:r>
      <w:r w:rsidRPr="00FC5566">
        <w:rPr>
          <w:rFonts w:eastAsia="Calibri"/>
          <w:kern w:val="2"/>
        </w:rPr>
        <w:tab/>
        <w:t>The financial needs test will include a review of income, disability-related expenses and comparable services and benefits, the financial need of eligible individuals; and individuals who are in trial work periods for purposes of determining the extent of the individual’s participation in the costs of certain vocational rehabilitation services.</w:t>
      </w:r>
    </w:p>
    <w:p w14:paraId="34B44295"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4.</w:t>
      </w:r>
      <w:r w:rsidRPr="00FC5566">
        <w:rPr>
          <w:rFonts w:eastAsia="Calibri"/>
          <w:kern w:val="2"/>
        </w:rPr>
        <w:tab/>
        <w:t>A financial needs test or requiring financial participation as a condition for providing VR services to an individual who has been determined eligible for Social Security benefits under Titles II or XVI of the Social Security Act (i.e., recipients of Supplemental Security Income (SSI) or Social Security Disability Insurance (SSDI)) is prohibited.</w:t>
      </w:r>
    </w:p>
    <w:p w14:paraId="026B2786"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E.</w:t>
      </w:r>
      <w:r w:rsidRPr="00FC5566">
        <w:rPr>
          <w:rFonts w:eastAsia="Calibri"/>
          <w:kern w:val="2"/>
        </w:rPr>
        <w:tab/>
        <w:t xml:space="preserve">Comparable Services and Similar Benefits </w:t>
      </w:r>
    </w:p>
    <w:p w14:paraId="63D7E78A"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bCs/>
          <w:kern w:val="2"/>
        </w:rPr>
        <w:t>1.</w:t>
      </w:r>
      <w:r w:rsidRPr="00FC5566">
        <w:rPr>
          <w:rFonts w:eastAsia="Calibri"/>
          <w:bCs/>
          <w:kern w:val="2"/>
        </w:rPr>
        <w:tab/>
      </w:r>
      <w:r w:rsidRPr="00FC5566">
        <w:rPr>
          <w:rFonts w:eastAsia="Calibri"/>
          <w:kern w:val="2"/>
        </w:rPr>
        <w:t xml:space="preserve">Comparable services and similar benefits means services and benefits including accommodations and auxiliary aids and services, that are provided or paid for, in whole or in part, by other Federal, State, or local public agencies, by health insurance, or by employee benefits; available to the individual at the time needed; and commensurate to the services that the individual would otherwise receive from LRS. LRS must use comparable services or benefits to meet, in whole or part, the costs of the vocational rehabilitation services. </w:t>
      </w:r>
    </w:p>
    <w:p w14:paraId="6CDA8B40"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F.</w:t>
      </w:r>
      <w:r w:rsidRPr="00FC5566">
        <w:rPr>
          <w:rFonts w:eastAsia="Calibri"/>
          <w:kern w:val="2"/>
        </w:rPr>
        <w:tab/>
        <w:t xml:space="preserve">Determination of Availability </w:t>
      </w:r>
    </w:p>
    <w:p w14:paraId="171CF93C"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1.</w:t>
      </w:r>
      <w:r w:rsidRPr="00FC5566">
        <w:rPr>
          <w:rFonts w:eastAsia="Calibri"/>
          <w:kern w:val="2"/>
        </w:rPr>
        <w:tab/>
        <w:t>Prior to providing any vocational rehabilitation service to an eligible individual, except those services specified below as exempt services, LRS will determine whether comparable services and benefits are available under any other program (other than a program carried out under Title IV, Rehabilitation Act Amendments of 2014) unless such a determination would interrupt or delay:</w:t>
      </w:r>
    </w:p>
    <w:p w14:paraId="4D922453"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a.</w:t>
      </w:r>
      <w:r w:rsidRPr="00FC5566">
        <w:rPr>
          <w:rFonts w:eastAsia="Calibri"/>
          <w:kern w:val="2"/>
        </w:rPr>
        <w:tab/>
        <w:t>the progress of the individual toward achieving the employment outcome identified in the Individualized plan for employment of the individual;</w:t>
      </w:r>
    </w:p>
    <w:p w14:paraId="7A886076"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b.</w:t>
      </w:r>
      <w:r w:rsidRPr="00FC5566">
        <w:rPr>
          <w:rFonts w:eastAsia="Calibri"/>
          <w:kern w:val="2"/>
        </w:rPr>
        <w:tab/>
        <w:t>an immediate job placement; or</w:t>
      </w:r>
    </w:p>
    <w:p w14:paraId="5CE986AD"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c.</w:t>
      </w:r>
      <w:r w:rsidRPr="00FC5566">
        <w:rPr>
          <w:rFonts w:eastAsia="Calibri"/>
          <w:kern w:val="2"/>
        </w:rPr>
        <w:tab/>
        <w:t>the provision of such service to any individual at extreme medical risk based upon medical evidence provided by an appropriate qualified medical professional.</w:t>
      </w:r>
    </w:p>
    <w:p w14:paraId="05E085C6"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G.</w:t>
      </w:r>
      <w:r w:rsidRPr="00FC5566">
        <w:rPr>
          <w:rFonts w:eastAsia="Calibri"/>
          <w:kern w:val="2"/>
        </w:rPr>
        <w:tab/>
        <w:t xml:space="preserve">Awards and Scholarships </w:t>
      </w:r>
    </w:p>
    <w:p w14:paraId="1178B820"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1.</w:t>
      </w:r>
      <w:r w:rsidRPr="00FC5566">
        <w:rPr>
          <w:rFonts w:eastAsia="Calibri"/>
          <w:kern w:val="2"/>
        </w:rPr>
        <w:tab/>
        <w:t xml:space="preserve">For purposes of the determination of availability of comparable services and similar benefits, scholarships or awards based on merit or student loans do not count as grant assistance, for purposes of searching for comparable benefits, under the VR program. </w:t>
      </w:r>
    </w:p>
    <w:p w14:paraId="5F3C6A22"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H.</w:t>
      </w:r>
      <w:r w:rsidRPr="00FC5566">
        <w:rPr>
          <w:rFonts w:eastAsia="Calibri"/>
          <w:kern w:val="2"/>
        </w:rPr>
        <w:tab/>
        <w:t xml:space="preserve">Exempt Services </w:t>
      </w:r>
    </w:p>
    <w:p w14:paraId="2BC07145"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1.</w:t>
      </w:r>
      <w:r w:rsidRPr="00FC5566">
        <w:rPr>
          <w:rFonts w:eastAsia="Calibri"/>
          <w:kern w:val="2"/>
        </w:rPr>
        <w:tab/>
        <w:t>The following vocational rehabilitation services can be provided without making a determination of the availability of comparable services and benefits:</w:t>
      </w:r>
    </w:p>
    <w:p w14:paraId="10C63285"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a.</w:t>
      </w:r>
      <w:r w:rsidRPr="00FC5566">
        <w:rPr>
          <w:rFonts w:eastAsia="Calibri"/>
          <w:kern w:val="2"/>
        </w:rPr>
        <w:tab/>
        <w:t>services provided through LRS's information and referral system;</w:t>
      </w:r>
    </w:p>
    <w:p w14:paraId="1E8CD29D"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b.</w:t>
      </w:r>
      <w:r w:rsidRPr="00FC5566">
        <w:rPr>
          <w:rFonts w:eastAsia="Calibri"/>
          <w:kern w:val="2"/>
        </w:rPr>
        <w:tab/>
        <w:t>assessment for determining eligibility and vocational rehabilitation needs, including if appropriate, assessment by personnel skilled in rehabilitation technology;</w:t>
      </w:r>
    </w:p>
    <w:p w14:paraId="1B7890A7"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c.</w:t>
      </w:r>
      <w:r w:rsidRPr="00FC5566">
        <w:rPr>
          <w:rFonts w:eastAsia="Calibri"/>
          <w:kern w:val="2"/>
        </w:rPr>
        <w:tab/>
        <w:t>counseling and guidance, including information and support services to assist an individual in exercising informed choice;</w:t>
      </w:r>
    </w:p>
    <w:p w14:paraId="7B52124F"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d.</w:t>
      </w:r>
      <w:r w:rsidRPr="00FC5566">
        <w:rPr>
          <w:rFonts w:eastAsia="Calibri"/>
          <w:kern w:val="2"/>
        </w:rPr>
        <w:tab/>
        <w:t>referral and other services needed to secure necessary services from other agencies, if such services are not available from LRS;</w:t>
      </w:r>
    </w:p>
    <w:p w14:paraId="16955105"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e.</w:t>
      </w:r>
      <w:r w:rsidRPr="00FC5566">
        <w:rPr>
          <w:rFonts w:eastAsia="Calibri"/>
          <w:kern w:val="2"/>
        </w:rPr>
        <w:tab/>
        <w:t>job-related services, including job search and placement assistance, job retention services, follow-up services, and follow-along services;</w:t>
      </w:r>
    </w:p>
    <w:p w14:paraId="7951EB14"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f.</w:t>
      </w:r>
      <w:r w:rsidRPr="00FC5566">
        <w:rPr>
          <w:rFonts w:eastAsia="Calibri"/>
          <w:kern w:val="2"/>
        </w:rPr>
        <w:tab/>
        <w:t>rehabilitation technology, including telecommunications, sensory, and other technological aids and devices;</w:t>
      </w:r>
    </w:p>
    <w:p w14:paraId="56B45C4B"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g.</w:t>
      </w:r>
      <w:r w:rsidRPr="00FC5566">
        <w:rPr>
          <w:rFonts w:eastAsia="Calibri"/>
          <w:kern w:val="2"/>
        </w:rPr>
        <w:tab/>
        <w:t>post-employment services consisting of the services listed in this Section.</w:t>
      </w:r>
    </w:p>
    <w:p w14:paraId="6045972A"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lastRenderedPageBreak/>
        <w:t>I.</w:t>
      </w:r>
      <w:r w:rsidRPr="00FC5566">
        <w:rPr>
          <w:rFonts w:eastAsia="Calibri"/>
          <w:kern w:val="2"/>
        </w:rPr>
        <w:tab/>
        <w:t>Participation in the cost of Vocational Rehabilitation Services based upon need</w:t>
      </w:r>
    </w:p>
    <w:p w14:paraId="68C51201"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1.</w:t>
      </w:r>
      <w:r w:rsidRPr="00FC5566">
        <w:rPr>
          <w:rFonts w:eastAsia="Calibri"/>
          <w:kern w:val="2"/>
        </w:rPr>
        <w:tab/>
        <w:t>A financial needs test is not applied and no financial participation is required as a condition for furnishing the following vocational rehabilitation services:</w:t>
      </w:r>
    </w:p>
    <w:p w14:paraId="6B5091D8"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a.</w:t>
      </w:r>
      <w:r w:rsidRPr="00FC5566">
        <w:rPr>
          <w:rFonts w:eastAsia="Calibri"/>
          <w:kern w:val="2"/>
        </w:rPr>
        <w:tab/>
        <w:t>assessment for determining eligibility and priority for services, except those non-assessment services that are provided during an evaluation to explore the individual's abilities, capabilities, and capacity to perform in work situations (trial work periods);</w:t>
      </w:r>
    </w:p>
    <w:p w14:paraId="0CF7F160"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b.</w:t>
      </w:r>
      <w:r w:rsidRPr="00FC5566">
        <w:rPr>
          <w:rFonts w:eastAsia="Calibri"/>
          <w:kern w:val="2"/>
        </w:rPr>
        <w:tab/>
        <w:t>assessment for determining vocational rehabilitation needs;</w:t>
      </w:r>
    </w:p>
    <w:p w14:paraId="1EF3A48D"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c.</w:t>
      </w:r>
      <w:r w:rsidRPr="00FC5566">
        <w:rPr>
          <w:rFonts w:eastAsia="Calibri"/>
          <w:kern w:val="2"/>
        </w:rPr>
        <w:tab/>
        <w:t>counseling, guidance, including information and support services to assist an individual in exercising informed choice;</w:t>
      </w:r>
    </w:p>
    <w:p w14:paraId="03FC834D"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d.</w:t>
      </w:r>
      <w:r w:rsidRPr="00FC5566">
        <w:rPr>
          <w:rFonts w:eastAsia="Calibri"/>
          <w:kern w:val="2"/>
        </w:rPr>
        <w:tab/>
        <w:t>referral and other services necessary to assist applicants and eligible individuals to secure needed services from other agencies and to advise those individuals about client assistance programs;</w:t>
      </w:r>
    </w:p>
    <w:p w14:paraId="0945DECB"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e.</w:t>
      </w:r>
      <w:r w:rsidRPr="00FC5566">
        <w:rPr>
          <w:rFonts w:eastAsia="Calibri"/>
          <w:kern w:val="2"/>
        </w:rPr>
        <w:tab/>
        <w:t>job-related services, including job search and placement assistance, job retention services, follow-up services, and follow-along services;</w:t>
      </w:r>
    </w:p>
    <w:p w14:paraId="5880BF9A"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f.</w:t>
      </w:r>
      <w:r w:rsidRPr="00FC5566">
        <w:rPr>
          <w:rFonts w:eastAsia="Calibri"/>
          <w:kern w:val="2"/>
        </w:rPr>
        <w:tab/>
        <w:t>rehabilitation technology assessments;</w:t>
      </w:r>
    </w:p>
    <w:p w14:paraId="5E435714"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g.</w:t>
      </w:r>
      <w:r w:rsidRPr="00FC5566">
        <w:rPr>
          <w:rFonts w:eastAsia="Calibri"/>
          <w:kern w:val="2"/>
        </w:rPr>
        <w:tab/>
        <w:t>supported employment;</w:t>
      </w:r>
    </w:p>
    <w:p w14:paraId="587075D4"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h.</w:t>
      </w:r>
      <w:r w:rsidRPr="00FC5566">
        <w:rPr>
          <w:rFonts w:eastAsia="Calibri"/>
          <w:kern w:val="2"/>
        </w:rPr>
        <w:tab/>
        <w:t>on-the-job training;</w:t>
      </w:r>
    </w:p>
    <w:p w14:paraId="6D651E81"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i.</w:t>
      </w:r>
      <w:r w:rsidRPr="00FC5566">
        <w:rPr>
          <w:rFonts w:eastAsia="Calibri"/>
          <w:kern w:val="2"/>
        </w:rPr>
        <w:tab/>
        <w:t>assistive technology devices and services (except hearing aids);</w:t>
      </w:r>
    </w:p>
    <w:p w14:paraId="5B50288F"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j.</w:t>
      </w:r>
      <w:r w:rsidRPr="00FC5566">
        <w:rPr>
          <w:rFonts w:eastAsia="Calibri"/>
          <w:kern w:val="2"/>
        </w:rPr>
        <w:tab/>
        <w:t>orthotic and prosthetic devices;</w:t>
      </w:r>
    </w:p>
    <w:p w14:paraId="2D30CCCB"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k.</w:t>
      </w:r>
      <w:r w:rsidRPr="00FC5566">
        <w:rPr>
          <w:rFonts w:eastAsia="Calibri"/>
          <w:kern w:val="2"/>
        </w:rPr>
        <w:tab/>
        <w:t>personal assistance services provided simultaneously with any of the above-listed vocational rehabilitation services; (Examples include attendant, reader, scribe, interpreter, ASL, and notetaker services.)</w:t>
      </w:r>
    </w:p>
    <w:p w14:paraId="442D4F3A"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l.</w:t>
      </w:r>
      <w:r w:rsidRPr="00FC5566">
        <w:rPr>
          <w:rFonts w:eastAsia="Calibri"/>
          <w:kern w:val="2"/>
        </w:rPr>
        <w:tab/>
        <w:t>disability related augmentative skills training services;</w:t>
      </w:r>
    </w:p>
    <w:p w14:paraId="194548DA"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m.</w:t>
      </w:r>
      <w:r w:rsidRPr="00FC5566">
        <w:rPr>
          <w:rFonts w:eastAsia="Calibri"/>
          <w:kern w:val="2"/>
        </w:rPr>
        <w:tab/>
        <w:t>post-employment services consisting of the services listed in this section.</w:t>
      </w:r>
    </w:p>
    <w:p w14:paraId="12089270"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2.</w:t>
      </w:r>
      <w:r w:rsidRPr="00FC5566">
        <w:rPr>
          <w:rFonts w:eastAsia="Calibri"/>
          <w:kern w:val="2"/>
        </w:rPr>
        <w:tab/>
        <w:t>A financial need test, when applicable, will be applied to determine the ability of the individual to financially contribute to the cost of the following vocational rehabilitation services:</w:t>
      </w:r>
    </w:p>
    <w:p w14:paraId="6DE691D9"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a.</w:t>
      </w:r>
      <w:r w:rsidRPr="00FC5566">
        <w:rPr>
          <w:rFonts w:eastAsia="Calibri"/>
          <w:kern w:val="2"/>
        </w:rPr>
        <w:tab/>
        <w:t>physical restoration and/or mental restoration; (except orthotic and prosthetic devices);</w:t>
      </w:r>
    </w:p>
    <w:p w14:paraId="417636C1"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b.</w:t>
      </w:r>
      <w:r w:rsidRPr="00FC5566">
        <w:rPr>
          <w:rFonts w:eastAsia="Calibri"/>
          <w:kern w:val="2"/>
        </w:rPr>
        <w:tab/>
        <w:t>hearing aids;</w:t>
      </w:r>
    </w:p>
    <w:p w14:paraId="6F1F6CF1"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c.</w:t>
      </w:r>
      <w:r w:rsidRPr="00FC5566">
        <w:rPr>
          <w:rFonts w:eastAsia="Calibri"/>
          <w:kern w:val="2"/>
        </w:rPr>
        <w:tab/>
        <w:t>maintenance;</w:t>
      </w:r>
    </w:p>
    <w:p w14:paraId="23A349CC"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d.</w:t>
      </w:r>
      <w:r w:rsidRPr="00FC5566">
        <w:rPr>
          <w:rFonts w:eastAsia="Calibri"/>
          <w:kern w:val="2"/>
        </w:rPr>
        <w:tab/>
        <w:t>transportation;</w:t>
      </w:r>
    </w:p>
    <w:p w14:paraId="4A52CE7B"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e.</w:t>
      </w:r>
      <w:r w:rsidRPr="00FC5566">
        <w:rPr>
          <w:rFonts w:eastAsia="Calibri"/>
          <w:kern w:val="2"/>
        </w:rPr>
        <w:tab/>
        <w:t>books and supplies;</w:t>
      </w:r>
    </w:p>
    <w:p w14:paraId="65C82770"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f.</w:t>
      </w:r>
      <w:r w:rsidRPr="00FC5566">
        <w:rPr>
          <w:rFonts w:eastAsia="Calibri"/>
          <w:kern w:val="2"/>
        </w:rPr>
        <w:tab/>
        <w:t>occupational tools and equipment;</w:t>
      </w:r>
    </w:p>
    <w:p w14:paraId="4A9DDCF6"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g.</w:t>
      </w:r>
      <w:r w:rsidRPr="00FC5566">
        <w:rPr>
          <w:rFonts w:eastAsia="Calibri"/>
          <w:kern w:val="2"/>
        </w:rPr>
        <w:tab/>
        <w:t>cost services to other family members;</w:t>
      </w:r>
    </w:p>
    <w:p w14:paraId="2532AB13"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h.</w:t>
      </w:r>
      <w:r w:rsidRPr="00FC5566">
        <w:rPr>
          <w:rFonts w:eastAsia="Calibri"/>
          <w:kern w:val="2"/>
        </w:rPr>
        <w:tab/>
        <w:t>occupational licenses;</w:t>
      </w:r>
    </w:p>
    <w:p w14:paraId="23D9CC59"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i.</w:t>
      </w:r>
      <w:r w:rsidRPr="00FC5566">
        <w:rPr>
          <w:rFonts w:eastAsia="Calibri"/>
          <w:kern w:val="2"/>
        </w:rPr>
        <w:tab/>
        <w:t>discretionary training fees such as those that are not included in tuition;</w:t>
      </w:r>
    </w:p>
    <w:p w14:paraId="75814101"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j.</w:t>
      </w:r>
      <w:r w:rsidRPr="00FC5566">
        <w:rPr>
          <w:rFonts w:eastAsia="Calibri"/>
          <w:kern w:val="2"/>
        </w:rPr>
        <w:tab/>
        <w:t>vocational and other training services, such as college/university, vocational and proprietary school training;</w:t>
      </w:r>
    </w:p>
    <w:p w14:paraId="7AA7B8EC"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k.</w:t>
      </w:r>
      <w:r w:rsidRPr="00FC5566">
        <w:rPr>
          <w:rFonts w:eastAsia="Calibri"/>
          <w:kern w:val="2"/>
        </w:rPr>
        <w:tab/>
        <w:t>other goods and services, not specifically identified in Subsection I.1 above;</w:t>
      </w:r>
    </w:p>
    <w:p w14:paraId="0F6E35CA"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l.</w:t>
      </w:r>
      <w:r w:rsidRPr="00FC5566">
        <w:rPr>
          <w:rFonts w:eastAsia="Calibri"/>
          <w:kern w:val="2"/>
        </w:rPr>
        <w:tab/>
        <w:t>post-employment services consisting of the services listed above.</w:t>
      </w:r>
    </w:p>
    <w:p w14:paraId="12124A32"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3.</w:t>
      </w:r>
      <w:r w:rsidRPr="00FC5566">
        <w:rPr>
          <w:rFonts w:eastAsia="Calibri"/>
          <w:kern w:val="2"/>
        </w:rPr>
        <w:tab/>
        <w:t xml:space="preserve">LRS shall determine an individual’s financial need for vocational rehabilitation services as applicable, as listed in Paragraph 2 above, based on the individual’s income, disability related expenses, and a multiple of 250 - 500 </w:t>
      </w:r>
      <w:r w:rsidRPr="00FC5566">
        <w:rPr>
          <w:rFonts w:eastAsia="Calibri"/>
          <w:kern w:val="2"/>
        </w:rPr>
        <w:t>percent of the current U.S. Department of Health and Human Services’ poverty guidelines.</w:t>
      </w:r>
      <w:r w:rsidRPr="00FC5566">
        <w:rPr>
          <w:rFonts w:eastAsia="Calibri"/>
          <w:kern w:val="2"/>
        </w:rPr>
        <w:tab/>
      </w:r>
    </w:p>
    <w:p w14:paraId="62B52266"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4.</w:t>
      </w:r>
      <w:r w:rsidRPr="00FC5566">
        <w:rPr>
          <w:rFonts w:eastAsia="Calibri"/>
          <w:kern w:val="2"/>
        </w:rPr>
        <w:tab/>
        <w:t xml:space="preserve">When it is determined by a counselor and an eligible applicant that self-employment, through establishment of a small business enterprise, is the best option for the applicant/participant, the applicant/participant must provide a minimum cash capital contribution of 20 percent of the total transaction. </w:t>
      </w:r>
    </w:p>
    <w:p w14:paraId="59F592C6"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5.</w:t>
      </w:r>
      <w:r w:rsidRPr="00FC5566">
        <w:rPr>
          <w:rFonts w:eastAsia="Calibri"/>
          <w:kern w:val="2"/>
        </w:rPr>
        <w:tab/>
        <w:t>Individuals who do not provide LRS with necessary financial information to perform the budget analysis will be eligible only for those vocational rehabilitation services that are not conditioned upon an analysis to determine the extent of the individual's participation in the costs of such services.</w:t>
      </w:r>
    </w:p>
    <w:p w14:paraId="3D0C891A"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6.</w:t>
      </w:r>
      <w:r w:rsidRPr="00FC5566">
        <w:rPr>
          <w:rFonts w:eastAsia="Calibri"/>
          <w:kern w:val="2"/>
        </w:rPr>
        <w:tab/>
        <w:t>Individuals who have defaulted on a student loan must make good faith efforts with the lender to clear the default or to defer payment before LRS will participate in the cost of the participant's post-secondary training and supports.</w:t>
      </w:r>
    </w:p>
    <w:p w14:paraId="24F475C0"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7.</w:t>
      </w:r>
      <w:r w:rsidRPr="00FC5566">
        <w:rPr>
          <w:rFonts w:eastAsia="Calibri"/>
          <w:kern w:val="2"/>
        </w:rPr>
        <w:tab/>
        <w:t>Simultaneously with the comprehensive assessment, at the annual review of the IPE, and at any time there is a change in the financial situation of either the participant or the family, the counselor will perform a financial needs test, as applicable, for each participant requiring vocational rehabilitation services that requires a financial needs test. The amount of participation in the cost of their vocational rehabilitation program will be based upon the most recent financial needs test at the time the relevant IPE or amendment is developed.</w:t>
      </w:r>
    </w:p>
    <w:p w14:paraId="51560F48"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J.</w:t>
      </w:r>
      <w:r w:rsidRPr="00FC5566">
        <w:rPr>
          <w:rFonts w:eastAsia="Calibri"/>
          <w:kern w:val="2"/>
        </w:rPr>
        <w:tab/>
        <w:t>Additional Requirements</w:t>
      </w:r>
    </w:p>
    <w:p w14:paraId="6D951066"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1.</w:t>
      </w:r>
      <w:r w:rsidRPr="00FC5566">
        <w:rPr>
          <w:rFonts w:eastAsia="Calibri"/>
          <w:kern w:val="2"/>
        </w:rPr>
        <w:tab/>
        <w:t>State and Departmental Purchasing Procedures. All applicable state, departmental and agency purchasing policies and procedures must be followed.</w:t>
      </w:r>
    </w:p>
    <w:p w14:paraId="0AA311B1"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2.</w:t>
      </w:r>
      <w:r w:rsidRPr="00FC5566">
        <w:rPr>
          <w:rFonts w:eastAsia="Calibri"/>
          <w:kern w:val="2"/>
        </w:rPr>
        <w:tab/>
        <w:t>LRS does not purchase vehicles, real estate,</w:t>
      </w:r>
      <w:r w:rsidRPr="00FC5566">
        <w:rPr>
          <w:kern w:val="2"/>
        </w:rPr>
        <w:t xml:space="preserve"> </w:t>
      </w:r>
      <w:r w:rsidRPr="00FC5566">
        <w:rPr>
          <w:rFonts w:eastAsia="Calibri"/>
          <w:kern w:val="2"/>
        </w:rPr>
        <w:t>or any equipment or service that requires ongoing costs (e.g. property taxes). An exception would include identification of a one-time payment or specified period of time with expectation that the participant would be able to assume further ongoing costs.</w:t>
      </w:r>
    </w:p>
    <w:p w14:paraId="2CEA77DD" w14:textId="77777777" w:rsidR="00FC5566" w:rsidRPr="00FC5566" w:rsidRDefault="00FC5566" w:rsidP="00FC5566">
      <w:pPr>
        <w:tabs>
          <w:tab w:val="left" w:pos="1170"/>
        </w:tabs>
        <w:ind w:left="432" w:right="432"/>
        <w:jc w:val="both"/>
        <w:rPr>
          <w:rFonts w:eastAsia="Calibri"/>
          <w:noProof/>
          <w:sz w:val="16"/>
          <w:szCs w:val="16"/>
        </w:rPr>
      </w:pPr>
      <w:r w:rsidRPr="00FC5566">
        <w:rPr>
          <w:rFonts w:eastAsia="Calibri"/>
          <w:noProof/>
          <w:sz w:val="16"/>
          <w:szCs w:val="16"/>
        </w:rPr>
        <w:t>NOTE:</w:t>
      </w:r>
      <w:r w:rsidRPr="00FC5566">
        <w:rPr>
          <w:rFonts w:eastAsia="Calibri"/>
          <w:noProof/>
          <w:sz w:val="16"/>
          <w:szCs w:val="16"/>
        </w:rPr>
        <w:tab/>
        <w:t>Vehicles include all motor vehicles, all-terrain vehicles, and utility task vehicles.</w:t>
      </w:r>
    </w:p>
    <w:p w14:paraId="3A05147B"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3.</w:t>
      </w:r>
      <w:r w:rsidRPr="00FC5566">
        <w:rPr>
          <w:rFonts w:eastAsia="Calibri"/>
          <w:kern w:val="2"/>
        </w:rPr>
        <w:tab/>
        <w:t>Fee Schedule. Services and rates of payment must be authorized in accordance with LRS's Medical Fee Schedule and LRS's Technical Assistance and Guidance Manual, which lists current established rates and approved service providers.</w:t>
      </w:r>
    </w:p>
    <w:p w14:paraId="6FEF7930"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4.</w:t>
      </w:r>
      <w:r w:rsidRPr="00FC5566">
        <w:rPr>
          <w:rFonts w:eastAsia="Calibri"/>
          <w:kern w:val="2"/>
        </w:rPr>
        <w:tab/>
        <w:t>Approval of Service Providers</w:t>
      </w:r>
    </w:p>
    <w:p w14:paraId="510923B8"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a.</w:t>
      </w:r>
      <w:r w:rsidRPr="00FC5566">
        <w:rPr>
          <w:rFonts w:eastAsia="Calibri"/>
          <w:kern w:val="2"/>
        </w:rPr>
        <w:tab/>
        <w:t>Any service provider approved by the agency must agree not to make any additional charge to or accept any additional payment from the participant or participant's family for services authorized by the agency.</w:t>
      </w:r>
    </w:p>
    <w:p w14:paraId="66AC184B"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b.</w:t>
      </w:r>
      <w:r w:rsidRPr="00FC5566">
        <w:rPr>
          <w:rFonts w:eastAsia="Calibri"/>
          <w:kern w:val="2"/>
        </w:rPr>
        <w:tab/>
        <w:t>Relatives of vocational rehabilitation participants will not be approved as a paid service provider unless such individuals are professionally and occupationally engaged in the delivery of such services by offering their services to the general public on a regular and consistent basis.</w:t>
      </w:r>
    </w:p>
    <w:p w14:paraId="732CD5E7"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5.</w:t>
      </w:r>
      <w:r w:rsidRPr="00FC5566">
        <w:rPr>
          <w:rFonts w:eastAsia="Calibri"/>
          <w:kern w:val="2"/>
        </w:rPr>
        <w:tab/>
        <w:t>Prior Written Authorization and Encumbrance</w:t>
      </w:r>
    </w:p>
    <w:p w14:paraId="1A16E4E6"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a.</w:t>
      </w:r>
      <w:r w:rsidRPr="00FC5566">
        <w:rPr>
          <w:rFonts w:eastAsia="Calibri"/>
          <w:kern w:val="2"/>
        </w:rPr>
        <w:tab/>
        <w:t>Either before or at the same time as the initiation or delivery of goods or services, the agency must be in possession of the proper authorizing document. The only exception is in an emergency situation.</w:t>
      </w:r>
    </w:p>
    <w:p w14:paraId="7B580745" w14:textId="77777777" w:rsidR="00FC5566" w:rsidRPr="00FC5566" w:rsidRDefault="00FC5566" w:rsidP="00FC5566">
      <w:pPr>
        <w:tabs>
          <w:tab w:val="left" w:pos="907"/>
        </w:tabs>
        <w:ind w:firstLine="547"/>
        <w:jc w:val="both"/>
        <w:outlineLvl w:val="5"/>
        <w:rPr>
          <w:kern w:val="2"/>
        </w:rPr>
      </w:pPr>
      <w:r w:rsidRPr="00FC5566">
        <w:rPr>
          <w:kern w:val="2"/>
        </w:rPr>
        <w:t>b.</w:t>
      </w:r>
      <w:r w:rsidRPr="00FC5566">
        <w:rPr>
          <w:kern w:val="2"/>
        </w:rPr>
        <w:tab/>
        <w:t>If oral authorization of approved services is made in an emergency situation, there must be prompt documentation, and the authorization must be confirmed in writing and forwarded to the provider of the services.</w:t>
      </w:r>
    </w:p>
    <w:p w14:paraId="7B1BD959"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rFonts w:eastAsia="Calibri"/>
          <w:kern w:val="2"/>
          <w:sz w:val="18"/>
        </w:rPr>
      </w:pPr>
      <w:r w:rsidRPr="00FC5566">
        <w:rPr>
          <w:rFonts w:eastAsia="Calibri"/>
          <w:kern w:val="2"/>
          <w:sz w:val="18"/>
        </w:rPr>
        <w:lastRenderedPageBreak/>
        <w:t>AUTHORITY NOTE:</w:t>
      </w:r>
      <w:r w:rsidRPr="00FC5566">
        <w:rPr>
          <w:rFonts w:eastAsia="Calibri"/>
          <w:kern w:val="2"/>
          <w:sz w:val="18"/>
        </w:rPr>
        <w:tab/>
        <w:t>Promulgated in accordance with R.S. 23-3022.</w:t>
      </w:r>
    </w:p>
    <w:p w14:paraId="766E3220"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rFonts w:eastAsia="Calibri"/>
          <w:kern w:val="2"/>
          <w:sz w:val="18"/>
        </w:rPr>
        <w:t>HISTORICAL NOTE:</w:t>
      </w:r>
      <w:r w:rsidRPr="00FC5566">
        <w:rPr>
          <w:rFonts w:eastAsia="Calibri"/>
          <w:kern w:val="2"/>
          <w:sz w:val="18"/>
        </w:rPr>
        <w:tab/>
        <w:t>Promulgated by the Department of Social Services, Office of Rehabilitation Services, LR 17:891 (September 1991), amended LR 20:317 (March 1994), LR 21:837 (August 1995), LR 24:959 (May 1998), LR 25:1273 (July 1999), LR 27:212 (February 2001), LR 27:1561 (September 2001), LR 29:47 (January 2003), LR 30:1488 (July 2004), LR 34:1038 (June 2008), amended by the Workforce Commission, Rehabilitation Services, LR 41:1775 (September 2015), repromulgated LR 41:2180 (October 2015), amended LR 48:306 (February 2022)</w:t>
      </w:r>
      <w:r w:rsidRPr="00FC5566">
        <w:rPr>
          <w:kern w:val="2"/>
          <w:sz w:val="18"/>
        </w:rPr>
        <w:t>, amended by Louisiana Works, Rehabilitation Services, LR 52:1371 (August 2026).</w:t>
      </w:r>
      <w:bookmarkStart w:id="337" w:name="_Toc215471625"/>
      <w:bookmarkStart w:id="338" w:name="_Toc248893801"/>
      <w:bookmarkStart w:id="339" w:name="_Toc257205924"/>
      <w:bookmarkStart w:id="340" w:name="_Toc40957907"/>
    </w:p>
    <w:p w14:paraId="7C85ED22"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§117.</w:t>
      </w:r>
      <w:r w:rsidRPr="00FC5566">
        <w:rPr>
          <w:b/>
          <w:kern w:val="2"/>
        </w:rPr>
        <w:tab/>
        <w:t>Vocational Rehabilitation Services</w:t>
      </w:r>
      <w:bookmarkEnd w:id="337"/>
      <w:bookmarkEnd w:id="338"/>
      <w:bookmarkEnd w:id="339"/>
      <w:bookmarkEnd w:id="340"/>
    </w:p>
    <w:p w14:paraId="38E726C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bookmarkStart w:id="341" w:name="TOC_Chap187"/>
      <w:bookmarkStart w:id="342" w:name="_Toc215471628"/>
      <w:bookmarkStart w:id="343" w:name="_Toc248893804"/>
      <w:bookmarkStart w:id="344" w:name="_Toc257205927"/>
      <w:bookmarkStart w:id="345" w:name="_Toc40957910"/>
      <w:r w:rsidRPr="00FC5566">
        <w:rPr>
          <w:kern w:val="2"/>
        </w:rPr>
        <w:t>A. - A.2.</w:t>
      </w:r>
      <w:r w:rsidRPr="00FC5566">
        <w:rPr>
          <w:kern w:val="2"/>
        </w:rPr>
        <w:tab/>
        <w:t>…</w:t>
      </w:r>
    </w:p>
    <w:p w14:paraId="16C6F8F5"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referral and other services to secure needed services from other agencies, including other components of the statewide workforce development system, if such services are not available from LRS;</w:t>
      </w:r>
    </w:p>
    <w:p w14:paraId="6A499AFB"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 - 5.</w:t>
      </w:r>
      <w:r w:rsidRPr="00FC5566">
        <w:rPr>
          <w:kern w:val="2"/>
        </w:rPr>
        <w:tab/>
        <w:t>…</w:t>
      </w:r>
    </w:p>
    <w:p w14:paraId="24CB7011"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6.</w:t>
      </w:r>
      <w:r w:rsidRPr="00FC5566">
        <w:rPr>
          <w:kern w:val="2"/>
        </w:rPr>
        <w:tab/>
        <w:t>to the extent that financial support is not readily available from a source other than LRS (such as through health insurance of the individual or a comparable service and benefit consistent with LAC 67:VII.115.E), diagnosis and treatment of physical and mental impairments, including diagnosis and treatment for mental and emotional disorders by qualified personnel who meet state license laws;</w:t>
      </w:r>
    </w:p>
    <w:p w14:paraId="2B9710B2"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7. - 13.</w:t>
      </w:r>
      <w:r w:rsidRPr="00FC5566">
        <w:rPr>
          <w:kern w:val="2"/>
        </w:rPr>
        <w:tab/>
        <w:t>…</w:t>
      </w:r>
    </w:p>
    <w:p w14:paraId="5D68524E"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14.</w:t>
      </w:r>
      <w:r w:rsidRPr="00FC5566">
        <w:rPr>
          <w:kern w:val="2"/>
        </w:rPr>
        <w:tab/>
        <w:t>rehabilitation technology, including vehicle modification, telecommunications, sensory, and other technological aids and devices;</w:t>
      </w:r>
    </w:p>
    <w:p w14:paraId="062A6BC8"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15. - 18.</w:t>
      </w:r>
      <w:r w:rsidRPr="00FC5566">
        <w:rPr>
          <w:kern w:val="2"/>
        </w:rPr>
        <w:tab/>
        <w:t>…</w:t>
      </w:r>
    </w:p>
    <w:p w14:paraId="24758B49"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Scope of Services for Diagnosis and Treatment of Physical and Mental Impairments</w:t>
      </w:r>
    </w:p>
    <w:p w14:paraId="4C6D28C4"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LRS will not provide ongoing medical rehabilitation treatment services. After medical science has restored the individual to a reasonable level of healthy functioning, LRS can provide vocational rehabilitation services to remediate residual deficits medical science could not restore, if such impairments impact the individual's ability to work. LRS can provide all necessary and appropriate vocational rehabilitation services if these services address these functional deficits and assist the individual in performing job functions and/or gaining knowledge or skills necessary to compete for and obtain employment.</w:t>
      </w:r>
    </w:p>
    <w:p w14:paraId="12C1B85B"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LRS will not provide experimental services or supplies.</w:t>
      </w:r>
    </w:p>
    <w:p w14:paraId="2CCA23AC"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Scope of Establishment of Small Business Enterprise</w:t>
      </w:r>
    </w:p>
    <w:p w14:paraId="61C74231"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 - 4.</w:t>
      </w:r>
      <w:r w:rsidRPr="00FC5566">
        <w:rPr>
          <w:kern w:val="2"/>
        </w:rPr>
        <w:tab/>
        <w:t>…</w:t>
      </w:r>
    </w:p>
    <w:p w14:paraId="3443414C"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r>
      <w:r w:rsidRPr="00FC5566">
        <w:rPr>
          <w:rFonts w:eastAsia="Calibri"/>
          <w:kern w:val="2"/>
          <w:sz w:val="18"/>
        </w:rPr>
        <w:t xml:space="preserve">Promulgated in accordance with </w:t>
      </w:r>
      <w:r w:rsidRPr="00FC5566">
        <w:rPr>
          <w:kern w:val="2"/>
          <w:sz w:val="18"/>
        </w:rPr>
        <w:t>R.S. 23-3001.</w:t>
      </w:r>
    </w:p>
    <w:p w14:paraId="132CBEE1"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Rehabilitation Services, LR 17:891 (September 1991), amended LR 20:317 (March 1994), LR 25:1274 (July 1999), amended by the Workforce Commission, Rehabilitation Services, LR 41:1775 (September 2015), LR 48:306 (February 2022), amended by Louisiana Works, Rehabilitation Services, LR 52:1373 (August 2026).</w:t>
      </w:r>
    </w:p>
    <w:p w14:paraId="36A36F0B"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§119.</w:t>
      </w:r>
      <w:r w:rsidRPr="00FC5566">
        <w:rPr>
          <w:b/>
          <w:kern w:val="2"/>
        </w:rPr>
        <w:tab/>
        <w:t>Transition Process for Individuals in Secondary Education Programs</w:t>
      </w:r>
    </w:p>
    <w:p w14:paraId="36E7C067"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 xml:space="preserve">Louisiana Rehabilitation Services (LRS) will become involved in the transition planning process for students with disabilities as early as possible to ensure that students' transition needs are met in a timely manner. LRS involvement in the transition process will provide for outreach, </w:t>
      </w:r>
      <w:r w:rsidRPr="00FC5566">
        <w:rPr>
          <w:kern w:val="2"/>
        </w:rPr>
        <w:t>consultation, technical assistance and transition planning by agency personnel that facilitates the development and completion of students' Individualized Education Programs (IEPs), as well as the completion and approval of eligible students' Individualized Plans for Employment (IPEs) prior to their exit from the school system.</w:t>
      </w:r>
    </w:p>
    <w:p w14:paraId="73CD0D3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w:t>
      </w:r>
    </w:p>
    <w:p w14:paraId="1C8153CC"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LRS' vocational rehabilitation services for transition students shall be based upon the eligible student's individual needs, taking into account the student's abilities, preferences and interests, and shall include vocational guidance and counseling, functional vocational evaluation, instruction, community experiences, and other services and activities that may be necessary to facilitate achievement of the employment outcome identified on the IPE.</w:t>
      </w:r>
    </w:p>
    <w:p w14:paraId="287877F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D.</w:t>
      </w:r>
      <w:r w:rsidRPr="00FC5566">
        <w:rPr>
          <w:kern w:val="2"/>
        </w:rPr>
        <w:tab/>
        <w:t>…</w:t>
      </w:r>
    </w:p>
    <w:p w14:paraId="309F7482"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E.</w:t>
      </w:r>
      <w:r w:rsidRPr="00FC5566">
        <w:rPr>
          <w:kern w:val="2"/>
        </w:rPr>
        <w:tab/>
        <w:t>The following provisions are the key points in LRS' transition process:</w:t>
      </w:r>
    </w:p>
    <w:p w14:paraId="70456C07"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LRS will provide consultation and technical assistance (to the extent possible considering time and agency resources) as early as possible in the transition process for students with disabilities who have an Individualized Education Plan (IEP), for students who are being served through Section 504 of the Rehabilitation Act, or for students who are considered as individuals with a disability according to the Rehabilitation Act, §7.21.A.</w:t>
      </w:r>
    </w:p>
    <w:p w14:paraId="324E295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E.2. - F.</w:t>
      </w:r>
      <w:r w:rsidRPr="00FC5566">
        <w:rPr>
          <w:kern w:val="2"/>
        </w:rPr>
        <w:tab/>
        <w:t>…</w:t>
      </w:r>
    </w:p>
    <w:p w14:paraId="7B952F3E"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r>
      <w:r w:rsidRPr="00FC5566">
        <w:rPr>
          <w:rFonts w:eastAsia="Calibri"/>
          <w:kern w:val="2"/>
          <w:sz w:val="18"/>
        </w:rPr>
        <w:t xml:space="preserve">Promulgated in accordance with </w:t>
      </w:r>
      <w:r w:rsidRPr="00FC5566">
        <w:rPr>
          <w:kern w:val="2"/>
          <w:sz w:val="18"/>
        </w:rPr>
        <w:t>R.S. 23-3001.</w:t>
      </w:r>
    </w:p>
    <w:p w14:paraId="25425DA7"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Rehabilitation Services, LR 17:891 (September 1991), amended LR 20:317 (March 1994), repromulgated LR 25:1276 (July 1999), amended LR 30:1488 (July 2004), amended by the Workforce Commission, Rehabilitation Services, LR 41:1776 (September 2015), amended by Louisiana Works, Rehabilitation Services, LR 52:1373 (August 2026).</w:t>
      </w:r>
    </w:p>
    <w:p w14:paraId="7E0F9A85"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§121.</w:t>
      </w:r>
      <w:r w:rsidRPr="00FC5566">
        <w:rPr>
          <w:b/>
          <w:kern w:val="2"/>
        </w:rPr>
        <w:tab/>
        <w:t>Conditions for Case Closure</w:t>
      </w:r>
    </w:p>
    <w:p w14:paraId="37A7CBC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A.2.</w:t>
      </w:r>
      <w:r w:rsidRPr="00FC5566">
        <w:rPr>
          <w:kern w:val="2"/>
        </w:rPr>
        <w:tab/>
        <w:t>…</w:t>
      </w:r>
    </w:p>
    <w:p w14:paraId="3B40E3F6"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appropriate planned services, expenditures and reports have been completed, and additional services are either unnecessary or inappropriate, including post-employment services.</w:t>
      </w:r>
    </w:p>
    <w:p w14:paraId="4376325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Closure as Successfully Rehabilitated. An individual is determined to have achieved an employment outcome if the following requirements are met.</w:t>
      </w:r>
    </w:p>
    <w:p w14:paraId="287591D1"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The individual has achieved a competitive integrated employment outcome with their chosen employment goal and that is consistent with the individual's unique strengths, resources, priorities, concerns, abilities, capabilities, interests, and informed choice.</w:t>
      </w:r>
    </w:p>
    <w:p w14:paraId="4167B579"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The individual has maintained the employment outcome for an appropriate period of time, but not less than 90 days, necessary to ensure the stability of the employment outcome, and the individual no longer needs vocational rehabilitation services.</w:t>
      </w:r>
    </w:p>
    <w:p w14:paraId="42A9C5CA"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The individual and the qualified rehabilitation counselor consider the employment outcome to be satisfactory and agree that the individual is performing well in the employment.</w:t>
      </w:r>
    </w:p>
    <w:p w14:paraId="0615A044"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w:t>
      </w:r>
      <w:r w:rsidRPr="00FC5566">
        <w:rPr>
          <w:kern w:val="2"/>
        </w:rPr>
        <w:tab/>
        <w:t>The individual is informed through appropriate modes of communication of the availability of post-employment services.</w:t>
      </w:r>
    </w:p>
    <w:p w14:paraId="06B207EE"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lastRenderedPageBreak/>
        <w:t>AUTHORITY NOTE:</w:t>
      </w:r>
      <w:r w:rsidRPr="00FC5566">
        <w:rPr>
          <w:kern w:val="2"/>
          <w:sz w:val="18"/>
        </w:rPr>
        <w:tab/>
        <w:t>Promulgated in accordance with R.S. 49:664.4 and R.S. 36:477.</w:t>
      </w:r>
    </w:p>
    <w:p w14:paraId="76E6E3EA"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Rehabilitation Services, LR 17:891 (September 1991), amended LR 20:317 (March 1994), LR 23:994 (August 1997), repromulgated LR 25:1277 (July 1999), amended by Louisiana Works, Rehabilitation Services, LR 52:1373 (August 2026).</w:t>
      </w:r>
    </w:p>
    <w:p w14:paraId="12C27987"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Chapter 2.</w:t>
      </w:r>
      <w:bookmarkStart w:id="346" w:name="TOCT_Chap273"/>
      <w:bookmarkEnd w:id="341"/>
      <w:r w:rsidRPr="00FC5566">
        <w:rPr>
          <w:b/>
          <w:kern w:val="2"/>
        </w:rPr>
        <w:tab/>
      </w:r>
      <w:bookmarkStart w:id="347" w:name="TOCT_Chap181"/>
      <w:bookmarkStart w:id="348" w:name="TOCT_Chap182"/>
      <w:bookmarkStart w:id="349" w:name="TOCT_Chap187"/>
      <w:r w:rsidRPr="00FC5566">
        <w:rPr>
          <w:b/>
          <w:kern w:val="2"/>
        </w:rPr>
        <w:t>Community Rehabilitation Program</w:t>
      </w:r>
      <w:bookmarkEnd w:id="342"/>
      <w:bookmarkEnd w:id="343"/>
      <w:bookmarkEnd w:id="344"/>
      <w:bookmarkEnd w:id="345"/>
      <w:bookmarkEnd w:id="346"/>
      <w:bookmarkEnd w:id="347"/>
      <w:bookmarkEnd w:id="348"/>
      <w:bookmarkEnd w:id="349"/>
    </w:p>
    <w:p w14:paraId="49BCEAB6"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350" w:name="_Toc215471632"/>
      <w:bookmarkStart w:id="351" w:name="_Toc248893808"/>
      <w:bookmarkStart w:id="352" w:name="_Toc257205931"/>
      <w:bookmarkStart w:id="353" w:name="_Toc40957914"/>
      <w:r w:rsidRPr="00FC5566">
        <w:rPr>
          <w:b/>
          <w:kern w:val="2"/>
        </w:rPr>
        <w:t>§201.</w:t>
      </w:r>
      <w:r w:rsidRPr="00FC5566">
        <w:rPr>
          <w:b/>
          <w:kern w:val="2"/>
        </w:rPr>
        <w:tab/>
      </w:r>
      <w:bookmarkEnd w:id="350"/>
      <w:bookmarkEnd w:id="351"/>
      <w:bookmarkEnd w:id="352"/>
      <w:bookmarkEnd w:id="353"/>
      <w:r w:rsidRPr="00FC5566">
        <w:rPr>
          <w:b/>
          <w:kern w:val="2"/>
        </w:rPr>
        <w:t>Purpose</w:t>
      </w:r>
    </w:p>
    <w:p w14:paraId="6F852A92"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A Community Rehabilitation Program (CRP) is a program that can directly provide, or facilitate the provision of, one or more vocational rehabilitation (VR) services to individuals with disabilities as one of its major functions. The purpose of these services is to enable those individuals to maximize their opportunities for competitive integrated employment.</w:t>
      </w:r>
    </w:p>
    <w:p w14:paraId="62BF16CD"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The CRP shall establish its purpose and direct its activities toward accomplishment of that purpose.</w:t>
      </w:r>
    </w:p>
    <w:p w14:paraId="57DAA8BD"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The CRP shall state its goals and purposes clearly in appropriate publications for distribution to staff, those served, referral and payment sources, and the public.</w:t>
      </w:r>
    </w:p>
    <w:p w14:paraId="7A883492"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The CRP shall describe the specific rehabilitation needs it is prepared to address as well as the programs and services available for that purpose.</w:t>
      </w:r>
    </w:p>
    <w:p w14:paraId="5655C40B"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49:664.4 and R.S. 36:477.</w:t>
      </w:r>
    </w:p>
    <w:p w14:paraId="334EAF57"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Rehabilitation Services, LR 24:1954 (October 1998), amended by Louisiana Works, Rehabilitation Services, LR 52:1374 (August 2026).</w:t>
      </w:r>
    </w:p>
    <w:p w14:paraId="6CA9722C"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354" w:name="_Toc215471635"/>
      <w:bookmarkStart w:id="355" w:name="_Toc248893811"/>
      <w:bookmarkStart w:id="356" w:name="_Toc257205934"/>
      <w:bookmarkStart w:id="357" w:name="_Toc40957917"/>
      <w:r w:rsidRPr="00FC5566">
        <w:rPr>
          <w:b/>
          <w:kern w:val="2"/>
        </w:rPr>
        <w:t>§203.</w:t>
      </w:r>
      <w:r w:rsidRPr="00FC5566">
        <w:rPr>
          <w:b/>
          <w:kern w:val="2"/>
        </w:rPr>
        <w:tab/>
      </w:r>
      <w:bookmarkEnd w:id="354"/>
      <w:bookmarkEnd w:id="355"/>
      <w:bookmarkEnd w:id="356"/>
      <w:bookmarkEnd w:id="357"/>
      <w:r w:rsidRPr="00FC5566">
        <w:rPr>
          <w:b/>
          <w:kern w:val="2"/>
        </w:rPr>
        <w:t xml:space="preserve">Organization and Management </w:t>
      </w:r>
    </w:p>
    <w:p w14:paraId="3B8DEC7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B.6.</w:t>
      </w:r>
      <w:r w:rsidRPr="00FC5566">
        <w:rPr>
          <w:kern w:val="2"/>
        </w:rPr>
        <w:tab/>
        <w:t>…</w:t>
      </w:r>
    </w:p>
    <w:p w14:paraId="4EB522B0"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7.</w:t>
      </w:r>
      <w:r w:rsidRPr="00FC5566">
        <w:rPr>
          <w:kern w:val="2"/>
        </w:rPr>
        <w:tab/>
        <w:t>insurance policies;</w:t>
      </w:r>
    </w:p>
    <w:p w14:paraId="1600A024"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8.</w:t>
      </w:r>
      <w:r w:rsidRPr="00FC5566">
        <w:rPr>
          <w:kern w:val="2"/>
        </w:rPr>
        <w:tab/>
        <w:t>master list of all consultants used by the CRP.</w:t>
      </w:r>
    </w:p>
    <w:p w14:paraId="310C55A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w:t>
      </w:r>
    </w:p>
    <w:p w14:paraId="413DBF14"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49:664.4 and R.S. 36:477.</w:t>
      </w:r>
    </w:p>
    <w:p w14:paraId="78D847F1"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Rehabilitation Services, LR 24:1954 (October 1998), amended by Louisiana Workforce Commission, Office of Rehabilitation Services, LR 38:147 (January 2012), amended by Louisiana Works, Rehabilitation Services, LR 52:1374 (August 2026).</w:t>
      </w:r>
    </w:p>
    <w:p w14:paraId="1C4CD50D"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358" w:name="_Toc215471638"/>
      <w:bookmarkStart w:id="359" w:name="_Toc248893814"/>
      <w:bookmarkStart w:id="360" w:name="_Toc257205937"/>
      <w:bookmarkStart w:id="361" w:name="_Toc40957920"/>
      <w:r w:rsidRPr="00FC5566">
        <w:rPr>
          <w:b/>
          <w:kern w:val="2"/>
        </w:rPr>
        <w:t>§205.</w:t>
      </w:r>
      <w:r w:rsidRPr="00FC5566">
        <w:rPr>
          <w:b/>
          <w:kern w:val="2"/>
        </w:rPr>
        <w:tab/>
      </w:r>
      <w:bookmarkEnd w:id="358"/>
      <w:bookmarkEnd w:id="359"/>
      <w:bookmarkEnd w:id="360"/>
      <w:bookmarkEnd w:id="361"/>
      <w:r w:rsidRPr="00FC5566">
        <w:rPr>
          <w:b/>
          <w:kern w:val="2"/>
        </w:rPr>
        <w:t>Governing Body</w:t>
      </w:r>
    </w:p>
    <w:p w14:paraId="4A9607CC"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The CRP must be a legally recognized entity in accordance with applicable federal, state, or local laws and must have a governing body as required.</w:t>
      </w:r>
    </w:p>
    <w:p w14:paraId="78B60029"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The membership of the governing body shall include representation of the community being served, and include person(s) with disabilities and/or family members of person(s) with disabilities.</w:t>
      </w:r>
    </w:p>
    <w:p w14:paraId="79312A0A"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49:664.4 and R.S. 36:477.</w:t>
      </w:r>
    </w:p>
    <w:p w14:paraId="6E26B94A"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Rehabilitation Services, LR 24:1955 (October 1998), amended by Louisiana Works, Rehabilitation Services, LR 52:1374 (August 2026).</w:t>
      </w:r>
    </w:p>
    <w:p w14:paraId="5E9F4F3B"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362" w:name="_Toc40957922"/>
      <w:r w:rsidRPr="00FC5566">
        <w:rPr>
          <w:b/>
          <w:kern w:val="2"/>
        </w:rPr>
        <w:t>§209.</w:t>
      </w:r>
      <w:r w:rsidRPr="00FC5566">
        <w:rPr>
          <w:b/>
          <w:kern w:val="2"/>
        </w:rPr>
        <w:tab/>
      </w:r>
      <w:bookmarkEnd w:id="362"/>
      <w:r w:rsidRPr="00FC5566">
        <w:rPr>
          <w:b/>
          <w:kern w:val="2"/>
        </w:rPr>
        <w:t>Personnel Administration and Staff Development</w:t>
      </w:r>
    </w:p>
    <w:p w14:paraId="20AF744F"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D.</w:t>
      </w:r>
      <w:r w:rsidRPr="00FC5566">
        <w:rPr>
          <w:kern w:val="2"/>
        </w:rPr>
        <w:tab/>
        <w:t>…</w:t>
      </w:r>
    </w:p>
    <w:p w14:paraId="060DC76E"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bookmarkStart w:id="363" w:name="TOC_Chap189"/>
      <w:bookmarkStart w:id="364" w:name="_Toc215471657"/>
      <w:bookmarkStart w:id="365" w:name="_Toc248893833"/>
      <w:bookmarkStart w:id="366" w:name="_Toc257205956"/>
      <w:bookmarkStart w:id="367" w:name="_Toc40957941"/>
      <w:r w:rsidRPr="00FC5566">
        <w:rPr>
          <w:kern w:val="2"/>
        </w:rPr>
        <w:t>E.</w:t>
      </w:r>
      <w:r w:rsidRPr="00FC5566">
        <w:rPr>
          <w:kern w:val="2"/>
        </w:rPr>
        <w:tab/>
        <w:t xml:space="preserve">The CRP shall conduct a criminal background check on each staff member who will have unsupervised contact with any LRS client, unsupervised access to the funds, </w:t>
      </w:r>
      <w:r w:rsidRPr="00FC5566">
        <w:rPr>
          <w:kern w:val="2"/>
        </w:rPr>
        <w:br w:type="column"/>
      </w:r>
      <w:r w:rsidRPr="00FC5566">
        <w:rPr>
          <w:kern w:val="2"/>
        </w:rPr>
        <w:t>personal property, or personal identification information of persons served by LRS, and those whose duties will include direct responsibility for such individuals to determine whether the individual has a history for any criminal activity, abuse, neglect, or exploitation that could pose a risk to the safety and well-being of individuals served by LRS.</w:t>
      </w:r>
    </w:p>
    <w:p w14:paraId="59A87A6F"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 xml:space="preserve">The CRP must maintain a record of all background checks conducted, and upon request, a copy shall be sent to the LRS. If background check records are not available to review at the time of request, the CRP must recreate the search. </w:t>
      </w:r>
    </w:p>
    <w:p w14:paraId="2F6DEC5C"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An individual with a criminal conviction, including but not limited to the following offenses (including convictions for equivalent offenses in other states or jurisdictions) may not perform vocational rehabilitation services:</w:t>
      </w:r>
    </w:p>
    <w:p w14:paraId="27115ED0" w14:textId="77777777" w:rsidR="00FC5566" w:rsidRPr="00FC5566" w:rsidRDefault="00FC5566" w:rsidP="00FC5566">
      <w:pPr>
        <w:tabs>
          <w:tab w:val="left" w:pos="907"/>
        </w:tabs>
        <w:ind w:firstLine="547"/>
        <w:jc w:val="both"/>
        <w:outlineLvl w:val="5"/>
        <w:rPr>
          <w:kern w:val="2"/>
        </w:rPr>
      </w:pPr>
      <w:r w:rsidRPr="00FC5566">
        <w:rPr>
          <w:kern w:val="2"/>
        </w:rPr>
        <w:t>a.</w:t>
      </w:r>
      <w:r w:rsidRPr="00FC5566">
        <w:rPr>
          <w:kern w:val="2"/>
        </w:rPr>
        <w:tab/>
        <w:t>The physical, sexual, or emotional abuse or neglect of a child or vulnerable person;</w:t>
      </w:r>
    </w:p>
    <w:p w14:paraId="606F1FC9" w14:textId="77777777" w:rsidR="00FC5566" w:rsidRPr="00FC5566" w:rsidRDefault="00FC5566" w:rsidP="00FC5566">
      <w:pPr>
        <w:tabs>
          <w:tab w:val="left" w:pos="907"/>
        </w:tabs>
        <w:ind w:firstLine="547"/>
        <w:jc w:val="both"/>
        <w:outlineLvl w:val="5"/>
        <w:rPr>
          <w:kern w:val="2"/>
        </w:rPr>
      </w:pPr>
      <w:r w:rsidRPr="00FC5566">
        <w:rPr>
          <w:kern w:val="2"/>
        </w:rPr>
        <w:t>b.</w:t>
      </w:r>
      <w:r w:rsidRPr="00FC5566">
        <w:rPr>
          <w:kern w:val="2"/>
        </w:rPr>
        <w:tab/>
        <w:t>A crime of violence against a child or any person;</w:t>
      </w:r>
    </w:p>
    <w:p w14:paraId="22235423" w14:textId="77777777" w:rsidR="00FC5566" w:rsidRPr="00FC5566" w:rsidRDefault="00FC5566" w:rsidP="00FC5566">
      <w:pPr>
        <w:tabs>
          <w:tab w:val="left" w:pos="907"/>
        </w:tabs>
        <w:ind w:firstLine="547"/>
        <w:jc w:val="both"/>
        <w:outlineLvl w:val="5"/>
        <w:rPr>
          <w:kern w:val="2"/>
        </w:rPr>
      </w:pPr>
      <w:r w:rsidRPr="00FC5566">
        <w:rPr>
          <w:kern w:val="2"/>
        </w:rPr>
        <w:t>c.</w:t>
      </w:r>
      <w:r w:rsidRPr="00FC5566">
        <w:rPr>
          <w:kern w:val="2"/>
        </w:rPr>
        <w:tab/>
        <w:t>Any offense that presents a threat to the health, safety, or welfare of children or vulnerable persons; or</w:t>
      </w:r>
    </w:p>
    <w:p w14:paraId="405F8EB1" w14:textId="77777777" w:rsidR="00FC5566" w:rsidRPr="00FC5566" w:rsidRDefault="00FC5566" w:rsidP="00FC5566">
      <w:pPr>
        <w:tabs>
          <w:tab w:val="left" w:pos="907"/>
        </w:tabs>
        <w:ind w:firstLine="547"/>
        <w:jc w:val="both"/>
        <w:outlineLvl w:val="5"/>
        <w:rPr>
          <w:kern w:val="2"/>
        </w:rPr>
      </w:pPr>
      <w:r w:rsidRPr="00FC5566">
        <w:rPr>
          <w:kern w:val="2"/>
        </w:rPr>
        <w:t>d.</w:t>
      </w:r>
      <w:r w:rsidRPr="00FC5566">
        <w:rPr>
          <w:kern w:val="2"/>
        </w:rPr>
        <w:tab/>
        <w:t>A felony conviction involving a crime of dishonesty or fraud.</w:t>
      </w:r>
    </w:p>
    <w:p w14:paraId="2CF1FD2F"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49:664.4 and R.S. 36:477.</w:t>
      </w:r>
    </w:p>
    <w:p w14:paraId="5A8AC898"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Rehabilitation Services, LR 24:1955 (October 1998), amended by Louisiana Works, Rehabilitation Services, LR 52:1374 (August 2026).</w:t>
      </w:r>
    </w:p>
    <w:p w14:paraId="193E44DD"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§211.</w:t>
      </w:r>
      <w:r w:rsidRPr="00FC5566">
        <w:rPr>
          <w:b/>
          <w:kern w:val="2"/>
        </w:rPr>
        <w:tab/>
        <w:t>Physical Plan and Accessibility</w:t>
      </w:r>
    </w:p>
    <w:p w14:paraId="04E49D5E"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The CRP must comply with accessibility requirements as established in Section 504 of the Rehabilitation Act of 1973, as amended, and by the Uniform Federal Accessibility Standards and the Americans with Disabilities Act, as amended.</w:t>
      </w:r>
    </w:p>
    <w:p w14:paraId="5175D2C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49:664.4 and R.S. 36:477.</w:t>
      </w:r>
    </w:p>
    <w:p w14:paraId="3023D58A"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Rehabilitation Services, LR 24:1955 (October 1998), amended by Louisiana Works, Rehabilitation Services, LR 52:1374 (August 2026).</w:t>
      </w:r>
    </w:p>
    <w:p w14:paraId="69C3E047"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§213.</w:t>
      </w:r>
      <w:r w:rsidRPr="00FC5566">
        <w:rPr>
          <w:b/>
          <w:kern w:val="2"/>
        </w:rPr>
        <w:tab/>
        <w:t>Confidentiality and Case Records</w:t>
      </w:r>
    </w:p>
    <w:p w14:paraId="1A7FF922"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A.1.</w:t>
      </w:r>
      <w:r w:rsidRPr="00FC5566">
        <w:rPr>
          <w:kern w:val="2"/>
        </w:rPr>
        <w:tab/>
        <w:t>…</w:t>
      </w:r>
    </w:p>
    <w:p w14:paraId="3A855210"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A CRP shall have written procedures for the maintenance and security of records specifying who shall supervise the maintenance of records, who shall have custody of records and to whom records may be released. Records shall be the property of the CRP and the CRP, as custodian, shall secure records against loss, tampering or unauthorized use.</w:t>
      </w:r>
    </w:p>
    <w:p w14:paraId="27A9F8F2"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 - J.2.</w:t>
      </w:r>
      <w:r w:rsidRPr="00FC5566">
        <w:rPr>
          <w:kern w:val="2"/>
        </w:rPr>
        <w:tab/>
        <w:t>…</w:t>
      </w:r>
    </w:p>
    <w:p w14:paraId="3EC01A2E"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7"/>
          <w:szCs w:val="17"/>
        </w:rPr>
      </w:pPr>
      <w:r w:rsidRPr="00FC5566">
        <w:rPr>
          <w:kern w:val="2"/>
          <w:sz w:val="17"/>
          <w:szCs w:val="17"/>
        </w:rPr>
        <w:t>AUTHORITY NOTE:</w:t>
      </w:r>
      <w:r w:rsidRPr="00FC5566">
        <w:rPr>
          <w:kern w:val="2"/>
          <w:sz w:val="17"/>
          <w:szCs w:val="17"/>
        </w:rPr>
        <w:tab/>
        <w:t>Promulgated in accordance with R.S. 49:664.4 and R.S. 36:477.</w:t>
      </w:r>
    </w:p>
    <w:p w14:paraId="6AB92E60"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7"/>
          <w:szCs w:val="17"/>
        </w:rPr>
      </w:pPr>
      <w:r w:rsidRPr="00FC5566">
        <w:rPr>
          <w:kern w:val="2"/>
          <w:sz w:val="17"/>
          <w:szCs w:val="17"/>
        </w:rPr>
        <w:t>HISTORICAL NOTE:</w:t>
      </w:r>
      <w:r w:rsidRPr="00FC5566">
        <w:rPr>
          <w:kern w:val="2"/>
          <w:sz w:val="17"/>
          <w:szCs w:val="17"/>
        </w:rPr>
        <w:tab/>
        <w:t>Promulgated by the Department of Social Services, Office of Rehabilitation Services, LR 24:1955 (October 1998), amended by the Workforce Commission, Rehabilitation Services, LR 48:307 (February 2022), amended by Louisiana Works, Rehabilitation Services, LR 52:1374 (August 2026).</w:t>
      </w:r>
    </w:p>
    <w:p w14:paraId="5D3506A5"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§219.</w:t>
      </w:r>
      <w:r w:rsidRPr="00FC5566">
        <w:rPr>
          <w:b/>
          <w:kern w:val="2"/>
        </w:rPr>
        <w:tab/>
        <w:t>Vocational Modules</w:t>
      </w:r>
    </w:p>
    <w:p w14:paraId="564CC5C0"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B.</w:t>
      </w:r>
      <w:r w:rsidRPr="00FC5566">
        <w:rPr>
          <w:kern w:val="2"/>
        </w:rPr>
        <w:tab/>
        <w:t>…</w:t>
      </w:r>
    </w:p>
    <w:p w14:paraId="5A4B4079"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bCs/>
          <w:kern w:val="2"/>
        </w:rPr>
        <w:t>C.</w:t>
      </w:r>
      <w:r w:rsidRPr="00FC5566">
        <w:rPr>
          <w:bCs/>
          <w:kern w:val="2"/>
        </w:rPr>
        <w:tab/>
      </w:r>
      <w:r w:rsidRPr="00FC5566">
        <w:rPr>
          <w:kern w:val="2"/>
        </w:rPr>
        <w:t xml:space="preserve">Employment Preparation </w:t>
      </w:r>
    </w:p>
    <w:p w14:paraId="13F5471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C.1. - E.1.</w:t>
      </w:r>
      <w:r w:rsidRPr="00FC5566">
        <w:rPr>
          <w:kern w:val="2"/>
        </w:rPr>
        <w:tab/>
        <w:t>…</w:t>
      </w:r>
    </w:p>
    <w:p w14:paraId="43B5DF41"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szCs w:val="18"/>
        </w:rPr>
      </w:pPr>
      <w:r w:rsidRPr="00FC5566">
        <w:rPr>
          <w:kern w:val="2"/>
          <w:sz w:val="18"/>
          <w:szCs w:val="18"/>
        </w:rPr>
        <w:t>AUTHORITY NOTE:</w:t>
      </w:r>
      <w:r w:rsidRPr="00FC5566">
        <w:rPr>
          <w:kern w:val="2"/>
          <w:sz w:val="18"/>
          <w:szCs w:val="18"/>
        </w:rPr>
        <w:tab/>
        <w:t>Promulgated in accordance with R.S. 49:664.4 and R.S. 36:477.</w:t>
      </w:r>
    </w:p>
    <w:p w14:paraId="33429189"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szCs w:val="18"/>
        </w:rPr>
      </w:pPr>
      <w:r w:rsidRPr="00FC5566">
        <w:rPr>
          <w:kern w:val="2"/>
          <w:sz w:val="18"/>
          <w:szCs w:val="18"/>
        </w:rPr>
        <w:lastRenderedPageBreak/>
        <w:t>HISTORICAL NOTE:</w:t>
      </w:r>
      <w:r w:rsidRPr="00FC5566">
        <w:rPr>
          <w:kern w:val="2"/>
          <w:sz w:val="18"/>
          <w:szCs w:val="18"/>
        </w:rPr>
        <w:tab/>
        <w:t>Promulgated by the Department of Social Services, Office of Rehabilitation Services, LR 24:1957 (October 1998), amended by Louisiana Workforce Commission, Office of Rehabilitation Services, LR 38:148 (January 2012), LR 48:308 (February 2022), amended by Louisiana Works, Rehabilitation Services, LR 52:1374 (August 2026).</w:t>
      </w:r>
    </w:p>
    <w:p w14:paraId="1BD61534"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bCs/>
          <w:kern w:val="2"/>
        </w:rPr>
        <w:t>§221.</w:t>
      </w:r>
      <w:r w:rsidRPr="00FC5566">
        <w:rPr>
          <w:b/>
          <w:bCs/>
          <w:kern w:val="2"/>
        </w:rPr>
        <w:tab/>
      </w:r>
      <w:r w:rsidRPr="00FC5566">
        <w:rPr>
          <w:b/>
          <w:kern w:val="2"/>
        </w:rPr>
        <w:t>Monitoring and Quality Assurance</w:t>
      </w:r>
    </w:p>
    <w:p w14:paraId="7EF83CF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The CRP will be subject to monitoring by appropriate program staff to validate compliance with CRP Standards. Monitoring may be conducted at any point in the vendorship period.</w:t>
      </w:r>
    </w:p>
    <w:p w14:paraId="144797B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The CRP will be subject to periodic monitoring to assure continued compliance with these standards, which may include on-site reviews as deemed necessary by LRS with or without notice to the CRP.</w:t>
      </w:r>
    </w:p>
    <w:p w14:paraId="1994F691"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49:664.4 and R.S. 36:477.</w:t>
      </w:r>
    </w:p>
    <w:p w14:paraId="02C3E867"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Louisiana Workforce Commission, Office of Rehabilitation Services, LR 38:148 (January 2012), amended by Louisiana Works, Rehabilitation Services, LR 52:1375 (August 2026).</w:t>
      </w:r>
    </w:p>
    <w:p w14:paraId="30B77516"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§223.</w:t>
      </w:r>
      <w:r w:rsidRPr="00FC5566">
        <w:rPr>
          <w:b/>
          <w:kern w:val="2"/>
        </w:rPr>
        <w:tab/>
        <w:t>Denial or Revocation of Vendorship</w:t>
      </w:r>
    </w:p>
    <w:p w14:paraId="09139348"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Initial approval or renewal of vendorship can be denied, or vendorship revoked for the following reasons, but is not limited to:</w:t>
      </w:r>
    </w:p>
    <w:p w14:paraId="4F05E3CF"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w:t>
      </w:r>
    </w:p>
    <w:p w14:paraId="30014DF3"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failure to provide documents requested or required by LRS;</w:t>
      </w:r>
    </w:p>
    <w:p w14:paraId="3D181D4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A.3. - B.3.</w:t>
      </w:r>
      <w:r w:rsidRPr="00FC5566">
        <w:rPr>
          <w:kern w:val="2"/>
        </w:rPr>
        <w:tab/>
        <w:t>…</w:t>
      </w:r>
    </w:p>
    <w:p w14:paraId="6127D088"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49:664.4 and R.S. 36:477.</w:t>
      </w:r>
    </w:p>
    <w:p w14:paraId="4F77E3E5"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Louisiana Workforce Commission, Office of Rehabilitation Services, LR 38:148 (January 2012), amended LR 48:307 (February 2022), amended by Louisiana Works, Rehabilitation Services, LR 52:1375 (August 2026).</w:t>
      </w:r>
    </w:p>
    <w:p w14:paraId="456EB703"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Chapter 5.</w:t>
      </w:r>
      <w:bookmarkStart w:id="368" w:name="TOCT_Chap275"/>
      <w:bookmarkEnd w:id="363"/>
      <w:r w:rsidRPr="00FC5566">
        <w:rPr>
          <w:b/>
          <w:kern w:val="2"/>
        </w:rPr>
        <w:tab/>
      </w:r>
      <w:bookmarkStart w:id="369" w:name="TOCT_Chap180"/>
      <w:bookmarkStart w:id="370" w:name="TOCT_Chap189"/>
      <w:r w:rsidRPr="00FC5566">
        <w:rPr>
          <w:b/>
          <w:kern w:val="2"/>
        </w:rPr>
        <w:t>Business Enterprises Program Manual</w:t>
      </w:r>
      <w:bookmarkEnd w:id="364"/>
      <w:bookmarkEnd w:id="365"/>
      <w:bookmarkEnd w:id="366"/>
      <w:bookmarkEnd w:id="367"/>
      <w:bookmarkEnd w:id="368"/>
      <w:bookmarkEnd w:id="369"/>
      <w:bookmarkEnd w:id="370"/>
    </w:p>
    <w:p w14:paraId="436FBA5E"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371" w:name="_Toc215471660"/>
      <w:bookmarkStart w:id="372" w:name="_Toc248893836"/>
      <w:bookmarkStart w:id="373" w:name="_Toc257205959"/>
      <w:bookmarkStart w:id="374" w:name="_Toc40957944"/>
      <w:r w:rsidRPr="00FC5566">
        <w:rPr>
          <w:b/>
          <w:kern w:val="2"/>
        </w:rPr>
        <w:t>§501.</w:t>
      </w:r>
      <w:r w:rsidRPr="00FC5566">
        <w:rPr>
          <w:b/>
          <w:kern w:val="2"/>
        </w:rPr>
        <w:tab/>
      </w:r>
      <w:bookmarkEnd w:id="371"/>
      <w:bookmarkEnd w:id="372"/>
      <w:bookmarkEnd w:id="373"/>
      <w:bookmarkEnd w:id="374"/>
      <w:r w:rsidRPr="00FC5566">
        <w:rPr>
          <w:b/>
          <w:kern w:val="2"/>
        </w:rPr>
        <w:t>Purpose</w:t>
      </w:r>
    </w:p>
    <w:p w14:paraId="304D7E8B"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A.</w:t>
      </w:r>
      <w:r w:rsidRPr="00FC5566">
        <w:rPr>
          <w:rFonts w:eastAsia="Calibri"/>
          <w:kern w:val="2"/>
        </w:rPr>
        <w:tab/>
        <w:t>The purpose of the Business Enterprises Program Manual is to provide uniform rules and regulations for the administration of Business Enterprises Programs operated by the state licensing agency (SLA).</w:t>
      </w:r>
    </w:p>
    <w:p w14:paraId="27FC5E88"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w:t>
      </w:r>
    </w:p>
    <w:p w14:paraId="17C35E8D"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rFonts w:eastAsia="Calibri"/>
          <w:kern w:val="2"/>
          <w:sz w:val="18"/>
        </w:rPr>
      </w:pPr>
      <w:bookmarkStart w:id="375" w:name="TOC_Chap197"/>
      <w:bookmarkStart w:id="376" w:name="_Toc215471703"/>
      <w:bookmarkStart w:id="377" w:name="_Toc248893879"/>
      <w:bookmarkStart w:id="378" w:name="_Toc257206002"/>
      <w:bookmarkStart w:id="379" w:name="_Toc40957971"/>
      <w:r w:rsidRPr="00FC5566">
        <w:rPr>
          <w:rFonts w:eastAsia="Calibri"/>
          <w:kern w:val="2"/>
          <w:sz w:val="18"/>
        </w:rPr>
        <w:t>AUTHORITY NOTE:</w:t>
      </w:r>
      <w:r w:rsidRPr="00FC5566">
        <w:rPr>
          <w:rFonts w:eastAsia="Calibri"/>
          <w:kern w:val="2"/>
          <w:sz w:val="18"/>
        </w:rPr>
        <w:tab/>
        <w:t>Promulgated in accordance with R.S. 49:664.4 and R.S. 36:477.</w:t>
      </w:r>
    </w:p>
    <w:p w14:paraId="3D0F0437"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rFonts w:eastAsia="Calibri"/>
          <w:kern w:val="2"/>
          <w:sz w:val="18"/>
        </w:rPr>
        <w:t>HISTORICAL NOTE:</w:t>
      </w:r>
      <w:r w:rsidRPr="00FC5566">
        <w:rPr>
          <w:rFonts w:eastAsia="Calibri"/>
          <w:kern w:val="2"/>
          <w:sz w:val="18"/>
        </w:rPr>
        <w:tab/>
        <w:t>Promulgated by the Department of Social Services, Office of Rehabilitation Services, LR 25:527 (March 1999)</w:t>
      </w:r>
      <w:r w:rsidRPr="00FC5566">
        <w:rPr>
          <w:kern w:val="2"/>
          <w:sz w:val="18"/>
        </w:rPr>
        <w:t>, amended by Louisiana Works, Rehabilitation Services, LR 52:1375 (August 2026).</w:t>
      </w:r>
    </w:p>
    <w:p w14:paraId="04218647"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§503.</w:t>
      </w:r>
      <w:r w:rsidRPr="00FC5566">
        <w:rPr>
          <w:b/>
          <w:kern w:val="2"/>
        </w:rPr>
        <w:tab/>
        <w:t>Mission of the Business Enterprise Program</w:t>
      </w:r>
    </w:p>
    <w:p w14:paraId="15291289"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A.</w:t>
      </w:r>
      <w:r w:rsidRPr="00FC5566">
        <w:rPr>
          <w:rFonts w:eastAsia="Calibri"/>
          <w:kern w:val="2"/>
        </w:rPr>
        <w:tab/>
        <w:t>Mission. The mission of the Business Enterprise Program (BEP) is to provide blind persons with remunerative employment, enlarging the economic opportunities of the blind, and stimulating the blind to greater efforts in striving to make themselves self-supporting.</w:t>
      </w:r>
    </w:p>
    <w:p w14:paraId="63B8C2D9"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B.</w:t>
      </w:r>
      <w:r w:rsidRPr="00FC5566">
        <w:rPr>
          <w:rFonts w:eastAsia="Calibri"/>
          <w:kern w:val="2"/>
        </w:rPr>
        <w:tab/>
        <w:t>Goals. The goals for the (BEP) are to:</w:t>
      </w:r>
    </w:p>
    <w:p w14:paraId="4217D7B2"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1.</w:t>
      </w:r>
      <w:r w:rsidRPr="00FC5566">
        <w:rPr>
          <w:rFonts w:eastAsia="Calibri"/>
          <w:kern w:val="2"/>
        </w:rPr>
        <w:tab/>
        <w:t>provide employment opportunities for qualified persons who are blind by establishing and maintaining BEP facilities operated by persons who are blind; and</w:t>
      </w:r>
    </w:p>
    <w:p w14:paraId="27BAB1D7"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2.</w:t>
      </w:r>
      <w:r w:rsidRPr="00FC5566">
        <w:rPr>
          <w:rFonts w:eastAsia="Calibri"/>
          <w:kern w:val="2"/>
        </w:rPr>
        <w:tab/>
        <w:t>administer a continuing process of career development and upward mobility for persons who are blind in the BEP.</w:t>
      </w:r>
    </w:p>
    <w:p w14:paraId="40454758"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C.</w:t>
      </w:r>
      <w:r w:rsidRPr="00FC5566">
        <w:rPr>
          <w:rFonts w:eastAsia="Calibri"/>
          <w:kern w:val="2"/>
        </w:rPr>
        <w:tab/>
        <w:t>Objectives. The objectives of the BEP are to:</w:t>
      </w:r>
    </w:p>
    <w:p w14:paraId="3CCEC453"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1.</w:t>
      </w:r>
      <w:r w:rsidRPr="00FC5566">
        <w:rPr>
          <w:rFonts w:eastAsia="Calibri"/>
          <w:kern w:val="2"/>
        </w:rPr>
        <w:tab/>
        <w:t>establish and equip BEP facilities;</w:t>
      </w:r>
    </w:p>
    <w:p w14:paraId="634E7752"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2.</w:t>
      </w:r>
      <w:r w:rsidRPr="00FC5566">
        <w:rPr>
          <w:rFonts w:eastAsia="Calibri"/>
          <w:kern w:val="2"/>
        </w:rPr>
        <w:tab/>
        <w:t>assure availability of BEP licensed managers;</w:t>
      </w:r>
    </w:p>
    <w:p w14:paraId="54447674"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3.</w:t>
      </w:r>
      <w:r w:rsidRPr="00FC5566">
        <w:rPr>
          <w:rFonts w:eastAsia="Calibri"/>
          <w:kern w:val="2"/>
        </w:rPr>
        <w:tab/>
        <w:t>provide management support services to BEP licensed managers;</w:t>
      </w:r>
    </w:p>
    <w:p w14:paraId="61812F08"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4.</w:t>
      </w:r>
      <w:r w:rsidRPr="00FC5566">
        <w:rPr>
          <w:rFonts w:eastAsia="Calibri"/>
          <w:kern w:val="2"/>
        </w:rPr>
        <w:tab/>
        <w:t>develop and maintain standards of conduct and a system of accountability for SLA staff;</w:t>
      </w:r>
    </w:p>
    <w:p w14:paraId="33F63F84"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5.</w:t>
      </w:r>
      <w:r w:rsidRPr="00FC5566">
        <w:rPr>
          <w:rFonts w:eastAsia="Calibri"/>
          <w:kern w:val="2"/>
        </w:rPr>
        <w:tab/>
        <w:t>develop and maintain standards of conduct and a system of accountability for BEP licensed managers;</w:t>
      </w:r>
    </w:p>
    <w:p w14:paraId="08EF7D3A"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6.</w:t>
      </w:r>
      <w:r w:rsidRPr="00FC5566">
        <w:rPr>
          <w:rFonts w:eastAsia="Calibri"/>
          <w:kern w:val="2"/>
        </w:rPr>
        <w:tab/>
        <w:t>establish and maintain procedures for quality customer service; and</w:t>
      </w:r>
    </w:p>
    <w:p w14:paraId="66A3DE7A"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7.</w:t>
      </w:r>
      <w:r w:rsidRPr="00FC5566">
        <w:rPr>
          <w:rFonts w:eastAsia="Calibri"/>
          <w:kern w:val="2"/>
        </w:rPr>
        <w:tab/>
        <w:t>attain the program's financial stability through its administration in an operationally efficient and cost-effective manner.</w:t>
      </w:r>
    </w:p>
    <w:p w14:paraId="379AE84E"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rFonts w:eastAsia="Calibri"/>
          <w:kern w:val="2"/>
          <w:sz w:val="18"/>
        </w:rPr>
      </w:pPr>
      <w:r w:rsidRPr="00FC5566">
        <w:rPr>
          <w:rFonts w:eastAsia="Calibri"/>
          <w:kern w:val="2"/>
          <w:sz w:val="18"/>
        </w:rPr>
        <w:t>AUTHORITY NOTE:</w:t>
      </w:r>
      <w:r w:rsidRPr="00FC5566">
        <w:rPr>
          <w:rFonts w:eastAsia="Calibri"/>
          <w:kern w:val="2"/>
          <w:sz w:val="18"/>
        </w:rPr>
        <w:tab/>
        <w:t>Promulgated in accordance with R.S. 49:664.4 and R.S. 36:477.</w:t>
      </w:r>
    </w:p>
    <w:p w14:paraId="4CCEC71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rFonts w:eastAsia="Calibri"/>
          <w:kern w:val="2"/>
          <w:sz w:val="18"/>
        </w:rPr>
      </w:pPr>
      <w:r w:rsidRPr="00FC5566">
        <w:rPr>
          <w:rFonts w:eastAsia="Calibri"/>
          <w:kern w:val="2"/>
          <w:sz w:val="18"/>
        </w:rPr>
        <w:t>HISTORICAL NOTE:</w:t>
      </w:r>
      <w:r w:rsidRPr="00FC5566">
        <w:rPr>
          <w:rFonts w:eastAsia="Calibri"/>
          <w:kern w:val="2"/>
          <w:sz w:val="18"/>
        </w:rPr>
        <w:tab/>
        <w:t>Promulgated by the Department of Social Services, Office of Rehabilitation Services, LR 25:527 (March 1999)</w:t>
      </w:r>
      <w:r w:rsidRPr="00FC5566">
        <w:rPr>
          <w:kern w:val="2"/>
          <w:sz w:val="18"/>
        </w:rPr>
        <w:t>, amended by Louisiana Works, Rehabilitation Services, LR 52:1375 (August 2026).</w:t>
      </w:r>
    </w:p>
    <w:p w14:paraId="33B86D29"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§505.</w:t>
      </w:r>
      <w:r w:rsidRPr="00FC5566">
        <w:rPr>
          <w:b/>
          <w:kern w:val="2"/>
        </w:rPr>
        <w:tab/>
        <w:t>Federal Legal Authority</w:t>
      </w:r>
    </w:p>
    <w:p w14:paraId="45409363"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A.</w:t>
      </w:r>
      <w:r w:rsidRPr="00FC5566">
        <w:rPr>
          <w:rFonts w:eastAsia="Calibri"/>
          <w:kern w:val="2"/>
        </w:rPr>
        <w:tab/>
        <w:t>The Rehabilitation Act of 1973, as amended. In accordance with federal law under Title I of the Rehabilitation Act of 1973 (Public Law 93-112) as amended, (Public Law 105-220) and the Rehabilitation Act amendments of 2014 (Public Law 114-95 enacted in 2015), rehabilitation services are offered to individuals who are blind through services to individuals and services to groups through Louisiana Rehabilitation Services.</w:t>
      </w:r>
    </w:p>
    <w:p w14:paraId="59632078"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B.</w:t>
      </w:r>
      <w:r w:rsidRPr="00FC5566">
        <w:rPr>
          <w:rFonts w:eastAsia="Calibri"/>
          <w:kern w:val="2"/>
        </w:rPr>
        <w:tab/>
        <w:t>Code of Federal Regulations―State Vocational Rehabilitation Program—Volume 34, Part 361.49(a)(5).</w:t>
      </w:r>
    </w:p>
    <w:p w14:paraId="4AE17DD3"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C.</w:t>
      </w:r>
      <w:r w:rsidRPr="00FC5566">
        <w:rPr>
          <w:rFonts w:eastAsia="Calibri"/>
          <w:kern w:val="2"/>
        </w:rPr>
        <w:tab/>
        <w:t>The Randolph-Sheppard Act of 1936, as amended (20 U.S.C. Section 107 et seq.), authorizes designated SLAs to establish and administer a program for the operation of vending facilities in their respective states. The law locates the (SLA) for the program in the individual state or territory agency which offers vocational rehabilitation services for individuals who are blind under the Rehabilitation Act of 1973, as amended.</w:t>
      </w:r>
    </w:p>
    <w:p w14:paraId="47A4E683"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D.</w:t>
      </w:r>
      <w:r w:rsidRPr="00FC5566">
        <w:rPr>
          <w:rFonts w:eastAsia="Calibri"/>
          <w:kern w:val="2"/>
        </w:rPr>
        <w:tab/>
        <w:t>Code of Federal Regulations―Randolph-Sheppard Program―Volume 34, Part 395.</w:t>
      </w:r>
    </w:p>
    <w:p w14:paraId="1C2C07C8"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rFonts w:eastAsia="Calibri"/>
          <w:kern w:val="2"/>
          <w:sz w:val="18"/>
        </w:rPr>
      </w:pPr>
      <w:r w:rsidRPr="00FC5566">
        <w:rPr>
          <w:rFonts w:eastAsia="Calibri"/>
          <w:kern w:val="2"/>
          <w:sz w:val="18"/>
        </w:rPr>
        <w:t>AUTHORITY NOTE:</w:t>
      </w:r>
      <w:r w:rsidRPr="00FC5566">
        <w:rPr>
          <w:rFonts w:eastAsia="Calibri"/>
          <w:kern w:val="2"/>
          <w:sz w:val="18"/>
        </w:rPr>
        <w:tab/>
        <w:t>Promulgated in accordance with R.S. 23:3022.</w:t>
      </w:r>
    </w:p>
    <w:p w14:paraId="6033557A"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rFonts w:eastAsia="Calibri"/>
          <w:kern w:val="2"/>
          <w:sz w:val="18"/>
        </w:rPr>
        <w:t>HISTORICAL NOTE:</w:t>
      </w:r>
      <w:r w:rsidRPr="00FC5566">
        <w:rPr>
          <w:rFonts w:eastAsia="Calibri"/>
          <w:kern w:val="2"/>
          <w:sz w:val="18"/>
        </w:rPr>
        <w:tab/>
        <w:t>Promulgated by the Department of Social Services, Office of Rehabilitation Services, LR 25:527 (March 1999), amended by the Workforce Commission, Rehabilitation Services, LR 41:2177 (October 2015)</w:t>
      </w:r>
      <w:r w:rsidRPr="00FC5566">
        <w:rPr>
          <w:kern w:val="2"/>
          <w:sz w:val="18"/>
        </w:rPr>
        <w:t>, amended by Louisiana Works, Rehabilitation Services, LR 52:1375 (August 2026).</w:t>
      </w:r>
    </w:p>
    <w:p w14:paraId="2C6310A6"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§507.</w:t>
      </w:r>
      <w:r w:rsidRPr="00FC5566">
        <w:rPr>
          <w:b/>
          <w:kern w:val="2"/>
        </w:rPr>
        <w:tab/>
        <w:t>State Legal Authority</w:t>
      </w:r>
    </w:p>
    <w:p w14:paraId="6F827649"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A.</w:t>
      </w:r>
      <w:r w:rsidRPr="00FC5566">
        <w:rPr>
          <w:rFonts w:eastAsia="Calibri"/>
          <w:kern w:val="2"/>
        </w:rPr>
        <w:tab/>
        <w:t>Louisiana Revised Statutes―R.S. 36:251 (Legislative Act that created the Department of Health and Hospitals), R.S. 36:471 (Legislative Act that created the Department of Social Services now known as the Department of Children and Family Services), R.S. 36:301 (Legislative Act that created the Louisiana Workforce Commission now known as Louisiana Works).</w:t>
      </w:r>
    </w:p>
    <w:p w14:paraId="7B00C162"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B.</w:t>
      </w:r>
      <w:r w:rsidRPr="00FC5566">
        <w:rPr>
          <w:rFonts w:eastAsia="Calibri"/>
          <w:kern w:val="2"/>
        </w:rPr>
        <w:tab/>
        <w:t>Louisiana Act 19 of 1988, effected the merger of the Division of Rehabilitation Services with the Division of Blind Services to form Louisiana Rehabilitation Services. Louisiana Act 939 of 2010 transferred the agency from the Department of Social Services to the Louisiana Workforce Commission now known as Louisiana Works.</w:t>
      </w:r>
    </w:p>
    <w:p w14:paraId="6707B7F9"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C.</w:t>
      </w:r>
      <w:r w:rsidRPr="00FC5566">
        <w:rPr>
          <w:rFonts w:eastAsia="Calibri"/>
          <w:kern w:val="2"/>
        </w:rPr>
        <w:tab/>
        <w:t xml:space="preserve">R.S. 23:3023 gives priority to the blind in operation of vending facilities, vending machines, cafeterias, and other small business concessions to be operated in the portions, or portions thereof, of properties that those state agencies, </w:t>
      </w:r>
      <w:r w:rsidRPr="00FC5566">
        <w:rPr>
          <w:rFonts w:eastAsia="Calibri"/>
          <w:kern w:val="2"/>
        </w:rPr>
        <w:lastRenderedPageBreak/>
        <w:t xml:space="preserve">boards, commissions, and institutions own, maintain, occupy, or control. No other vending facilities , vending machines, </w:t>
      </w:r>
    </w:p>
    <w:p w14:paraId="2E29B089" w14:textId="77777777" w:rsidR="00FC5566" w:rsidRPr="00FC5566" w:rsidRDefault="00FC5566" w:rsidP="00FC5566">
      <w:pPr>
        <w:tabs>
          <w:tab w:val="left" w:pos="144"/>
          <w:tab w:val="left" w:pos="187"/>
          <w:tab w:val="left" w:pos="540"/>
          <w:tab w:val="left" w:pos="907"/>
          <w:tab w:val="left" w:pos="1080"/>
        </w:tabs>
        <w:jc w:val="both"/>
        <w:outlineLvl w:val="3"/>
        <w:rPr>
          <w:rFonts w:eastAsia="Calibri"/>
          <w:kern w:val="2"/>
        </w:rPr>
      </w:pPr>
      <w:r w:rsidRPr="00FC5566">
        <w:rPr>
          <w:rFonts w:eastAsia="Calibri"/>
          <w:kern w:val="2"/>
        </w:rPr>
        <w:t>cafeterias, or small business concessions shall be operated on the same premises with vending facilities, vending machines, cafeterias, or other small business concessions operated, or contemplated, under the BEP, except as provided by R.S. 23:3023.</w:t>
      </w:r>
    </w:p>
    <w:p w14:paraId="106652E3"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D.</w:t>
      </w:r>
      <w:r w:rsidRPr="00FC5566">
        <w:rPr>
          <w:rFonts w:eastAsia="Calibri"/>
          <w:kern w:val="2"/>
        </w:rPr>
        <w:tab/>
        <w:t>R.S. 23:3041-3045 and LAC 67:VII, Chapter 21 provide for the establishment of the Blind Vendors Trust Fund.</w:t>
      </w:r>
    </w:p>
    <w:p w14:paraId="40867D25"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E.</w:t>
      </w:r>
      <w:r w:rsidRPr="00FC5566">
        <w:rPr>
          <w:rFonts w:eastAsia="Calibri"/>
          <w:kern w:val="2"/>
        </w:rPr>
        <w:tab/>
        <w:t>R.S. 49:950 (et seq.) is the Administrative Procedure Act for the authority to promulgate rules.</w:t>
      </w:r>
    </w:p>
    <w:p w14:paraId="027BD481"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rFonts w:eastAsia="Calibri"/>
          <w:kern w:val="2"/>
          <w:sz w:val="18"/>
        </w:rPr>
      </w:pPr>
      <w:r w:rsidRPr="00FC5566">
        <w:rPr>
          <w:rFonts w:eastAsia="Calibri"/>
          <w:kern w:val="2"/>
          <w:sz w:val="18"/>
        </w:rPr>
        <w:t>AUTHORITY NOTE:</w:t>
      </w:r>
      <w:r w:rsidRPr="00FC5566">
        <w:rPr>
          <w:rFonts w:eastAsia="Calibri"/>
          <w:kern w:val="2"/>
          <w:sz w:val="18"/>
        </w:rPr>
        <w:tab/>
        <w:t>Promulgated in accordance with R.S. 23:3022.</w:t>
      </w:r>
    </w:p>
    <w:p w14:paraId="63940718"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rFonts w:eastAsia="Calibri"/>
          <w:kern w:val="2"/>
          <w:sz w:val="18"/>
        </w:rPr>
        <w:t>HISTORICAL NOTE:</w:t>
      </w:r>
      <w:r w:rsidRPr="00FC5566">
        <w:rPr>
          <w:rFonts w:eastAsia="Calibri"/>
          <w:kern w:val="2"/>
          <w:sz w:val="18"/>
        </w:rPr>
        <w:tab/>
        <w:t>Promulgated by the Department of Social Services, Office of Rehabilitation Services, LR 25:528 (March 1999), amended by the Workforce Commission, Rehabilitation Services, LR 41:2178 (October 2015)</w:t>
      </w:r>
      <w:r w:rsidRPr="00FC5566">
        <w:rPr>
          <w:kern w:val="2"/>
          <w:sz w:val="18"/>
        </w:rPr>
        <w:t>, amended by Louisiana Works, Rehabilitation Services, LR 52:1375 (August 2026).</w:t>
      </w:r>
    </w:p>
    <w:p w14:paraId="40E10055"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§509.</w:t>
      </w:r>
      <w:r w:rsidRPr="00FC5566">
        <w:rPr>
          <w:b/>
          <w:kern w:val="2"/>
        </w:rPr>
        <w:tab/>
        <w:t>Definitions</w:t>
      </w:r>
    </w:p>
    <w:p w14:paraId="12D69AD8"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A.</w:t>
      </w:r>
      <w:r w:rsidRPr="00FC5566">
        <w:rPr>
          <w:rFonts w:eastAsia="Calibri"/>
          <w:kern w:val="2"/>
        </w:rPr>
        <w:tab/>
        <w:t>The following words or terms, when used in this manual, shall have the following meaning unless the context clearly indicates otherwise.</w:t>
      </w:r>
    </w:p>
    <w:p w14:paraId="4DFEFB67"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i/>
          <w:kern w:val="2"/>
        </w:rPr>
        <w:t>Act</w:t>
      </w:r>
      <w:r w:rsidRPr="00FC5566">
        <w:rPr>
          <w:rFonts w:eastAsia="Calibri"/>
          <w:kern w:val="2"/>
        </w:rPr>
        <w:t>—the Randolph-Sheppard Vending Facility Act and Public Law 95-602, 20 U.S.C. 107 et seq.</w:t>
      </w:r>
    </w:p>
    <w:p w14:paraId="49FF7B54"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i/>
          <w:kern w:val="2"/>
        </w:rPr>
        <w:t>Active Participation</w:t>
      </w:r>
      <w:r w:rsidRPr="00FC5566">
        <w:rPr>
          <w:rFonts w:eastAsia="Calibri"/>
          <w:kern w:val="2"/>
        </w:rPr>
        <w:t>—an ongoing process of good faith negotiations between the SLA and the Louisiana Blind Vendors Elected Committee to achieve joint planning of policies, procedures, standards, rules, and regulations affecting the overall operation of the BEP prior to implementation by the SLA. The SLA shall have final authority and responsibility in all decisions relative to the administration and operation of the BEP. Active participation shall include the requirements set forth in 34 CFR 395.14(b)(1), (3), and (4) and RSA TAC 21-01.</w:t>
      </w:r>
    </w:p>
    <w:p w14:paraId="692B2858"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i/>
          <w:kern w:val="2"/>
        </w:rPr>
        <w:t>BEP</w:t>
      </w:r>
      <w:r w:rsidRPr="00FC5566">
        <w:rPr>
          <w:rFonts w:eastAsia="Calibri"/>
          <w:kern w:val="2"/>
        </w:rPr>
        <w:t xml:space="preserve">—the </w:t>
      </w:r>
      <w:r w:rsidRPr="00FC5566">
        <w:rPr>
          <w:rFonts w:eastAsia="Calibri"/>
          <w:iCs/>
          <w:kern w:val="2"/>
        </w:rPr>
        <w:t>Business Enterprises Program</w:t>
      </w:r>
      <w:r w:rsidRPr="00FC5566">
        <w:rPr>
          <w:rFonts w:eastAsia="Calibri"/>
          <w:kern w:val="2"/>
        </w:rPr>
        <w:t xml:space="preserve"> of the SLA which provides self-employment opportunities for qualified persons who are blind in the Randolph-Sheppard Vending Facility Program.</w:t>
      </w:r>
    </w:p>
    <w:p w14:paraId="37B7A836"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i/>
          <w:kern w:val="2"/>
        </w:rPr>
        <w:t>BEP Administrator</w:t>
      </w:r>
      <w:r w:rsidRPr="00FC5566">
        <w:rPr>
          <w:rFonts w:eastAsia="Calibri"/>
          <w:kern w:val="2"/>
        </w:rPr>
        <w:t>—the Randolph Sheppard Program Manager (RSPM) is the person who has responsibility for the operation of the BEP in the state.</w:t>
      </w:r>
    </w:p>
    <w:p w14:paraId="1BBCFD35"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i/>
          <w:kern w:val="2"/>
        </w:rPr>
        <w:t>Blind Person</w:t>
      </w:r>
      <w:r w:rsidRPr="00FC5566">
        <w:rPr>
          <w:rFonts w:eastAsia="Calibri"/>
          <w:kern w:val="2"/>
        </w:rPr>
        <w:t>—a person who, after examination by a licensed physician skilled in the diseases of the eye or by a licensed optometrist, has been determined to have:</w:t>
      </w:r>
    </w:p>
    <w:p w14:paraId="3C4A88B6"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a.</w:t>
      </w:r>
      <w:r w:rsidRPr="00FC5566">
        <w:rPr>
          <w:rFonts w:eastAsia="Calibri"/>
          <w:kern w:val="2"/>
        </w:rPr>
        <w:tab/>
        <w:t>not more than 20/100 central visual acuity in the better eve with correcting lenses; or</w:t>
      </w:r>
    </w:p>
    <w:p w14:paraId="126B7946"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b.</w:t>
      </w:r>
      <w:r w:rsidRPr="00FC5566">
        <w:rPr>
          <w:rFonts w:eastAsia="Calibri"/>
          <w:kern w:val="2"/>
        </w:rPr>
        <w:tab/>
        <w:t>an equally disabling loss of the visual field as evidenced by a limitation to the field of vision in the better eve to such a degree that its widest diameter subtends an angle of no greater than 20 degrees.</w:t>
      </w:r>
    </w:p>
    <w:p w14:paraId="40182D06"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i/>
          <w:kern w:val="2"/>
        </w:rPr>
        <w:t>Blind Vendors Trust Fund</w:t>
      </w:r>
      <w:r w:rsidRPr="00FC5566">
        <w:rPr>
          <w:rFonts w:eastAsia="Calibri"/>
          <w:kern w:val="2"/>
        </w:rPr>
        <w:t xml:space="preserve">—monies collected from certain </w:t>
      </w:r>
      <w:r w:rsidRPr="00FC5566">
        <w:rPr>
          <w:rFonts w:eastAsia="Calibri"/>
          <w:iCs/>
          <w:kern w:val="2"/>
        </w:rPr>
        <w:t>vending machines</w:t>
      </w:r>
      <w:r w:rsidRPr="00FC5566">
        <w:rPr>
          <w:rFonts w:eastAsia="Calibri"/>
          <w:kern w:val="2"/>
        </w:rPr>
        <w:t xml:space="preserve"> located on state, federal, and </w:t>
      </w:r>
      <w:r w:rsidRPr="00FC5566">
        <w:rPr>
          <w:rFonts w:eastAsia="Calibri"/>
          <w:iCs/>
          <w:kern w:val="2"/>
        </w:rPr>
        <w:t>other property</w:t>
      </w:r>
      <w:r w:rsidRPr="00FC5566">
        <w:rPr>
          <w:rFonts w:eastAsia="Calibri"/>
          <w:kern w:val="2"/>
        </w:rPr>
        <w:t>, and the disbursement, approved by the SLA with active participation of the Elected Committee, as provided for under R.S. 23:3041-3045 and LAC 67:VII, Chapter 21.</w:t>
      </w:r>
    </w:p>
    <w:p w14:paraId="7A841AAA"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i/>
          <w:kern w:val="2"/>
        </w:rPr>
        <w:t>Business Enterprise</w:t>
      </w:r>
      <w:r w:rsidRPr="00FC5566">
        <w:rPr>
          <w:rFonts w:eastAsia="Calibri"/>
          <w:kern w:val="2"/>
        </w:rPr>
        <w:t>—a vending facility that is an approved business that is part of the BEP administered by the</w:t>
      </w:r>
      <w:r w:rsidRPr="00FC5566">
        <w:rPr>
          <w:rFonts w:eastAsia="Calibri"/>
          <w:i/>
          <w:iCs/>
          <w:kern w:val="2"/>
        </w:rPr>
        <w:t xml:space="preserve"> SLA</w:t>
      </w:r>
      <w:r w:rsidRPr="00FC5566">
        <w:rPr>
          <w:rFonts w:eastAsia="Calibri"/>
          <w:kern w:val="2"/>
        </w:rPr>
        <w:t>. See definition of v</w:t>
      </w:r>
      <w:r w:rsidRPr="00FC5566">
        <w:rPr>
          <w:rFonts w:eastAsia="Calibri"/>
          <w:i/>
          <w:kern w:val="2"/>
        </w:rPr>
        <w:t>ending facility</w:t>
      </w:r>
      <w:r w:rsidRPr="00FC5566">
        <w:rPr>
          <w:rFonts w:eastAsia="Calibri"/>
          <w:kern w:val="2"/>
        </w:rPr>
        <w:t>.</w:t>
      </w:r>
    </w:p>
    <w:p w14:paraId="38FFE3A5"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i/>
          <w:kern w:val="2"/>
        </w:rPr>
        <w:t>Cafeteria Facility</w:t>
      </w:r>
      <w:r w:rsidRPr="00FC5566">
        <w:rPr>
          <w:rFonts w:eastAsia="Calibri"/>
          <w:kern w:val="2"/>
        </w:rPr>
        <w:t xml:space="preserve">—a food dispensing </w:t>
      </w:r>
      <w:r w:rsidRPr="00FC5566">
        <w:rPr>
          <w:rFonts w:eastAsia="Calibri"/>
          <w:iCs/>
          <w:kern w:val="2"/>
        </w:rPr>
        <w:t>business enterprise</w:t>
      </w:r>
      <w:r w:rsidRPr="00FC5566">
        <w:rPr>
          <w:rFonts w:eastAsia="Calibri"/>
          <w:kern w:val="2"/>
        </w:rPr>
        <w:t xml:space="preserve"> capable of providing a broad variety of prepared foods and beverages (including hot meals) primarily through </w:t>
      </w:r>
      <w:r w:rsidRPr="00FC5566">
        <w:rPr>
          <w:rFonts w:eastAsia="Calibri"/>
          <w:kern w:val="2"/>
        </w:rPr>
        <w:t>the use of a line where customers serve themselves from displayed selections. A cafeteria may be fully automatic or provide limited waiter or waitress service. Table and/or booth seating facilities are always provided.</w:t>
      </w:r>
    </w:p>
    <w:p w14:paraId="4BCCFC65"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i/>
          <w:kern w:val="2"/>
        </w:rPr>
        <w:t>Equipment</w:t>
      </w:r>
      <w:r w:rsidRPr="00FC5566">
        <w:rPr>
          <w:rFonts w:eastAsia="Calibri"/>
          <w:kern w:val="2"/>
        </w:rPr>
        <w:t>—is defined in the Office of Management and Budget (OMB) Uniform Guidance in 2 CFR § 200.313, in addition to the exemption granted by OMB for the operation of the Randolph-Sheppard Act (87 FR 60664), as an article of tangible personal property (including information technology systems) having a useful life of more than one year and a per-unit acquisition cost which equals or exceeds the lesser of the capitalization level established by the non-Federal entity for financial statement purposes, or $1,000. Equipment is owned by the SLA.</w:t>
      </w:r>
    </w:p>
    <w:p w14:paraId="11FB8529"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i/>
          <w:kern w:val="2"/>
        </w:rPr>
        <w:t>Federal Property</w:t>
      </w:r>
      <w:r w:rsidRPr="00FC5566">
        <w:rPr>
          <w:rFonts w:eastAsia="Calibri"/>
          <w:kern w:val="2"/>
        </w:rPr>
        <w:t>—any building, land, or other real property owned, leased, or occupied by any department, agency, or instrumentality of the United States (including the Department of Defense and the United States Postal Service), or any other instrumentality wholly owned by the United States.</w:t>
      </w:r>
    </w:p>
    <w:p w14:paraId="793040E5"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i/>
          <w:kern w:val="2"/>
        </w:rPr>
        <w:t>Federal Regulations</w:t>
      </w:r>
      <w:r w:rsidRPr="00FC5566">
        <w:rPr>
          <w:rFonts w:eastAsia="Calibri"/>
          <w:kern w:val="2"/>
        </w:rPr>
        <w:t xml:space="preserve">—the regulations issued pursuant to the </w:t>
      </w:r>
      <w:r w:rsidRPr="00FC5566">
        <w:rPr>
          <w:rFonts w:eastAsia="Calibri"/>
          <w:iCs/>
          <w:kern w:val="2"/>
        </w:rPr>
        <w:t>Randolph-Sheppard Act at 34 CFR Part 395</w:t>
      </w:r>
      <w:r w:rsidRPr="00FC5566">
        <w:rPr>
          <w:rFonts w:eastAsia="Calibri"/>
          <w:kern w:val="2"/>
        </w:rPr>
        <w:t>.</w:t>
      </w:r>
    </w:p>
    <w:p w14:paraId="4B368A93"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i/>
          <w:kern w:val="2"/>
        </w:rPr>
        <w:t>Good Standing</w:t>
      </w:r>
      <w:r w:rsidRPr="00FC5566">
        <w:rPr>
          <w:rFonts w:eastAsia="Calibri"/>
          <w:kern w:val="2"/>
        </w:rPr>
        <w:t xml:space="preserve">—to be in “Good Standing” a licensed manager must be in compliance with all elements detailed in §523 of this document and the following: </w:t>
      </w:r>
    </w:p>
    <w:p w14:paraId="066F0D23"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a.</w:t>
      </w:r>
      <w:r w:rsidRPr="00FC5566">
        <w:rPr>
          <w:rFonts w:eastAsia="Calibri"/>
          <w:kern w:val="2"/>
        </w:rPr>
        <w:tab/>
        <w:t xml:space="preserve">A licensed manager cannot owe a debt to the SLA or have an outstanding debt to suppliers/vendors; </w:t>
      </w:r>
    </w:p>
    <w:p w14:paraId="6D57A21F"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b.</w:t>
      </w:r>
      <w:r w:rsidRPr="00FC5566">
        <w:rPr>
          <w:rFonts w:eastAsia="Calibri"/>
          <w:kern w:val="2"/>
        </w:rPr>
        <w:tab/>
        <w:t xml:space="preserve">A licensed manager may not be late with two or more monthly reports, within the past 12 months; and </w:t>
      </w:r>
    </w:p>
    <w:p w14:paraId="55F3781F"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c.</w:t>
      </w:r>
      <w:r w:rsidRPr="00FC5566">
        <w:rPr>
          <w:rFonts w:eastAsia="Calibri"/>
          <w:kern w:val="2"/>
        </w:rPr>
        <w:tab/>
        <w:t>A licensed manager must maintain current required certifications, such as the National Restaurant Association’s “ServSafe” Certification.</w:t>
      </w:r>
    </w:p>
    <w:p w14:paraId="785416A6"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i/>
          <w:kern w:val="2"/>
        </w:rPr>
        <w:t>Grantor</w:t>
      </w:r>
      <w:r w:rsidRPr="00FC5566">
        <w:rPr>
          <w:rFonts w:eastAsia="Calibri"/>
          <w:kern w:val="2"/>
        </w:rPr>
        <w:t xml:space="preserve">—a federal, state, county, parish, city government, private corporation, company, partnership, or individual who grants a </w:t>
      </w:r>
      <w:r w:rsidRPr="00FC5566">
        <w:rPr>
          <w:rFonts w:eastAsia="Calibri"/>
          <w:iCs/>
          <w:kern w:val="2"/>
        </w:rPr>
        <w:t>permit</w:t>
      </w:r>
      <w:r w:rsidRPr="00FC5566">
        <w:rPr>
          <w:rFonts w:eastAsia="Calibri"/>
          <w:kern w:val="2"/>
        </w:rPr>
        <w:t xml:space="preserve"> or enters into an agreement with the </w:t>
      </w:r>
      <w:r w:rsidRPr="00FC5566">
        <w:rPr>
          <w:rFonts w:eastAsia="Calibri"/>
          <w:iCs/>
          <w:kern w:val="2"/>
        </w:rPr>
        <w:t>SLA</w:t>
      </w:r>
      <w:r w:rsidRPr="00FC5566">
        <w:rPr>
          <w:rFonts w:eastAsia="Calibri"/>
          <w:kern w:val="2"/>
        </w:rPr>
        <w:t xml:space="preserve"> to operate a </w:t>
      </w:r>
      <w:r w:rsidRPr="00FC5566">
        <w:rPr>
          <w:rFonts w:eastAsia="Calibri"/>
          <w:iCs/>
          <w:kern w:val="2"/>
        </w:rPr>
        <w:t>business enterprise</w:t>
      </w:r>
      <w:r w:rsidRPr="00FC5566">
        <w:rPr>
          <w:rFonts w:eastAsia="Calibri"/>
          <w:kern w:val="2"/>
        </w:rPr>
        <w:t xml:space="preserve"> on their property.</w:t>
      </w:r>
    </w:p>
    <w:p w14:paraId="4CF5D2E5"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i/>
          <w:iCs/>
          <w:kern w:val="2"/>
        </w:rPr>
        <w:t>Gross Receipts</w:t>
      </w:r>
      <w:r w:rsidRPr="00FC5566">
        <w:rPr>
          <w:rFonts w:eastAsia="Calibri"/>
          <w:kern w:val="2"/>
        </w:rPr>
        <w:t>—all revenue.</w:t>
      </w:r>
    </w:p>
    <w:p w14:paraId="0DA866F3"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i/>
          <w:kern w:val="2"/>
        </w:rPr>
        <w:t>License</w:t>
      </w:r>
      <w:r w:rsidRPr="00FC5566">
        <w:rPr>
          <w:rFonts w:eastAsia="Calibri"/>
          <w:kern w:val="2"/>
        </w:rPr>
        <w:t xml:space="preserve">—a written instrument issued by the </w:t>
      </w:r>
      <w:r w:rsidRPr="00FC5566">
        <w:rPr>
          <w:rFonts w:eastAsia="Calibri"/>
          <w:iCs/>
          <w:kern w:val="2"/>
        </w:rPr>
        <w:t>SLA</w:t>
      </w:r>
      <w:r w:rsidRPr="00FC5566">
        <w:rPr>
          <w:rFonts w:eastAsia="Calibri"/>
          <w:kern w:val="2"/>
        </w:rPr>
        <w:t xml:space="preserve"> to a person who is blind, authorizing such person to manage a </w:t>
      </w:r>
      <w:r w:rsidRPr="00FC5566">
        <w:rPr>
          <w:rFonts w:eastAsia="Calibri"/>
          <w:iCs/>
          <w:kern w:val="2"/>
        </w:rPr>
        <w:t>business enterprise</w:t>
      </w:r>
      <w:r w:rsidRPr="00FC5566">
        <w:rPr>
          <w:rFonts w:eastAsia="Calibri"/>
          <w:kern w:val="2"/>
        </w:rPr>
        <w:t>.</w:t>
      </w:r>
    </w:p>
    <w:p w14:paraId="10821DE5" w14:textId="77777777" w:rsidR="00FC5566" w:rsidRPr="00FC5566" w:rsidRDefault="00FC5566" w:rsidP="00FC5566">
      <w:pPr>
        <w:tabs>
          <w:tab w:val="left" w:pos="720"/>
          <w:tab w:val="left" w:pos="979"/>
          <w:tab w:val="left" w:pos="1152"/>
        </w:tabs>
        <w:ind w:firstLine="360"/>
        <w:jc w:val="both"/>
        <w:outlineLvl w:val="4"/>
        <w:rPr>
          <w:rFonts w:eastAsia="Calibri"/>
          <w:i/>
          <w:kern w:val="2"/>
        </w:rPr>
      </w:pPr>
      <w:r w:rsidRPr="00FC5566">
        <w:rPr>
          <w:rFonts w:eastAsia="Calibri"/>
          <w:i/>
          <w:kern w:val="2"/>
        </w:rPr>
        <w:t>Licensee</w:t>
      </w:r>
      <w:r w:rsidRPr="00FC5566">
        <w:rPr>
          <w:rFonts w:eastAsia="Calibri"/>
          <w:kern w:val="2"/>
        </w:rPr>
        <w:t>—a licensed individual awaiting assignment to a business enterprise.</w:t>
      </w:r>
    </w:p>
    <w:p w14:paraId="6AC194B5"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i/>
          <w:kern w:val="2"/>
        </w:rPr>
        <w:t>Licensed Manager</w:t>
      </w:r>
      <w:r w:rsidRPr="00FC5566">
        <w:rPr>
          <w:rFonts w:eastAsia="Calibri"/>
          <w:kern w:val="2"/>
        </w:rPr>
        <w:t>—a licensed individual, who is blind, who has signed an agreement with the SLA to manage a Randolph-Sheppard Business Enterprise under the supervision of the SLA.</w:t>
      </w:r>
    </w:p>
    <w:p w14:paraId="1F72DEA3"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i/>
          <w:kern w:val="2"/>
        </w:rPr>
        <w:t>Licensing Agency</w:t>
      </w:r>
      <w:r w:rsidRPr="00FC5566">
        <w:rPr>
          <w:rFonts w:eastAsia="Calibri"/>
          <w:kern w:val="2"/>
        </w:rPr>
        <w:t xml:space="preserve">—the </w:t>
      </w:r>
      <w:r w:rsidRPr="00FC5566">
        <w:rPr>
          <w:rFonts w:eastAsia="Calibri"/>
          <w:iCs/>
          <w:kern w:val="2"/>
        </w:rPr>
        <w:t>state licensing agency</w:t>
      </w:r>
      <w:r w:rsidRPr="00FC5566">
        <w:rPr>
          <w:rFonts w:eastAsia="Calibri"/>
          <w:kern w:val="2"/>
        </w:rPr>
        <w:t xml:space="preserve">, which has been designated by the commissioner, pursuant to the </w:t>
      </w:r>
      <w:r w:rsidRPr="00FC5566">
        <w:rPr>
          <w:rFonts w:eastAsia="Calibri"/>
          <w:iCs/>
          <w:kern w:val="2"/>
        </w:rPr>
        <w:t>Act</w:t>
      </w:r>
      <w:r w:rsidRPr="00FC5566">
        <w:rPr>
          <w:rFonts w:eastAsia="Calibri"/>
          <w:kern w:val="2"/>
        </w:rPr>
        <w:t xml:space="preserve">, to issue </w:t>
      </w:r>
      <w:r w:rsidRPr="00FC5566">
        <w:rPr>
          <w:rFonts w:eastAsia="Calibri"/>
          <w:iCs/>
          <w:kern w:val="2"/>
        </w:rPr>
        <w:t>licenses</w:t>
      </w:r>
      <w:r w:rsidRPr="00FC5566">
        <w:rPr>
          <w:rFonts w:eastAsia="Calibri"/>
          <w:kern w:val="2"/>
        </w:rPr>
        <w:t xml:space="preserve"> to persons who are blind for the management of </w:t>
      </w:r>
      <w:r w:rsidRPr="00FC5566">
        <w:rPr>
          <w:rFonts w:eastAsia="Calibri"/>
          <w:iCs/>
          <w:kern w:val="2"/>
        </w:rPr>
        <w:t>business enterprises</w:t>
      </w:r>
      <w:r w:rsidRPr="00FC5566">
        <w:rPr>
          <w:rFonts w:eastAsia="Calibri"/>
          <w:kern w:val="2"/>
        </w:rPr>
        <w:t>.</w:t>
      </w:r>
    </w:p>
    <w:p w14:paraId="14D3E8DC"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i/>
          <w:kern w:val="2"/>
        </w:rPr>
        <w:t>Louisiana Blind Vendor’s Elected Committee</w:t>
      </w:r>
      <w:r w:rsidRPr="00FC5566">
        <w:rPr>
          <w:rFonts w:eastAsia="Calibri"/>
          <w:kern w:val="2"/>
        </w:rPr>
        <w:t>—the committee elected biennially by licensed managers in accordance with 34 CFR 395.14.</w:t>
      </w:r>
    </w:p>
    <w:p w14:paraId="20990B01"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i/>
          <w:kern w:val="2"/>
        </w:rPr>
        <w:t>Management Services</w:t>
      </w:r>
      <w:r w:rsidRPr="00FC5566">
        <w:rPr>
          <w:rFonts w:eastAsia="Calibri"/>
          <w:kern w:val="2"/>
        </w:rPr>
        <w:t>—supervision, inspection, quality control, consultation, accounting, regulating, in-service training, and other related services provided on a systematic basis to support and improve vending facilities operated by blind vendors. Management services do not include those services or costs which pertain to the on-going operation of an individual facility after the initial establishment period of the vending facility.</w:t>
      </w:r>
    </w:p>
    <w:p w14:paraId="2A47D8FE" w14:textId="77777777" w:rsidR="00FC5566" w:rsidRPr="00FC5566" w:rsidRDefault="00FC5566" w:rsidP="00FC5566">
      <w:pPr>
        <w:tabs>
          <w:tab w:val="left" w:pos="720"/>
          <w:tab w:val="left" w:pos="979"/>
          <w:tab w:val="left" w:pos="1152"/>
        </w:tabs>
        <w:ind w:firstLine="360"/>
        <w:jc w:val="both"/>
        <w:outlineLvl w:val="4"/>
        <w:rPr>
          <w:rFonts w:eastAsia="Calibri"/>
          <w:i/>
          <w:kern w:val="2"/>
        </w:rPr>
      </w:pPr>
      <w:r w:rsidRPr="00FC5566">
        <w:rPr>
          <w:rFonts w:eastAsia="Calibri"/>
          <w:i/>
          <w:kern w:val="2"/>
        </w:rPr>
        <w:lastRenderedPageBreak/>
        <w:t>Maintenance</w:t>
      </w:r>
      <w:r w:rsidRPr="00FC5566">
        <w:rPr>
          <w:rFonts w:eastAsia="Calibri"/>
          <w:kern w:val="2"/>
        </w:rPr>
        <w:t>—the regular care, upkeep, and cleaning of equipment used in a business enterprise whether owned by the SLA or the licensed manager.</w:t>
      </w:r>
    </w:p>
    <w:p w14:paraId="215C4185"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i/>
          <w:kern w:val="2"/>
        </w:rPr>
        <w:t>Manager's Agreement</w:t>
      </w:r>
      <w:r w:rsidRPr="00FC5566">
        <w:rPr>
          <w:rFonts w:eastAsia="Calibri"/>
          <w:kern w:val="2"/>
        </w:rPr>
        <w:t xml:space="preserve">—an agreement between a </w:t>
      </w:r>
      <w:r w:rsidRPr="00FC5566">
        <w:rPr>
          <w:rFonts w:eastAsia="Calibri"/>
          <w:iCs/>
          <w:kern w:val="2"/>
        </w:rPr>
        <w:t>licensed manager</w:t>
      </w:r>
      <w:r w:rsidRPr="00FC5566">
        <w:rPr>
          <w:rFonts w:eastAsia="Calibri"/>
          <w:kern w:val="2"/>
        </w:rPr>
        <w:t xml:space="preserve"> and the</w:t>
      </w:r>
      <w:r w:rsidRPr="00FC5566">
        <w:rPr>
          <w:rFonts w:eastAsia="Calibri"/>
          <w:iCs/>
          <w:kern w:val="2"/>
        </w:rPr>
        <w:t xml:space="preserve"> SLA</w:t>
      </w:r>
      <w:r w:rsidRPr="00FC5566">
        <w:rPr>
          <w:rFonts w:eastAsia="Calibri"/>
          <w:kern w:val="2"/>
        </w:rPr>
        <w:t xml:space="preserve">, establishing basic terms and conditions for management of a </w:t>
      </w:r>
      <w:r w:rsidRPr="00FC5566">
        <w:rPr>
          <w:rFonts w:eastAsia="Calibri"/>
          <w:iCs/>
          <w:kern w:val="2"/>
        </w:rPr>
        <w:t>business enterprise</w:t>
      </w:r>
      <w:r w:rsidRPr="00FC5566">
        <w:rPr>
          <w:rFonts w:eastAsia="Calibri"/>
          <w:kern w:val="2"/>
        </w:rPr>
        <w:t>.</w:t>
      </w:r>
    </w:p>
    <w:p w14:paraId="6B4A5C76" w14:textId="77777777" w:rsidR="00FC5566" w:rsidRPr="00FC5566" w:rsidRDefault="00FC5566" w:rsidP="00FC5566">
      <w:pPr>
        <w:tabs>
          <w:tab w:val="left" w:pos="720"/>
          <w:tab w:val="left" w:pos="979"/>
          <w:tab w:val="left" w:pos="1152"/>
        </w:tabs>
        <w:ind w:firstLine="360"/>
        <w:jc w:val="both"/>
        <w:outlineLvl w:val="4"/>
        <w:rPr>
          <w:rFonts w:eastAsia="Calibri"/>
          <w:i/>
          <w:kern w:val="2"/>
        </w:rPr>
      </w:pPr>
      <w:r w:rsidRPr="00FC5566">
        <w:rPr>
          <w:rFonts w:eastAsia="Calibri"/>
          <w:i/>
          <w:kern w:val="2"/>
        </w:rPr>
        <w:t>Manager’s Agreement Certificate</w:t>
      </w:r>
      <w:r w:rsidRPr="00FC5566">
        <w:rPr>
          <w:rFonts w:eastAsia="Calibri"/>
          <w:kern w:val="2"/>
        </w:rPr>
        <w:t>—Certificate issued by the SLA to a licensed manager, designating the licensed manager’s assignment to manage a specific business enterprise location.</w:t>
      </w:r>
    </w:p>
    <w:p w14:paraId="1ECA1035"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i/>
          <w:kern w:val="2"/>
        </w:rPr>
        <w:t>Net Proceeds</w:t>
      </w:r>
      <w:r w:rsidRPr="00FC5566">
        <w:rPr>
          <w:rFonts w:eastAsia="Calibri"/>
          <w:kern w:val="2"/>
        </w:rPr>
        <w:t xml:space="preserve">—the amount remaining from the sale of articles or services of </w:t>
      </w:r>
      <w:r w:rsidRPr="00FC5566">
        <w:rPr>
          <w:rFonts w:eastAsia="Calibri"/>
          <w:iCs/>
          <w:kern w:val="2"/>
        </w:rPr>
        <w:t>business enterprises</w:t>
      </w:r>
      <w:r w:rsidRPr="00FC5566">
        <w:rPr>
          <w:rFonts w:eastAsia="Calibri"/>
          <w:kern w:val="2"/>
        </w:rPr>
        <w:t xml:space="preserve"> and a </w:t>
      </w:r>
      <w:r w:rsidRPr="00FC5566">
        <w:rPr>
          <w:rFonts w:eastAsia="Calibri"/>
          <w:iCs/>
          <w:kern w:val="2"/>
        </w:rPr>
        <w:t>vending machine</w:t>
      </w:r>
      <w:r w:rsidRPr="00FC5566">
        <w:rPr>
          <w:rFonts w:eastAsia="Calibri"/>
          <w:kern w:val="2"/>
        </w:rPr>
        <w:t xml:space="preserve"> income or </w:t>
      </w:r>
      <w:r w:rsidRPr="00FC5566">
        <w:rPr>
          <w:rFonts w:eastAsia="Calibri"/>
          <w:iCs/>
          <w:kern w:val="2"/>
        </w:rPr>
        <w:t>other income</w:t>
      </w:r>
      <w:r w:rsidRPr="00FC5566">
        <w:rPr>
          <w:rFonts w:eastAsia="Calibri"/>
          <w:kern w:val="2"/>
        </w:rPr>
        <w:t xml:space="preserve"> accruing to </w:t>
      </w:r>
      <w:r w:rsidRPr="00FC5566">
        <w:rPr>
          <w:rFonts w:eastAsia="Calibri"/>
          <w:iCs/>
          <w:kern w:val="2"/>
        </w:rPr>
        <w:t>licensed managers</w:t>
      </w:r>
      <w:r w:rsidRPr="00FC5566">
        <w:rPr>
          <w:rFonts w:eastAsia="Calibri"/>
          <w:kern w:val="2"/>
        </w:rPr>
        <w:t xml:space="preserve"> after deducting the cost of such sales and other authorized expenses excluding set aside charges required to be paid by the </w:t>
      </w:r>
      <w:r w:rsidRPr="00FC5566">
        <w:rPr>
          <w:rFonts w:eastAsia="Calibri"/>
          <w:iCs/>
          <w:kern w:val="2"/>
        </w:rPr>
        <w:t>licensed managers</w:t>
      </w:r>
      <w:r w:rsidRPr="00FC5566">
        <w:rPr>
          <w:rFonts w:eastAsia="Calibri"/>
          <w:kern w:val="2"/>
        </w:rPr>
        <w:t>.</w:t>
      </w:r>
    </w:p>
    <w:p w14:paraId="48DC861D"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i/>
          <w:kern w:val="2"/>
        </w:rPr>
        <w:t>Other Property</w:t>
      </w:r>
      <w:r w:rsidRPr="00FC5566">
        <w:rPr>
          <w:rFonts w:eastAsia="Calibri"/>
          <w:kern w:val="2"/>
        </w:rPr>
        <w:t>—property which is not f</w:t>
      </w:r>
      <w:r w:rsidRPr="00FC5566">
        <w:rPr>
          <w:rFonts w:eastAsia="Calibri"/>
          <w:iCs/>
          <w:kern w:val="2"/>
        </w:rPr>
        <w:t>ederal property</w:t>
      </w:r>
      <w:r w:rsidRPr="00FC5566">
        <w:rPr>
          <w:rFonts w:eastAsia="Calibri"/>
          <w:kern w:val="2"/>
        </w:rPr>
        <w:t xml:space="preserve"> and on which vending facilities are established or operated by the use of any funds derived in whole or in part, directly or indirectly, from the operation of vending facilities on any </w:t>
      </w:r>
      <w:r w:rsidRPr="00FC5566">
        <w:rPr>
          <w:rFonts w:eastAsia="Calibri"/>
          <w:iCs/>
          <w:kern w:val="2"/>
        </w:rPr>
        <w:t>federal property</w:t>
      </w:r>
      <w:r w:rsidRPr="00FC5566">
        <w:rPr>
          <w:rFonts w:eastAsia="Calibri"/>
          <w:kern w:val="2"/>
        </w:rPr>
        <w:t xml:space="preserve">. </w:t>
      </w:r>
    </w:p>
    <w:p w14:paraId="4F11DD9A"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i/>
          <w:kern w:val="2"/>
        </w:rPr>
        <w:t>Permit</w:t>
      </w:r>
      <w:r w:rsidRPr="00FC5566">
        <w:rPr>
          <w:rFonts w:eastAsia="Calibri"/>
          <w:kern w:val="2"/>
        </w:rPr>
        <w:t>—the official approval given a</w:t>
      </w:r>
      <w:r w:rsidRPr="00FC5566">
        <w:rPr>
          <w:rFonts w:eastAsia="Calibri"/>
          <w:iCs/>
          <w:kern w:val="2"/>
        </w:rPr>
        <w:t xml:space="preserve"> SLA</w:t>
      </w:r>
      <w:r w:rsidRPr="00FC5566">
        <w:rPr>
          <w:rFonts w:eastAsia="Calibri"/>
          <w:kern w:val="2"/>
        </w:rPr>
        <w:t xml:space="preserve"> by a department, agency, or instrumentality in control of the maintenance, operation and protection of </w:t>
      </w:r>
      <w:r w:rsidRPr="00FC5566">
        <w:rPr>
          <w:rFonts w:eastAsia="Calibri"/>
          <w:iCs/>
          <w:kern w:val="2"/>
        </w:rPr>
        <w:t>federal property</w:t>
      </w:r>
      <w:r w:rsidRPr="00FC5566">
        <w:rPr>
          <w:rFonts w:eastAsia="Calibri"/>
          <w:kern w:val="2"/>
        </w:rPr>
        <w:t xml:space="preserve"> or person in control of </w:t>
      </w:r>
      <w:r w:rsidRPr="00FC5566">
        <w:rPr>
          <w:rFonts w:eastAsia="Calibri"/>
          <w:iCs/>
          <w:kern w:val="2"/>
        </w:rPr>
        <w:t>other property</w:t>
      </w:r>
      <w:r w:rsidRPr="00FC5566">
        <w:rPr>
          <w:rFonts w:eastAsia="Calibri"/>
          <w:kern w:val="2"/>
        </w:rPr>
        <w:t xml:space="preserve"> where the </w:t>
      </w:r>
      <w:r w:rsidRPr="00FC5566">
        <w:rPr>
          <w:rFonts w:eastAsia="Calibri"/>
          <w:iCs/>
          <w:kern w:val="2"/>
        </w:rPr>
        <w:t xml:space="preserve">SLA </w:t>
      </w:r>
      <w:r w:rsidRPr="00FC5566">
        <w:rPr>
          <w:rFonts w:eastAsia="Calibri"/>
          <w:kern w:val="2"/>
        </w:rPr>
        <w:t xml:space="preserve">is authorized to establish a </w:t>
      </w:r>
      <w:r w:rsidRPr="00FC5566">
        <w:rPr>
          <w:rFonts w:eastAsia="Calibri"/>
          <w:iCs/>
          <w:kern w:val="2"/>
        </w:rPr>
        <w:t>business enterprise.</w:t>
      </w:r>
      <w:r w:rsidRPr="00FC5566">
        <w:rPr>
          <w:rFonts w:eastAsia="Calibri"/>
          <w:kern w:val="2"/>
        </w:rPr>
        <w:t xml:space="preserve"> </w:t>
      </w:r>
      <w:r w:rsidRPr="00FC5566">
        <w:rPr>
          <w:rFonts w:eastAsia="Calibri"/>
          <w:iCs/>
          <w:kern w:val="2"/>
        </w:rPr>
        <w:t>Vending facilities are referred to herein as “business enterprises”</w:t>
      </w:r>
      <w:r w:rsidRPr="00FC5566">
        <w:rPr>
          <w:rFonts w:eastAsia="Calibri"/>
          <w:kern w:val="2"/>
        </w:rPr>
        <w:t>.</w:t>
      </w:r>
    </w:p>
    <w:p w14:paraId="7B6F3954"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i/>
          <w:kern w:val="2"/>
        </w:rPr>
        <w:t>Randolph-Sheppard Act</w:t>
      </w:r>
      <w:r w:rsidRPr="00FC5566">
        <w:rPr>
          <w:rFonts w:eastAsia="Calibri"/>
          <w:kern w:val="2"/>
        </w:rPr>
        <w:t>—Public Law 74-732 as amended by Public Law 83-565, Public Law 93-516, and Public Law 95-602, 20 U.S.C. Chapter 6A, Section 107 et seq.</w:t>
      </w:r>
    </w:p>
    <w:p w14:paraId="74F74A4B"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i/>
          <w:kern w:val="2"/>
        </w:rPr>
        <w:t>Randolph-Sheppard Management Analyst (RSMA)</w:t>
      </w:r>
      <w:r w:rsidRPr="00FC5566">
        <w:rPr>
          <w:rFonts w:eastAsia="Calibri"/>
          <w:kern w:val="2"/>
        </w:rPr>
        <w:t xml:space="preserve">—an individual who provides consultative and management services to those business enterprises and licensed managers in their assigned area of the state. </w:t>
      </w:r>
    </w:p>
    <w:p w14:paraId="4DEA05F9"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i/>
          <w:kern w:val="2"/>
        </w:rPr>
        <w:t>Rules and Regulations</w:t>
      </w:r>
      <w:r w:rsidRPr="00FC5566">
        <w:rPr>
          <w:rFonts w:eastAsia="Calibri"/>
          <w:kern w:val="2"/>
        </w:rPr>
        <w:t>—</w:t>
      </w:r>
      <w:r w:rsidRPr="00FC5566">
        <w:rPr>
          <w:rFonts w:eastAsia="Calibri"/>
          <w:iCs/>
          <w:kern w:val="2"/>
        </w:rPr>
        <w:t xml:space="preserve">the policies and procedures set forth by the State and </w:t>
      </w:r>
      <w:r w:rsidRPr="00FC5566">
        <w:rPr>
          <w:rFonts w:eastAsia="Calibri"/>
          <w:kern w:val="2"/>
        </w:rPr>
        <w:t xml:space="preserve">approved by the Secretary of Education setting forth the conduct and operation of the </w:t>
      </w:r>
      <w:r w:rsidRPr="00FC5566">
        <w:rPr>
          <w:rFonts w:eastAsia="Calibri"/>
          <w:iCs/>
          <w:kern w:val="2"/>
        </w:rPr>
        <w:t>BEP</w:t>
      </w:r>
      <w:r w:rsidRPr="00FC5566">
        <w:rPr>
          <w:rFonts w:eastAsia="Calibri"/>
          <w:kern w:val="2"/>
        </w:rPr>
        <w:t>.</w:t>
      </w:r>
    </w:p>
    <w:p w14:paraId="25F3FC7F"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i/>
          <w:kern w:val="2"/>
        </w:rPr>
        <w:t>Satisfactory Site</w:t>
      </w:r>
      <w:r w:rsidRPr="00FC5566">
        <w:rPr>
          <w:rFonts w:eastAsia="Calibri"/>
          <w:kern w:val="2"/>
        </w:rPr>
        <w:t>—means an area fully accessible to vending facility patrons and having:</w:t>
      </w:r>
    </w:p>
    <w:p w14:paraId="1C2A6237" w14:textId="4A906959"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a.</w:t>
      </w:r>
      <w:r w:rsidRPr="00FC5566">
        <w:rPr>
          <w:rFonts w:eastAsia="Calibri"/>
          <w:kern w:val="2"/>
        </w:rPr>
        <w:tab/>
      </w:r>
      <w:r w:rsidR="00CA56E1">
        <w:rPr>
          <w:rFonts w:eastAsia="Calibri"/>
          <w:kern w:val="2"/>
        </w:rPr>
        <w:t>e</w:t>
      </w:r>
      <w:r w:rsidRPr="00FC5566">
        <w:rPr>
          <w:rFonts w:eastAsia="Calibri"/>
          <w:kern w:val="2"/>
        </w:rPr>
        <w:t>ffective on March 23, 1977, a minimum of 250 square feet available for the vending and storage of articles necessary for the operation of a vending facility; and</w:t>
      </w:r>
    </w:p>
    <w:p w14:paraId="210695CC" w14:textId="56F1A6E8"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b.</w:t>
      </w:r>
      <w:r w:rsidRPr="00FC5566">
        <w:rPr>
          <w:rFonts w:eastAsia="Calibri"/>
          <w:kern w:val="2"/>
        </w:rPr>
        <w:tab/>
      </w:r>
      <w:r w:rsidR="00CA56E1">
        <w:rPr>
          <w:rFonts w:eastAsia="Calibri"/>
          <w:kern w:val="2"/>
        </w:rPr>
        <w:t>s</w:t>
      </w:r>
      <w:r w:rsidRPr="00FC5566">
        <w:rPr>
          <w:rFonts w:eastAsia="Calibri"/>
          <w:kern w:val="2"/>
        </w:rPr>
        <w:t>ufficient electrical plumbing, heating, and ventilation outlets for the location and operation of a vending facility in accordance with applicable health laws and building codes.</w:t>
      </w:r>
    </w:p>
    <w:p w14:paraId="14AD8755"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i/>
          <w:kern w:val="2"/>
        </w:rPr>
        <w:t>State Licensing Agency (SLA)</w:t>
      </w:r>
      <w:r w:rsidRPr="00FC5566">
        <w:rPr>
          <w:rFonts w:eastAsia="Calibri"/>
          <w:kern w:val="2"/>
        </w:rPr>
        <w:t>—the state agency designated by the Secretary that issues licenses to persons who are blind for the operation of vending facilities on Federal or other property. Vending facilities are referred to herein as “business enterprises”.</w:t>
      </w:r>
    </w:p>
    <w:p w14:paraId="602D81A6"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i/>
          <w:kern w:val="2"/>
        </w:rPr>
        <w:t>Supplies</w:t>
      </w:r>
      <w:r w:rsidRPr="00FC5566">
        <w:rPr>
          <w:rFonts w:eastAsia="Calibri"/>
          <w:kern w:val="2"/>
        </w:rPr>
        <w:t>—all tangible personal property other than those described in 2 CFR §200.313 Equipment. A computing device is a supply if the acquisition cost is less than the lesser of the capitalization level established by the non-Federal entity for financial statement purposes or $1,000, regardless of the length of its useful life. See also 2 CFR §200.20 Computing devices and §200.313 Equipment.</w:t>
      </w:r>
    </w:p>
    <w:p w14:paraId="4CD398DE"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i/>
          <w:kern w:val="2"/>
        </w:rPr>
        <w:t>Training Program</w:t>
      </w:r>
      <w:r w:rsidRPr="00FC5566">
        <w:rPr>
          <w:rFonts w:eastAsia="Calibri"/>
          <w:kern w:val="2"/>
        </w:rPr>
        <w:t xml:space="preserve">—the program of study and/or on-the-job training provided to prospective and/or experienced </w:t>
      </w:r>
      <w:r w:rsidRPr="00FC5566">
        <w:rPr>
          <w:rFonts w:eastAsia="Calibri"/>
          <w:iCs/>
          <w:kern w:val="2"/>
        </w:rPr>
        <w:t>licensed managers</w:t>
      </w:r>
      <w:r w:rsidRPr="00FC5566">
        <w:rPr>
          <w:rFonts w:eastAsia="Calibri"/>
          <w:kern w:val="2"/>
        </w:rPr>
        <w:t>.</w:t>
      </w:r>
    </w:p>
    <w:p w14:paraId="6C9C5523"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i/>
          <w:kern w:val="2"/>
        </w:rPr>
        <w:t>Vending Facility</w:t>
      </w:r>
      <w:r w:rsidRPr="00FC5566">
        <w:rPr>
          <w:rFonts w:eastAsia="Calibri"/>
          <w:kern w:val="2"/>
        </w:rPr>
        <w:t xml:space="preserve">—automatic </w:t>
      </w:r>
      <w:r w:rsidRPr="00FC5566">
        <w:rPr>
          <w:rFonts w:eastAsia="Calibri"/>
          <w:iCs/>
          <w:kern w:val="2"/>
        </w:rPr>
        <w:t>vending machines</w:t>
      </w:r>
      <w:r w:rsidRPr="00FC5566">
        <w:rPr>
          <w:rFonts w:eastAsia="Calibri"/>
          <w:kern w:val="2"/>
        </w:rPr>
        <w:t xml:space="preserve">, cafeterias, snack bars, cart service, shelters, counters, and such other appropriate auxiliary </w:t>
      </w:r>
      <w:r w:rsidRPr="00FC5566">
        <w:rPr>
          <w:rFonts w:eastAsia="Calibri"/>
          <w:iCs/>
          <w:kern w:val="2"/>
        </w:rPr>
        <w:t>equipment</w:t>
      </w:r>
      <w:r w:rsidRPr="00FC5566">
        <w:rPr>
          <w:rFonts w:eastAsia="Calibri"/>
          <w:kern w:val="2"/>
        </w:rPr>
        <w:t xml:space="preserve"> which may be operated by </w:t>
      </w:r>
      <w:r w:rsidRPr="00FC5566">
        <w:rPr>
          <w:rFonts w:eastAsia="Calibri"/>
          <w:iCs/>
          <w:kern w:val="2"/>
        </w:rPr>
        <w:t xml:space="preserve">blind licensees </w:t>
      </w:r>
      <w:r w:rsidRPr="00FC5566">
        <w:rPr>
          <w:rFonts w:eastAsia="Calibri"/>
          <w:kern w:val="2"/>
        </w:rPr>
        <w:t>and which is necessary for the sale of newspapers, periodicals, confections, tobacco products, foods, beverages, and other articles or services dispensed automatically or manually and prepared on or off the premises in accordance with all applicable health laws and including the vending or exchange of changes for any lottery authorized by state law and conducted by an agency of a state within such state [34 CFR §395.1(x)].</w:t>
      </w:r>
    </w:p>
    <w:p w14:paraId="447B0D69"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i/>
          <w:kern w:val="2"/>
        </w:rPr>
        <w:t>Vending Machine</w:t>
      </w:r>
      <w:r w:rsidRPr="00FC5566">
        <w:rPr>
          <w:rFonts w:eastAsia="Calibri"/>
          <w:kern w:val="2"/>
        </w:rPr>
        <w:t xml:space="preserve">—for the purpose of assigning vending machine income under this part, means a coin or currency operated machine which dispenses articles or services, except any machine operated by the United States Postal Service for the sale of postage stamps or other postal products and services. Machines providing services of a recreational nature and telephones shall not be considered to be </w:t>
      </w:r>
      <w:r w:rsidRPr="00FC5566">
        <w:rPr>
          <w:rFonts w:eastAsia="Calibri"/>
          <w:iCs/>
          <w:kern w:val="2"/>
        </w:rPr>
        <w:t>vending machines.[ 34 CFR §395.1(y)]</w:t>
      </w:r>
    </w:p>
    <w:p w14:paraId="3FBE4BFD"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i/>
          <w:kern w:val="2"/>
        </w:rPr>
        <w:t>Vocational Rehabilitation Services</w:t>
      </w:r>
      <w:r w:rsidRPr="00FC5566">
        <w:rPr>
          <w:rFonts w:eastAsia="Calibri"/>
          <w:kern w:val="2"/>
        </w:rPr>
        <w:t>—those services as defined in Title I of the Rehabilitation Act, 1973, as amended.</w:t>
      </w:r>
    </w:p>
    <w:p w14:paraId="0275F065"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rFonts w:eastAsia="Calibri"/>
          <w:kern w:val="2"/>
          <w:sz w:val="18"/>
        </w:rPr>
      </w:pPr>
      <w:r w:rsidRPr="00FC5566">
        <w:rPr>
          <w:rFonts w:eastAsia="Calibri"/>
          <w:kern w:val="2"/>
          <w:sz w:val="18"/>
        </w:rPr>
        <w:t>AUTHORITY NOTE:</w:t>
      </w:r>
      <w:r w:rsidRPr="00FC5566">
        <w:rPr>
          <w:rFonts w:eastAsia="Calibri"/>
          <w:kern w:val="2"/>
          <w:sz w:val="18"/>
        </w:rPr>
        <w:tab/>
        <w:t>Promulgated in accordance with R.S. 23:3022.</w:t>
      </w:r>
    </w:p>
    <w:p w14:paraId="0194111C"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rFonts w:eastAsia="Calibri"/>
          <w:kern w:val="2"/>
          <w:sz w:val="18"/>
        </w:rPr>
        <w:t>HISTORICAL NOTE:</w:t>
      </w:r>
      <w:r w:rsidRPr="00FC5566">
        <w:rPr>
          <w:rFonts w:eastAsia="Calibri"/>
          <w:kern w:val="2"/>
          <w:sz w:val="18"/>
        </w:rPr>
        <w:tab/>
        <w:t>Promulgated by the Department of Social Services, Office of Rehabilitation Services, LR 25:528 (March 1999), amended by the Workforce Commission, Rehabilitation Services, LR 41:2178 (October 2015)</w:t>
      </w:r>
      <w:r w:rsidRPr="00FC5566">
        <w:rPr>
          <w:kern w:val="2"/>
          <w:sz w:val="18"/>
        </w:rPr>
        <w:t>, amended by Louisiana Works, Rehabilitation Services, LR 52:1376 (August 2026).</w:t>
      </w:r>
    </w:p>
    <w:p w14:paraId="28611E6A"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§510.</w:t>
      </w:r>
      <w:r w:rsidRPr="00FC5566">
        <w:rPr>
          <w:b/>
          <w:kern w:val="2"/>
        </w:rPr>
        <w:tab/>
        <w:t>Promulgation of Business Enterprises Program Policies</w:t>
      </w:r>
    </w:p>
    <w:p w14:paraId="30D89EAC"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Rules and procedures, that is, the policies governing the administration of the BEP are developed and maintained in accordance with the Randolph-Sheppard Act (20 U.S.C. Section 107 et seq.) Section 103(b)(1), the Rehabilitation Act (29 U.S.C. 723(b)(1)), and the Louisiana Administrative Procedure Act (R.S. 49:950 et seq.).</w:t>
      </w:r>
    </w:p>
    <w:p w14:paraId="014BEED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The rulemaking authority is Louisiana Rehabilitation Services, the SLA hereinafter referred to as the State Licensing Agency (SLA). Promulgation of rules and procedures governing the BEP is in accordance with Louisiana Administrative Procedure Act (R.S. 49:950 et seq.).</w:t>
      </w:r>
    </w:p>
    <w:p w14:paraId="5916485E"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23:3022.</w:t>
      </w:r>
    </w:p>
    <w:p w14:paraId="46E31E52"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Rehabilitation Services, LR 25:530 (March 1999), amended by the Workforce Commission, Rehabilitation Services, LR 41:2178 (October 2015), amended by Louisiana Works, Rehabilitation Services, LR 52:1377 (August 2026).</w:t>
      </w:r>
    </w:p>
    <w:p w14:paraId="120F0729"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380" w:name="_Toc475613194"/>
      <w:bookmarkStart w:id="381" w:name="_Toc257205963"/>
      <w:bookmarkStart w:id="382" w:name="_Toc248893840"/>
      <w:bookmarkStart w:id="383" w:name="_Toc215471664"/>
      <w:r w:rsidRPr="00FC5566">
        <w:rPr>
          <w:b/>
          <w:kern w:val="2"/>
        </w:rPr>
        <w:t>§511.</w:t>
      </w:r>
      <w:r w:rsidRPr="00FC5566">
        <w:rPr>
          <w:b/>
          <w:kern w:val="2"/>
        </w:rPr>
        <w:tab/>
        <w:t>Policy of Non-Discrimination</w:t>
      </w:r>
      <w:bookmarkEnd w:id="380"/>
      <w:bookmarkEnd w:id="381"/>
      <w:bookmarkEnd w:id="382"/>
      <w:bookmarkEnd w:id="383"/>
    </w:p>
    <w:p w14:paraId="65925B6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 xml:space="preserve">The state licensing agency assures that it shall not exclude from participation, deny the benefits of the program and agrees to abide by the requirements of the following nondiscrimination and equal opportunity provisions of the following laws, as applicable: Section 188 of the Workforce Innovation and Opportunity Act of 2014 (WIOA), as amended, which prohibits discrimination against all individuals in the United States on the basis of race, color, religion, sex, national origin, age, disability, political affiliation or belief, and against beneficiaries on the basis of either citizenship/status as a lawfully admitted immigrant </w:t>
      </w:r>
      <w:r w:rsidRPr="00FC5566">
        <w:rPr>
          <w:kern w:val="2"/>
        </w:rPr>
        <w:br w:type="page"/>
      </w:r>
    </w:p>
    <w:p w14:paraId="3ACA52E5" w14:textId="77777777" w:rsidR="00FC5566" w:rsidRPr="00FC5566" w:rsidRDefault="00FC5566" w:rsidP="00FC5566">
      <w:pPr>
        <w:tabs>
          <w:tab w:val="left" w:pos="144"/>
          <w:tab w:val="left" w:pos="187"/>
          <w:tab w:val="left" w:pos="540"/>
          <w:tab w:val="left" w:pos="907"/>
          <w:tab w:val="left" w:pos="1080"/>
        </w:tabs>
        <w:jc w:val="both"/>
        <w:outlineLvl w:val="3"/>
        <w:rPr>
          <w:kern w:val="2"/>
        </w:rPr>
      </w:pPr>
      <w:r w:rsidRPr="00FC5566">
        <w:rPr>
          <w:kern w:val="2"/>
        </w:rPr>
        <w:lastRenderedPageBreak/>
        <w:t>authorized to work in the United States or participation in any WIOA Title I financially assisted program or activity, including Title VI and Title VII of the Civil Rights Act of 1964, as amended; the Equal Employment Opportunity Act of 1972, as amended; the Nontraditional Employment for Women Act of 1991, as amended; Section 504 of the Rehabilitation Act of 1973, as amended; the Vietnam Era Veteran’s Readjustment Assistance Act of 1974, as amended; Title IX of the Education Amendments of 1972, as amended; the Age Discrimination Act of 1975, as amended; Americans with Disabilities Act of 1990, as amended; the Fair Housing Act of 1968, as amended, and all applicable requirements imposed by or pursuant to regulations implementing those laws, including but not limited to 29 CFR Part 37, and the Louisiana State Constitution, Article 1, Section 12―Freedom from Discrimination: In access to public areas, accommodations, and facilities, every person shall be free from discrimination based on race, religion, or national ancestry and from arbitrary, capricious, or unreasonable discrimination based on age, sex, or physical condition.</w:t>
      </w:r>
    </w:p>
    <w:p w14:paraId="7EDADD0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Every licensed manager of a business enterprise shall operate the business enterprise in such a manner that assures that they shall not exclude from participation, deny the benefits of the program and agree to abide by the requirements of the following nondiscrimination and equal opportunity provisions of the following laws, as applicable: Section 188 of the Workforce Innovation and Opportunity Act of 2014 (WIOA), as amended, which prohibits discrimination against all individuals in the United States on the basis of race, color, religion, sex, national origin, age, disability, political affiliation or belief, and against beneficiaries on the basis of either citizenship/status as a lawfully admitted immigrant authorized to work in the United States or participation in any WIOA Title I financially assisted program or activity, including Title VI and Title VII of the Civil Rights Act of 1964, as amended; the Equal Employment Opportunity Act of 1972, as amended; the Nontraditional Employment for Women Act of 1991, as amended; Section 504 of the Rehabilitation Act of 1973, as amended; the Vietnam Era Veteran’s Readjustment Assistance Act of 1974, as amended; Title IX of the Education Amendments of 1972, as amended; the Age Discrimination Act of 1975, as amended; Americans with Disabilities Act of 1990, as amended; the Fair Housing Act of 1968, as amended, and all applicable requirements imposed by or pursuant to regulations implementing those laws, including but not limited to 29 CFR Part 37 and the Louisiana State Constitution, Article 1, Section 12 – Freedom from Discrimination: In access to public areas, accommodations, and facilities, every person shall be free from discrimination based on race, religion, or national ancestry and from arbitrary, capricious, or unreasonable discrimination based on age, sex, or physical condition.</w:t>
      </w:r>
    </w:p>
    <w:p w14:paraId="2D5F2EF7"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49:664.4 and R.S. 36:477.</w:t>
      </w:r>
    </w:p>
    <w:p w14:paraId="37997B4B"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Rehabilitation Services, LR 25:530 (March 1999), amended by Louisiana Works, Rehabilitation Services, LR 52:1377 (August 2026).</w:t>
      </w:r>
    </w:p>
    <w:p w14:paraId="161BC39E"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384" w:name="_Toc475613196"/>
      <w:bookmarkStart w:id="385" w:name="_Toc257205965"/>
      <w:bookmarkStart w:id="386" w:name="_Toc248893842"/>
      <w:bookmarkStart w:id="387" w:name="_Toc215471666"/>
      <w:r w:rsidRPr="00FC5566">
        <w:rPr>
          <w:b/>
          <w:kern w:val="2"/>
        </w:rPr>
        <w:t>§513.</w:t>
      </w:r>
      <w:r w:rsidRPr="00FC5566">
        <w:rPr>
          <w:b/>
          <w:kern w:val="2"/>
        </w:rPr>
        <w:tab/>
        <w:t>Accessibility of Written Materials</w:t>
      </w:r>
    </w:p>
    <w:p w14:paraId="422C2FEF" w14:textId="77777777" w:rsidR="00FC5566" w:rsidRPr="00FC5566" w:rsidRDefault="00FC5566" w:rsidP="00FC5566">
      <w:pPr>
        <w:tabs>
          <w:tab w:val="left" w:pos="144"/>
          <w:tab w:val="left" w:pos="187"/>
          <w:tab w:val="left" w:pos="540"/>
          <w:tab w:val="left" w:pos="907"/>
          <w:tab w:val="left" w:pos="1080"/>
          <w:tab w:val="left" w:pos="2520"/>
        </w:tabs>
        <w:ind w:firstLine="187"/>
        <w:jc w:val="both"/>
        <w:outlineLvl w:val="3"/>
        <w:rPr>
          <w:kern w:val="2"/>
        </w:rPr>
      </w:pPr>
      <w:r w:rsidRPr="00FC5566">
        <w:rPr>
          <w:kern w:val="2"/>
        </w:rPr>
        <w:t>A.</w:t>
      </w:r>
      <w:r w:rsidRPr="00FC5566">
        <w:rPr>
          <w:kern w:val="2"/>
        </w:rPr>
        <w:tab/>
        <w:t>All written materials will be provided to each licensed manager in a format accessible to that manager. It is the responsibility of the licensee or licensed manager to inform the RSMA of the accessible format needed.</w:t>
      </w:r>
    </w:p>
    <w:p w14:paraId="3437ABC2"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49:664.4 and R.S. 36:477.</w:t>
      </w:r>
    </w:p>
    <w:p w14:paraId="56C4F35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Rehabilitation Services, LR 25:530 (March 1999), amended by Louisiana Works, Rehabilitation Services, LR 52:1378 (August 2026).</w:t>
      </w:r>
    </w:p>
    <w:p w14:paraId="5CB81D7B"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§515.</w:t>
      </w:r>
      <w:r w:rsidRPr="00FC5566">
        <w:rPr>
          <w:b/>
          <w:kern w:val="2"/>
        </w:rPr>
        <w:tab/>
        <w:t>Organization of State Licensing Agency</w:t>
      </w:r>
      <w:bookmarkEnd w:id="384"/>
      <w:bookmarkEnd w:id="385"/>
      <w:bookmarkEnd w:id="386"/>
      <w:bookmarkEnd w:id="387"/>
    </w:p>
    <w:p w14:paraId="1E4FDF7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Louisiana Rehabilitation Services (LRS) is designated as the sole state agency under a state plan for vocational rehabilitation services approved pursuant to the provisions of the Rehabilitation Act of 1973, (29 U.S.C. Chapter 16) and approved by RSA as the SLA.</w:t>
      </w:r>
    </w:p>
    <w:p w14:paraId="793C7B4B"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SLA Responsibilities</w:t>
      </w:r>
    </w:p>
    <w:p w14:paraId="2052ECC0"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The SLA will recruit, train, and license blind persons to operate vending facilities in Louisiana, and take such action as necessary to terminate licenses for cause under the Due Process procedures outlined in section 519 (G) of this document.</w:t>
      </w:r>
    </w:p>
    <w:p w14:paraId="28514902"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At all times the SLA shall comply with the Randolph-Sheppard Act, its implementing regulations, and the provisions of this Randolph-Sheppard Program.</w:t>
      </w:r>
    </w:p>
    <w:p w14:paraId="516AA199"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In administering all aspects of the program, the SLA will not discriminate on the basis of sex, age, physical or mental impairment, creed, race, color, national origin, or political affiliation and will comply with all applicable federal and state laws related to discrimination.</w:t>
      </w:r>
    </w:p>
    <w:p w14:paraId="02C65C8D"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w:t>
      </w:r>
      <w:r w:rsidRPr="00FC5566">
        <w:rPr>
          <w:kern w:val="2"/>
        </w:rPr>
        <w:tab/>
        <w:t>The SLA will provide an accessible copy of this Business Enterprise Program Manual to each licensed manager and take steps to ensure the licensed manager understands the requirements contained herein.</w:t>
      </w:r>
    </w:p>
    <w:p w14:paraId="0ED94B44"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5.</w:t>
      </w:r>
      <w:r w:rsidRPr="00FC5566">
        <w:rPr>
          <w:kern w:val="2"/>
        </w:rPr>
        <w:tab/>
        <w:t>The SLA will ensure that all documentation is provided to the licensed managers in an accessible format of the licensed manager’s choice.</w:t>
      </w:r>
    </w:p>
    <w:p w14:paraId="41293278"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6.</w:t>
      </w:r>
      <w:r w:rsidRPr="00FC5566">
        <w:rPr>
          <w:kern w:val="2"/>
        </w:rPr>
        <w:tab/>
        <w:t>With the exception of most soft drink machines, when they are available to the licensed manager through the bottlers at no cost, all necessary equipment, including vending machines, and any other equipment deemed appropriate by the SLA, for the successful operation of the vending facility will be provided by the SLA for the use and benefit of the licensed manager. A copy of the equipment inventory record shall be attached to and made a part of the Agreement of Operations.</w:t>
      </w:r>
    </w:p>
    <w:p w14:paraId="6481EA00"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7.</w:t>
      </w:r>
      <w:r w:rsidRPr="00FC5566">
        <w:rPr>
          <w:kern w:val="2"/>
        </w:rPr>
        <w:tab/>
        <w:t>Except for routine maintenance (i.e. changing of light bulbs, price changes, and routine cleaning), all maintenance of vending facility equipment, including preventive maintenance, shall be performed by the SLA. Equipment will be maintained in good repair by the SLA. If repairing certain equipment is not cost effective, the item or items will be replaced by the SLA.</w:t>
      </w:r>
    </w:p>
    <w:p w14:paraId="66FAFBFB"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8.</w:t>
      </w:r>
      <w:r w:rsidRPr="00FC5566">
        <w:rPr>
          <w:kern w:val="2"/>
        </w:rPr>
        <w:tab/>
        <w:t>All merchandise necessary to begin operation of the vending facility is provided by the SLA. A copy of the merchandise inventory record will be provided to the licensed manager within 20 working days of execution of the Operating Agreement. This inventory is owned by the SLA. At the conclusion of the initial up to six-month establishment period, the purchase of inventory becomes the responsibility of the blind vendor.</w:t>
      </w:r>
    </w:p>
    <w:p w14:paraId="45A1C14C"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9.</w:t>
      </w:r>
      <w:r w:rsidRPr="00FC5566">
        <w:rPr>
          <w:kern w:val="2"/>
        </w:rPr>
        <w:tab/>
        <w:t>The SLA shall assign a RSMA and shall provide management services to ensure adequate oversight and supervision to all vending facilities pursuant to 34 CFR 395.3(a)(11)(ii).</w:t>
      </w:r>
    </w:p>
    <w:p w14:paraId="698156C6"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10.</w:t>
      </w:r>
      <w:r w:rsidRPr="00FC5566">
        <w:rPr>
          <w:kern w:val="2"/>
        </w:rPr>
        <w:tab/>
        <w:t xml:space="preserve">The RSMA, having responsibility for the assigned vending facility shall be available to assist in resolving </w:t>
      </w:r>
      <w:r w:rsidRPr="00FC5566">
        <w:rPr>
          <w:kern w:val="2"/>
        </w:rPr>
        <w:lastRenderedPageBreak/>
        <w:t>problems and assuring that all appropriate and necessary support services are provided for the efficient and effective operation of the vending facility.</w:t>
      </w:r>
    </w:p>
    <w:p w14:paraId="21EAE5CA"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11.</w:t>
      </w:r>
      <w:r w:rsidRPr="00FC5566">
        <w:rPr>
          <w:kern w:val="2"/>
        </w:rPr>
        <w:tab/>
        <w:t>It is the responsibility of the blind licensed manager to operate the vending facility and to work on a professional basis with the host to address any issues which may be disruptive to that operation. If problems or issues do arise concerning the operation of a location, the blind manager is to inform their RSMA of the issue and include their RSMA on all correspondence or complaints provided to or received from the host and building management to assure compliance with all laws and policies governing the Randolph-Sheppard Program. All issues related to permit negotiation, location changes, equipment requests, complaints and requests for services shall be negotiated solely by the SLA with active participation of the full LBVEC.</w:t>
      </w:r>
    </w:p>
    <w:p w14:paraId="4B7E3386"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12.</w:t>
      </w:r>
      <w:r w:rsidRPr="00FC5566">
        <w:rPr>
          <w:kern w:val="2"/>
        </w:rPr>
        <w:tab/>
        <w:t>The SLA, with active participation of the full LBVEC, shall make upward mobility training available to the licensed manager to afford an opportunity to enhance skills and to improve earning potential.</w:t>
      </w:r>
    </w:p>
    <w:p w14:paraId="438B7DE9"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13.</w:t>
      </w:r>
      <w:r w:rsidRPr="00FC5566">
        <w:rPr>
          <w:kern w:val="2"/>
        </w:rPr>
        <w:tab/>
        <w:t>The SLA, with active participation of the LBVEC, shall conduct surveys of potential vending facilities given priority under 20 U.S.C. 107 et seq. and make every effort to create new opportunities for blind licensed managers within the scope of priority given under the Acts.</w:t>
      </w:r>
    </w:p>
    <w:p w14:paraId="596A3281"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14.</w:t>
      </w:r>
      <w:r w:rsidRPr="00FC5566">
        <w:rPr>
          <w:kern w:val="2"/>
        </w:rPr>
        <w:tab/>
        <w:t>The SLA shall work collaboratively with the LBVEC and ensure its active participation in all major administrative decisions affecting the overall operation of the program pursuant to 34 CFR 395.14.</w:t>
      </w:r>
    </w:p>
    <w:p w14:paraId="5A20570D"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15.</w:t>
      </w:r>
      <w:r w:rsidRPr="00FC5566">
        <w:rPr>
          <w:kern w:val="2"/>
        </w:rPr>
        <w:tab/>
        <w:t xml:space="preserve">If funds are available and approved by a majority vote of all licensed managers, the SLA, with active participation of the Trust Fund Board, as set forth by RS 23:3044, and the LBVEC, can use funds to establish retirement or pension plans, for health insurance contributions, and for the provision of paid sick leave and vacation time for blind vendors in accordance with 34 CFR 395.8. </w:t>
      </w:r>
    </w:p>
    <w:p w14:paraId="25B885E9"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16.</w:t>
      </w:r>
      <w:r w:rsidRPr="00FC5566">
        <w:rPr>
          <w:kern w:val="2"/>
        </w:rPr>
        <w:tab/>
        <w:t>The SLA shall present this policy to each licensed manager, and, upon each licensed manager’s first review of the policy, or review of changes to the policy, provide training to ensure licensed manager understanding. Licensed managers must read and acknowledge in writing receipt of this policy. Failure to comply with this policy will result in immediate suspension pending investigation with possible revocation of licensure.</w:t>
      </w:r>
    </w:p>
    <w:p w14:paraId="32F5FC9C"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Licensed Manager Responsibilities</w:t>
      </w:r>
    </w:p>
    <w:p w14:paraId="21E8B2A8"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The assigned vending facility will be managed in accordance with the terms and conditions of the permit/contract, including being open for business on those days and during the specified hours.</w:t>
      </w:r>
    </w:p>
    <w:p w14:paraId="771AA388"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The assigned vending facility will be operated in compliance with the BEP Manual, which has been approved by RSA.</w:t>
      </w:r>
    </w:p>
    <w:p w14:paraId="540083B4"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The vending facility shall be operated in compliance with all applicable federal, state, and local health requirements. It is the licensed manager’s sole responsibility to maintain all applicable health permits.</w:t>
      </w:r>
    </w:p>
    <w:p w14:paraId="32C96E6D"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w:t>
      </w:r>
      <w:r w:rsidRPr="00FC5566">
        <w:rPr>
          <w:kern w:val="2"/>
        </w:rPr>
        <w:tab/>
        <w:t xml:space="preserve">It is the licensed manager’s responsibility to obtain and maintain a valid business license, for those parishes that require it. The licensed manager will also maintain applicable </w:t>
      </w:r>
      <w:r w:rsidRPr="00FC5566">
        <w:rPr>
          <w:kern w:val="2"/>
        </w:rPr>
        <w:br w:type="column"/>
      </w:r>
      <w:r w:rsidRPr="00FC5566">
        <w:rPr>
          <w:kern w:val="2"/>
        </w:rPr>
        <w:t>taxpayer identification as required by law, copies of which will be made available to the RSMA for inspection upon request.</w:t>
      </w:r>
    </w:p>
    <w:p w14:paraId="749E23DC"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5.</w:t>
      </w:r>
      <w:r w:rsidRPr="00FC5566">
        <w:rPr>
          <w:kern w:val="2"/>
        </w:rPr>
        <w:tab/>
        <w:t>The licensed manager shall take proper care of the equipment in the vending facility and will make alterations or changes therein only with prior written approval of the SLA. Furthermore, the licensed manager shall take appropriate precautions to ensure the security of the equipment.</w:t>
      </w:r>
    </w:p>
    <w:p w14:paraId="71D2AE13"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6.</w:t>
      </w:r>
      <w:r w:rsidRPr="00FC5566">
        <w:rPr>
          <w:kern w:val="2"/>
        </w:rPr>
        <w:tab/>
        <w:t>The vending facility will be operated in a competitive manner to include a sufficient variety of merchandise. For vending machines, this means a minimum of 80 percent of display slots must have product available and all products are in date.</w:t>
      </w:r>
    </w:p>
    <w:p w14:paraId="3A6CF22F"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7.</w:t>
      </w:r>
      <w:r w:rsidRPr="00FC5566">
        <w:rPr>
          <w:kern w:val="2"/>
        </w:rPr>
        <w:tab/>
        <w:t>The licensed manager shall ensure a pricing structure that is consistent with prices in the general proximity of the building or property housing the assigned vending facility. If there is a complaint about pricing, the licensed manager and RSMA will jointly conduct a market based analysis comparing like products at three convenience stores. The licensed manager’s prices shall not be more than 10 percent higher than the average prices at the convenience stores. If the permit or interagency agreement requires prior notice to the building before making price increases, the licensed manager will work with their assigned RSMA to provide prior notice to the building in accordance with the permit or interagency agreement before implementing price increases.</w:t>
      </w:r>
    </w:p>
    <w:p w14:paraId="0093C27B"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8.</w:t>
      </w:r>
      <w:r w:rsidRPr="00FC5566">
        <w:rPr>
          <w:kern w:val="2"/>
        </w:rPr>
        <w:tab/>
        <w:t>The licensed manager shall ensure that the vending facility is maintained in a clean and attractive condition. Managers must dress and maintain a level of personal hygiene which will convey a positive public image and in a manner that is consistent with health and safety regulations and which conforms to the dress code of the host facility (grantor). This dress code must be non-discriminatory.</w:t>
      </w:r>
    </w:p>
    <w:p w14:paraId="3F988E26"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9.</w:t>
      </w:r>
      <w:r w:rsidRPr="00FC5566">
        <w:rPr>
          <w:kern w:val="2"/>
        </w:rPr>
        <w:tab/>
        <w:t>The net proceeds of the vending facility will be the income of the licensed manager and shall be appropriately calculated, including all commissions, rebates, and bonuses. If applicable, set-aside assessments shall be paid when due and determined in accordance with the schedule in effect.</w:t>
      </w:r>
    </w:p>
    <w:p w14:paraId="5A921AC0"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10.</w:t>
      </w:r>
      <w:r w:rsidRPr="00FC5566">
        <w:rPr>
          <w:kern w:val="2"/>
        </w:rPr>
        <w:tab/>
        <w:t>All reports as outlined in the BEP Manual will be promptly filed by the licensed manager or their accountant and any associated financial obligations shall be paid. Any other financial indebtedness incurred, directly or indirectly, as a result of the operation of the vending facility is the responsibility of the licensed manager and shall be liquidated unless satisfactory arrangements have been made with the creditor or creditors to do otherwise.</w:t>
      </w:r>
    </w:p>
    <w:p w14:paraId="32191FFA"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11.</w:t>
      </w:r>
      <w:r w:rsidRPr="00FC5566">
        <w:rPr>
          <w:kern w:val="2"/>
        </w:rPr>
        <w:tab/>
        <w:t>The licensed manager will maintain financial records and all documentation for a period of 5 years unless otherwise required by law or requested in writing by a federal, state, or local regulatory agency.</w:t>
      </w:r>
    </w:p>
    <w:p w14:paraId="08EC86B3"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12.</w:t>
      </w:r>
      <w:r w:rsidRPr="00FC5566">
        <w:rPr>
          <w:kern w:val="2"/>
        </w:rPr>
        <w:tab/>
        <w:t>It is the responsibility of the licensed manager at all times to maintain the same level of inventory as that of the initial inventory provided by the SLA. Additionally, the licensed manager must assure that there is stock of adequate variety and amount to meet the customary demands of the facility. It is understood that inventory levels may be reduced during times of partial or total business interruption. Since the inventory is owned by the state, it may be audited by the SLA at any time.</w:t>
      </w:r>
    </w:p>
    <w:p w14:paraId="74F84270"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br w:type="page"/>
      </w:r>
    </w:p>
    <w:p w14:paraId="7319B27A"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lastRenderedPageBreak/>
        <w:t>13.</w:t>
      </w:r>
      <w:r w:rsidRPr="00FC5566">
        <w:rPr>
          <w:kern w:val="2"/>
        </w:rPr>
        <w:tab/>
        <w:t>In operating all facets of the vending facility, the licensed manager will not discriminate on the basis of sex, age, physical or mental impairment, creed, race, color, national origin, or political affiliation, and will comply with all applicable federal and state laws related to discrimination.</w:t>
      </w:r>
    </w:p>
    <w:p w14:paraId="3BE0F2D3"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14.</w:t>
      </w:r>
      <w:r w:rsidRPr="00FC5566">
        <w:rPr>
          <w:kern w:val="2"/>
        </w:rPr>
        <w:tab/>
        <w:t>All licensed managers must read and acknowledge receipt in writing of this policy. Failure to comply with this policy will result in immediate suspension of the Agreement for Operations pending investigation with possible revocation of licensure.</w:t>
      </w:r>
    </w:p>
    <w:p w14:paraId="3FD04FE9"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15.</w:t>
      </w:r>
      <w:r w:rsidRPr="00FC5566">
        <w:rPr>
          <w:kern w:val="2"/>
        </w:rPr>
        <w:tab/>
        <w:t>The vendor, at their own expense, will purchase and maintain general liability and any other business insurance coverage, based on all requirements and at financial levels determined by the Louisiana Department of Risk Management, Louisiana Works/Louisiana Rehabilitation Services and/or the facility host, whichever is greater. If a blind vendor chooses not to agree to the host’s insurance requirements, then they will not be permitted into the location. If the vendor is currently in the location and insurance requirements change, when the facility agreement is renewed, either the vendor must agree to the new insurance requirements or they shall voluntarily surrender the Manager’s Agreement Certificate for the location.</w:t>
      </w:r>
    </w:p>
    <w:p w14:paraId="35966D85"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23:3022.</w:t>
      </w:r>
    </w:p>
    <w:p w14:paraId="66F452EB"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Rehabilitation Services, LR 25:530 (March 1999), amended by the Workforce Commission, Rehabilitation Services, LR 41:2178 (October 2015), amended by Louisiana Works, Rehabilitation Services, LR 52:1378 (August 2026).</w:t>
      </w:r>
    </w:p>
    <w:p w14:paraId="461DE5C6"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388" w:name="_Toc475613197"/>
      <w:bookmarkStart w:id="389" w:name="_Toc257205966"/>
      <w:bookmarkStart w:id="390" w:name="_Toc248893843"/>
      <w:bookmarkStart w:id="391" w:name="_Toc215471667"/>
      <w:r w:rsidRPr="00FC5566">
        <w:rPr>
          <w:b/>
          <w:kern w:val="2"/>
        </w:rPr>
        <w:t>§517.</w:t>
      </w:r>
      <w:r w:rsidRPr="00FC5566">
        <w:rPr>
          <w:b/>
          <w:kern w:val="2"/>
        </w:rPr>
        <w:tab/>
        <w:t>Management Services Provided by the State Licensing Agency</w:t>
      </w:r>
      <w:bookmarkEnd w:id="388"/>
      <w:bookmarkEnd w:id="389"/>
      <w:bookmarkEnd w:id="390"/>
      <w:bookmarkEnd w:id="391"/>
    </w:p>
    <w:p w14:paraId="0404C60F"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iCs/>
          <w:kern w:val="2"/>
        </w:rPr>
        <w:t>A.</w:t>
      </w:r>
      <w:r w:rsidRPr="00FC5566">
        <w:rPr>
          <w:iCs/>
          <w:kern w:val="2"/>
        </w:rPr>
        <w:tab/>
      </w:r>
      <w:r w:rsidRPr="00FC5566">
        <w:rPr>
          <w:i/>
          <w:kern w:val="2"/>
        </w:rPr>
        <w:t>Management Services</w:t>
      </w:r>
      <w:r w:rsidRPr="00FC5566">
        <w:rPr>
          <w:kern w:val="2"/>
        </w:rPr>
        <w:t xml:space="preserve"> means supervision, inspection, quality control, consultation, accounting, regulating, in-service training, and other related services provided on a systematic basis to support and improve vending facilities operated by blind vendors. Management services does not include those services or costs which pertain to the on-going operation of an individual facility after the initial establishment period.</w:t>
      </w:r>
    </w:p>
    <w:p w14:paraId="462EDADB"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49:664.4 and R.S. 36:477.</w:t>
      </w:r>
    </w:p>
    <w:p w14:paraId="0E8EE040"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Rehabilitation Services, LR 25:531 (March 1999), amended LR 27:1561 (September 2001), amended by Louisiana Works, Rehabilitation Services, LR 52:1380 (August 2026).</w:t>
      </w:r>
    </w:p>
    <w:p w14:paraId="1A3D9ED1"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§519.</w:t>
      </w:r>
      <w:r w:rsidRPr="00FC5566">
        <w:rPr>
          <w:b/>
          <w:kern w:val="2"/>
        </w:rPr>
        <w:tab/>
        <w:t>State Licensing Agency Responsibilities for Business Enterprise Operations</w:t>
      </w:r>
    </w:p>
    <w:p w14:paraId="490267CE"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C.</w:t>
      </w:r>
      <w:r w:rsidRPr="00FC5566">
        <w:rPr>
          <w:kern w:val="2"/>
        </w:rPr>
        <w:tab/>
        <w:t>…</w:t>
      </w:r>
    </w:p>
    <w:p w14:paraId="7C55264B"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D.</w:t>
      </w:r>
      <w:r w:rsidRPr="00FC5566">
        <w:rPr>
          <w:rFonts w:eastAsia="Calibri"/>
          <w:kern w:val="2"/>
        </w:rPr>
        <w:tab/>
        <w:t>Initial Inventory and Supplies. The SLA shall provide for initial inventory of merchandise as needed for up to six months for resale and for operating a business enterprise by a licensed manager.</w:t>
      </w:r>
    </w:p>
    <w:p w14:paraId="69AB10FE"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E.</w:t>
      </w:r>
      <w:r w:rsidRPr="00FC5566">
        <w:rPr>
          <w:rFonts w:eastAsia="Calibri"/>
          <w:kern w:val="2"/>
        </w:rPr>
        <w:tab/>
        <w:t>Assignment, Transfer of Licensed Managers. The SLA will carry out assignment and transfer of licensed managers through business enterprise vacancy announcements, verification of “good standing”, and establishing and convening a screening committee as follows.</w:t>
      </w:r>
    </w:p>
    <w:p w14:paraId="62B7C2F4"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1.</w:t>
      </w:r>
      <w:r w:rsidRPr="00FC5566">
        <w:rPr>
          <w:rFonts w:eastAsia="Calibri"/>
          <w:kern w:val="2"/>
        </w:rPr>
        <w:tab/>
        <w:t xml:space="preserve">Business Enterprise Vacancy Announcement. The selection process for Randolph-Sheppard Managers establishes criteria for the selection of a facility manager in </w:t>
      </w:r>
      <w:r w:rsidRPr="00FC5566">
        <w:rPr>
          <w:rFonts w:eastAsia="Calibri"/>
          <w:kern w:val="2"/>
        </w:rPr>
        <w:br w:type="column"/>
      </w:r>
      <w:r w:rsidRPr="00FC5566">
        <w:rPr>
          <w:rFonts w:eastAsia="Calibri"/>
          <w:kern w:val="2"/>
        </w:rPr>
        <w:t>order to provide a fair, unbiased, and impartial process for the selection, transfer, and promotion of licensed managers for Randolph-Sheppard vending facilities. To qualify for the selection process, a blind vendor must be considered in “good standing” as defined in the definition section of this document.</w:t>
      </w:r>
    </w:p>
    <w:p w14:paraId="3EBEECF2"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2.</w:t>
      </w:r>
      <w:r w:rsidRPr="00FC5566">
        <w:rPr>
          <w:rFonts w:eastAsia="Calibri"/>
          <w:kern w:val="2"/>
        </w:rPr>
        <w:tab/>
        <w:t>Screening Committee and Recommendation for Assignment. The screening committee shall be established and convened by the SLA. The screening committee will consider applicants for assignment and transfer. The committee shall make recommendation(s) to the SLA or designee. The screening committee shall consist of, at minimum:</w:t>
      </w:r>
    </w:p>
    <w:p w14:paraId="3D94E5BE"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a.</w:t>
      </w:r>
      <w:r w:rsidRPr="00FC5566">
        <w:rPr>
          <w:rFonts w:eastAsia="Calibri"/>
          <w:kern w:val="2"/>
        </w:rPr>
        <w:tab/>
        <w:t>Two members of the Louisiana Blind Vendor’s Elected Committee, selected by the SLA, that have no interest in the assignment. The selection will also make every effort to ensure there is no conflict of interest;</w:t>
      </w:r>
    </w:p>
    <w:p w14:paraId="143E7E19"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b.</w:t>
      </w:r>
      <w:r w:rsidRPr="00FC5566">
        <w:rPr>
          <w:rFonts w:eastAsia="Calibri"/>
          <w:kern w:val="2"/>
        </w:rPr>
        <w:tab/>
        <w:t>The Randolph-Sheppard Management Analyst for new locations or if not available another member of the SLA; and</w:t>
      </w:r>
    </w:p>
    <w:p w14:paraId="3C7830EA"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c.</w:t>
      </w:r>
      <w:r w:rsidRPr="00FC5566">
        <w:rPr>
          <w:rFonts w:eastAsia="Calibri"/>
          <w:kern w:val="2"/>
        </w:rPr>
        <w:tab/>
        <w:t>The Randolph-Sheppard Program Manager, who shall act as the chairperson of the Screening Committee and be the responsible party for ensuring that all selection policies and procedures are followed.</w:t>
      </w:r>
    </w:p>
    <w:p w14:paraId="69F964CF"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F.</w:t>
      </w:r>
      <w:r w:rsidRPr="00FC5566">
        <w:rPr>
          <w:rFonts w:eastAsia="Calibri"/>
          <w:kern w:val="2"/>
        </w:rPr>
        <w:tab/>
        <w:t xml:space="preserve">Vending Machine Income. Vending machine income retained by the SLA will be used in accordance with applicable federal [34 CFR 395.8(c)] and state [LAC 67:VII., Chapter 21] regulations. </w:t>
      </w:r>
    </w:p>
    <w:p w14:paraId="1F9D574E"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G.</w:t>
      </w:r>
      <w:r w:rsidRPr="00FC5566">
        <w:rPr>
          <w:rFonts w:eastAsia="Calibri"/>
          <w:kern w:val="2"/>
        </w:rPr>
        <w:tab/>
        <w:t>Due Process. The SLA provides procedures for fair hearings of licensed managers’ grievances. These procedures provide each licensed manager the opportunity to seek remediation of dissatisfaction with any SLA action arising from the operation of the BEP and are set forth in the following.</w:t>
      </w:r>
    </w:p>
    <w:p w14:paraId="722B19B5"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1.</w:t>
      </w:r>
      <w:r w:rsidRPr="00FC5566">
        <w:rPr>
          <w:rFonts w:eastAsia="Calibri"/>
          <w:kern w:val="2"/>
        </w:rPr>
        <w:tab/>
        <w:t>Voluntary Informal Administrative Review. It is the policy of the SLA to resolve complaints in an expeditious and facilitative manner. These resolutions shall be accomplished through the voluntary informal administrative review process whenever possible. A licensed manager has the right to request a full evidentiary hearing at any time within established due process time lines, which is 30 days from the notification received by the licensed manager.</w:t>
      </w:r>
    </w:p>
    <w:p w14:paraId="7A8634CE"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a.</w:t>
      </w:r>
      <w:r w:rsidRPr="00FC5566">
        <w:rPr>
          <w:rFonts w:eastAsia="Calibri"/>
          <w:kern w:val="2"/>
        </w:rPr>
        <w:tab/>
        <w:t>Information administrative reviews are conducted by the Randolph-Sheppard Program Manager.</w:t>
      </w:r>
    </w:p>
    <w:p w14:paraId="09A4AD03"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b.</w:t>
      </w:r>
      <w:r w:rsidRPr="00FC5566">
        <w:rPr>
          <w:rFonts w:eastAsia="Calibri"/>
          <w:kern w:val="2"/>
        </w:rPr>
        <w:tab/>
        <w:t>The information administrative review is to be completed within 45 calendar days of receipt of the written complaint to the appropriate SLA staff person.</w:t>
      </w:r>
    </w:p>
    <w:p w14:paraId="0D8E0E68"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c.</w:t>
      </w:r>
      <w:r w:rsidRPr="00FC5566">
        <w:rPr>
          <w:rFonts w:eastAsia="Calibri"/>
          <w:kern w:val="2"/>
        </w:rPr>
        <w:tab/>
        <w:t>The results of the informal administrative review are to be reported in writing to the BEP administrator, with a copy going to the licensed manager affected within 30 working days.</w:t>
      </w:r>
    </w:p>
    <w:p w14:paraId="1DCB55BE"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2.</w:t>
      </w:r>
      <w:r w:rsidRPr="00FC5566">
        <w:rPr>
          <w:rFonts w:eastAsia="Calibri"/>
          <w:kern w:val="2"/>
        </w:rPr>
        <w:tab/>
        <w:t>Full Evidentiary Hearings. Licensed managers have the right to a full evidentiary hearing to resolve dissatisfaction with any SLA action arising from the operation or administration of the Business Enterprises Program. Evidentiary hearings shall be conducted as set forth in the following.</w:t>
      </w:r>
    </w:p>
    <w:p w14:paraId="1CA52913"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a.</w:t>
      </w:r>
      <w:r w:rsidRPr="00FC5566">
        <w:rPr>
          <w:rFonts w:eastAsia="Calibri"/>
          <w:kern w:val="2"/>
        </w:rPr>
        <w:tab/>
        <w:t xml:space="preserve">If the complaint cannot be resolved with an informal administrative review, or the licensed manager declines an informal administrative review, the licensed manager may request a full evidentiary hearing. The request </w:t>
      </w:r>
      <w:r w:rsidRPr="00FC5566">
        <w:rPr>
          <w:rFonts w:eastAsia="Calibri"/>
          <w:kern w:val="2"/>
        </w:rPr>
        <w:br w:type="page"/>
      </w:r>
    </w:p>
    <w:p w14:paraId="07258995" w14:textId="77777777" w:rsidR="00FC5566" w:rsidRPr="00FC5566" w:rsidRDefault="00FC5566" w:rsidP="00FC5566">
      <w:pPr>
        <w:tabs>
          <w:tab w:val="left" w:pos="907"/>
        </w:tabs>
        <w:jc w:val="both"/>
        <w:outlineLvl w:val="5"/>
        <w:rPr>
          <w:rFonts w:eastAsia="Calibri"/>
          <w:kern w:val="2"/>
        </w:rPr>
      </w:pPr>
      <w:r w:rsidRPr="00FC5566">
        <w:rPr>
          <w:rFonts w:eastAsia="Calibri"/>
          <w:kern w:val="2"/>
        </w:rPr>
        <w:lastRenderedPageBreak/>
        <w:t>for a full evidentiary hearing must be made to the BEP Administrator in writing within 45 calendar days from the date the licensed manager receives the written notification of adverse action if the Manager chooses not to pursue informal administrative review, or the written report of the information administrative review. The request for a full evidentiary hearing is to be sent by email, certified mail, or vendor’s preferred method of communication.</w:t>
      </w:r>
    </w:p>
    <w:p w14:paraId="461BDE23"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b.</w:t>
      </w:r>
      <w:r w:rsidRPr="00FC5566">
        <w:rPr>
          <w:rFonts w:eastAsia="Calibri"/>
          <w:kern w:val="2"/>
        </w:rPr>
        <w:tab/>
        <w:t>The licensed manager may be represented in the evidentiary hearing by legal counsel, or other representation of the licensed manager’s choice, and at the licensed manager’s expense.</w:t>
      </w:r>
    </w:p>
    <w:p w14:paraId="3625C9B8"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c.</w:t>
      </w:r>
      <w:r w:rsidRPr="00FC5566">
        <w:rPr>
          <w:rFonts w:eastAsia="Calibri"/>
          <w:kern w:val="2"/>
        </w:rPr>
        <w:tab/>
        <w:t>Reader services or other reasonable accommodations will be arranged by the SLA upon the request of the licensed manager. These accommodations should be requested at least two business days prior to the hearing. The hearing will be scheduled, within 60 days of receipt of the request for a Full Evidentiary Hearing, by the SLA for a time and place convenient and accessible to the licensed manager and the SLA staff involved in the hearing. The licensed manager will be notified in writing by their preferred method of communication of the place and time of the hearing and the right to be represented by legal or other counsel.</w:t>
      </w:r>
    </w:p>
    <w:p w14:paraId="62B86BFD"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d.</w:t>
      </w:r>
      <w:r w:rsidRPr="00FC5566">
        <w:rPr>
          <w:rFonts w:eastAsia="Calibri"/>
          <w:kern w:val="2"/>
        </w:rPr>
        <w:tab/>
        <w:t>The hearing will be conducted by an impartial and qualified official with no involvement or vested interest in the SLA, action at issue, or with the operation of the affected business enterprise. The presiding officer will conduct the hearing in accordance with state and/or federal laws and rules governing the conduct of such proceedings. In any case, the hearing will be conducted in a manner that avoids delay, maintains order, and provides for a full recording and reporting of the proceedings so that a full and accurate disclosure of the facts and issues occurs.</w:t>
      </w:r>
    </w:p>
    <w:p w14:paraId="5813A213"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e.</w:t>
      </w:r>
      <w:r w:rsidRPr="00FC5566">
        <w:rPr>
          <w:rFonts w:eastAsia="Calibri"/>
          <w:kern w:val="2"/>
        </w:rPr>
        <w:tab/>
        <w:t>The hearing officer's determination will be based upon the facts as presented by both parties and upon interpretation of applicable law, and the existing rules of the SLA. If the hearing is held virtually will be recorded. In person hearings will include the services of a licensed Court Reporter.</w:t>
      </w:r>
    </w:p>
    <w:p w14:paraId="043D9297"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f.</w:t>
      </w:r>
      <w:r w:rsidRPr="00FC5566">
        <w:rPr>
          <w:rFonts w:eastAsia="Calibri"/>
          <w:kern w:val="2"/>
        </w:rPr>
        <w:tab/>
        <w:t>The hearing officer will determine the relevant issues and facts to be ruled upon.</w:t>
      </w:r>
    </w:p>
    <w:p w14:paraId="492D5C9C"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g.</w:t>
      </w:r>
      <w:r w:rsidRPr="00FC5566">
        <w:rPr>
          <w:rFonts w:eastAsia="Calibri"/>
          <w:kern w:val="2"/>
        </w:rPr>
        <w:tab/>
        <w:t>The hearing officer shall make a written report of the evidence presented, the laws and rules used in determining a resolution, and the resolution itself. This report shall be issued to the BEP Administrator and the licensed manager, or their authorized representative within 30 calendar days of the conclusion of the full evidentiary hearing.</w:t>
      </w:r>
    </w:p>
    <w:p w14:paraId="6C469786"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h.</w:t>
      </w:r>
      <w:r w:rsidRPr="00FC5566">
        <w:rPr>
          <w:rFonts w:eastAsia="Calibri"/>
          <w:kern w:val="2"/>
        </w:rPr>
        <w:tab/>
        <w:t>If the licensed manager is dissatisfied with the decision, they may request that the Secretary of the United States Department of Education convene an arbitration panel to review the decision.</w:t>
      </w:r>
    </w:p>
    <w:p w14:paraId="6B2FDB20"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3.</w:t>
      </w:r>
      <w:r w:rsidRPr="00FC5566">
        <w:rPr>
          <w:rFonts w:eastAsia="Calibri"/>
          <w:kern w:val="2"/>
        </w:rPr>
        <w:tab/>
        <w:t>Arbitration of Complaints after the Evidentiary Hearing. The licensed manager has the right to file a request for arbitration with the Secretary of the United States Department of Education if dissatisfied with the outcome of the evidentiary hearing. By filing a complaint with the secretary, the licensed manager consents to the release of information necessary for the conduct of an ad hoc arbitration panel.</w:t>
      </w:r>
    </w:p>
    <w:p w14:paraId="25F646C0"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H.</w:t>
      </w:r>
      <w:r w:rsidRPr="00FC5566">
        <w:rPr>
          <w:rFonts w:eastAsia="Calibri"/>
          <w:kern w:val="2"/>
        </w:rPr>
        <w:tab/>
        <w:t xml:space="preserve">Enforcement Randolph Sheppard Priority. The SLA is responsible for notifying entities of the Randolph Sheppard </w:t>
      </w:r>
      <w:r w:rsidRPr="00FC5566">
        <w:rPr>
          <w:rFonts w:eastAsia="Calibri"/>
          <w:kern w:val="2"/>
        </w:rPr>
        <w:t>priority to operate vending services as specified in R.S. 23:3023. If there is a dispute that cannot be resolved by the parties, the SLA will file for a full evidentiary hearing, within 180 days of notifying the other party of the Randolph Sheppard priority, as follows</w:t>
      </w:r>
    </w:p>
    <w:p w14:paraId="7404EB6B"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1.</w:t>
      </w:r>
      <w:r w:rsidRPr="00FC5566">
        <w:rPr>
          <w:rFonts w:eastAsia="Calibri"/>
          <w:kern w:val="2"/>
        </w:rPr>
        <w:tab/>
        <w:t>Full Evidentiary Hearings. A full evidentiary hearing shall be conducted by an impartial and qualified official designated by Louisiana Rehabilitation Services with no involvement or vested interest in the dispute at issue.</w:t>
      </w:r>
    </w:p>
    <w:p w14:paraId="7BC8667F"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a.</w:t>
      </w:r>
      <w:r w:rsidRPr="00FC5566">
        <w:rPr>
          <w:rFonts w:eastAsia="Calibri"/>
          <w:kern w:val="2"/>
        </w:rPr>
        <w:tab/>
        <w:t>The hearing officer shall make a written report of the evidence presented, the laws and rules used in determining a resolution, and the resolution itself.</w:t>
      </w:r>
    </w:p>
    <w:p w14:paraId="52111570"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b.</w:t>
      </w:r>
      <w:r w:rsidRPr="00FC5566">
        <w:rPr>
          <w:rFonts w:eastAsia="Calibri"/>
          <w:kern w:val="2"/>
        </w:rPr>
        <w:tab/>
        <w:t>Report shall be issued to all parties within 30 calendar days of the conclusion of the full evidentiary hearing.</w:t>
      </w:r>
    </w:p>
    <w:p w14:paraId="74705AE7"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c.</w:t>
      </w:r>
      <w:r w:rsidRPr="00FC5566">
        <w:rPr>
          <w:rFonts w:eastAsia="Calibri"/>
          <w:kern w:val="2"/>
        </w:rPr>
        <w:tab/>
        <w:t>The decision shall be final and conclusive unless fraudulent, or unless either party institutes a suit pursuant to R.S. 23:3023(G).</w:t>
      </w:r>
    </w:p>
    <w:p w14:paraId="155C3B5E"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I.</w:t>
      </w:r>
      <w:r w:rsidRPr="00FC5566">
        <w:rPr>
          <w:rFonts w:eastAsia="Calibri"/>
          <w:kern w:val="2"/>
        </w:rPr>
        <w:tab/>
        <w:t>Implementation of R.S. 23:3023(D): Employment and Training Targets for Persons who are Blind or Otherwise Disabled.</w:t>
      </w:r>
    </w:p>
    <w:p w14:paraId="0E5E4AE9"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1.</w:t>
      </w:r>
      <w:r w:rsidRPr="00FC5566">
        <w:rPr>
          <w:rFonts w:eastAsia="Calibri"/>
          <w:kern w:val="2"/>
        </w:rPr>
        <w:tab/>
        <w:t>Requirement applies to:</w:t>
      </w:r>
    </w:p>
    <w:p w14:paraId="526C843E"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a.</w:t>
      </w:r>
      <w:r w:rsidRPr="00FC5566">
        <w:rPr>
          <w:rFonts w:eastAsia="Calibri"/>
          <w:kern w:val="2"/>
        </w:rPr>
        <w:tab/>
        <w:t>each blind vendor who employs greater than 10 employees and operates a BEP facility under an agreement ratified or issued after the promulgation of this Subsection;</w:t>
      </w:r>
    </w:p>
    <w:p w14:paraId="281A0FD3"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b.</w:t>
      </w:r>
      <w:r w:rsidRPr="00FC5566">
        <w:rPr>
          <w:rFonts w:eastAsia="Calibri"/>
          <w:kern w:val="2"/>
        </w:rPr>
        <w:tab/>
        <w:t>businesses that provide services to BEP facilities that employ greater than 10 employees and operate under a contract ratified or issued after the promulgation of this Subsection.</w:t>
      </w:r>
    </w:p>
    <w:p w14:paraId="0ADDC834"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2.</w:t>
      </w:r>
      <w:r w:rsidRPr="00FC5566">
        <w:rPr>
          <w:rFonts w:eastAsia="Calibri"/>
          <w:kern w:val="2"/>
        </w:rPr>
        <w:tab/>
        <w:t>Employer Guidelines. Specific targets will be determined by the employer and may include:</w:t>
      </w:r>
    </w:p>
    <w:p w14:paraId="79562F5B"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a.</w:t>
      </w:r>
      <w:r w:rsidRPr="00FC5566">
        <w:rPr>
          <w:rFonts w:eastAsia="Calibri"/>
          <w:kern w:val="2"/>
        </w:rPr>
        <w:tab/>
        <w:t>establishing numerical hiring goals to include individuals with disabilities and incorporate these goals in their hiring practices;</w:t>
      </w:r>
    </w:p>
    <w:p w14:paraId="7A63A64C"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b.</w:t>
      </w:r>
      <w:r w:rsidRPr="00FC5566">
        <w:rPr>
          <w:rFonts w:eastAsia="Calibri"/>
          <w:kern w:val="2"/>
        </w:rPr>
        <w:tab/>
        <w:t>engaging in outreach activities and targeted recruitment of individuals with disabilities;</w:t>
      </w:r>
    </w:p>
    <w:p w14:paraId="5BEFB5B5"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c.</w:t>
      </w:r>
      <w:r w:rsidRPr="00FC5566">
        <w:rPr>
          <w:rFonts w:eastAsia="Calibri"/>
          <w:kern w:val="2"/>
        </w:rPr>
        <w:tab/>
        <w:t>utilizing services provided by Louisiana Rehabilitation Services to access a qualified pool of candidates for on-the-job training and temporary and permanent employment opportunities.</w:t>
      </w:r>
    </w:p>
    <w:p w14:paraId="161AC396"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3.</w:t>
      </w:r>
      <w:r w:rsidRPr="00FC5566">
        <w:rPr>
          <w:rFonts w:eastAsia="Calibri"/>
          <w:kern w:val="2"/>
        </w:rPr>
        <w:tab/>
        <w:t>LRS’s role will be to govern and implement initiatives to provide education, outreach and information regarding effective business practices that foster employment of blind individuals or individuals who have other disabilities. The expected outcome of these strategies, is to increase job opportunities for individuals who are blind or have other disabilities.</w:t>
      </w:r>
    </w:p>
    <w:p w14:paraId="1BCE1B60"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rFonts w:eastAsia="Calibri"/>
          <w:kern w:val="2"/>
          <w:sz w:val="18"/>
        </w:rPr>
      </w:pPr>
      <w:r w:rsidRPr="00FC5566">
        <w:rPr>
          <w:rFonts w:eastAsia="Calibri"/>
          <w:kern w:val="2"/>
          <w:sz w:val="18"/>
        </w:rPr>
        <w:t>AUTHORITY NOTE:</w:t>
      </w:r>
      <w:r w:rsidRPr="00FC5566">
        <w:rPr>
          <w:rFonts w:eastAsia="Calibri"/>
          <w:kern w:val="2"/>
          <w:sz w:val="18"/>
        </w:rPr>
        <w:tab/>
        <w:t>Promulgated in accordance with R.S. 23:3022.</w:t>
      </w:r>
    </w:p>
    <w:p w14:paraId="4CFCE919"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rFonts w:eastAsia="Calibri"/>
          <w:kern w:val="2"/>
          <w:sz w:val="18"/>
        </w:rPr>
        <w:t>HISTORICAL NOTE:</w:t>
      </w:r>
      <w:r w:rsidRPr="00FC5566">
        <w:rPr>
          <w:rFonts w:eastAsia="Calibri"/>
          <w:kern w:val="2"/>
          <w:sz w:val="18"/>
        </w:rPr>
        <w:tab/>
        <w:t>Promulgated by the Department of Social Services, Office of Rehabilitation Services, LR 25:532 (March 1999), amended by the Workforce Commission, Rehabilitation Services, LR 41:1312 (July 2015), amended by the Workforce Commission, Rehabilitation Services, LR 41:2178 (October 2015)</w:t>
      </w:r>
      <w:r w:rsidRPr="00FC5566">
        <w:rPr>
          <w:kern w:val="2"/>
          <w:sz w:val="18"/>
        </w:rPr>
        <w:t>, amended by Louisiana Works, Rehabilitation Services, LR 52:1380 (August 2026).</w:t>
      </w:r>
    </w:p>
    <w:p w14:paraId="1D8738E7"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§521.</w:t>
      </w:r>
      <w:r w:rsidRPr="00FC5566">
        <w:rPr>
          <w:b/>
          <w:kern w:val="2"/>
        </w:rPr>
        <w:tab/>
        <w:t>Licensed Managers</w:t>
      </w:r>
    </w:p>
    <w:p w14:paraId="679EC112"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A.</w:t>
      </w:r>
      <w:r w:rsidRPr="00FC5566">
        <w:rPr>
          <w:rFonts w:eastAsia="Calibri"/>
          <w:kern w:val="2"/>
        </w:rPr>
        <w:tab/>
        <w:t>Licensing Requirements for Operating a Business Enterprise</w:t>
      </w:r>
    </w:p>
    <w:p w14:paraId="5061B07F"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1.</w:t>
      </w:r>
      <w:r w:rsidRPr="00FC5566">
        <w:rPr>
          <w:rFonts w:eastAsia="Calibri"/>
          <w:kern w:val="2"/>
        </w:rPr>
        <w:tab/>
        <w:t xml:space="preserve">Issuance and Conditions of License. A license shall be issued by the SLA in accordance with federal regulations making the individual eligible to operate a business enterprise. The license shall be prominently displayed in the </w:t>
      </w:r>
      <w:r w:rsidRPr="00FC5566">
        <w:rPr>
          <w:rFonts w:eastAsia="Calibri"/>
          <w:kern w:val="2"/>
        </w:rPr>
        <w:lastRenderedPageBreak/>
        <w:t>licensed manager’s business enterprise. The license remains effective for an indefinite length of time, unless terminated, suspended, or revoked by the SLA in accordance with state and federal regulations. A license issued to a qualified individual is non-transferable. (34 CFR 395.7) Requirements for the issuance of a BEP license are that the individual:</w:t>
      </w:r>
    </w:p>
    <w:p w14:paraId="4EBCD3A0"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a.</w:t>
      </w:r>
      <w:r w:rsidRPr="00FC5566">
        <w:rPr>
          <w:rFonts w:eastAsia="Calibri"/>
          <w:kern w:val="2"/>
        </w:rPr>
        <w:tab/>
        <w:t>must be blind as verified by documentation (34 CFR 395.7);</w:t>
      </w:r>
    </w:p>
    <w:p w14:paraId="3D0F72A6"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b.</w:t>
      </w:r>
      <w:r w:rsidRPr="00FC5566">
        <w:rPr>
          <w:rFonts w:eastAsia="Calibri"/>
          <w:kern w:val="2"/>
        </w:rPr>
        <w:tab/>
        <w:t xml:space="preserve">must be a U.S. citizen. Birth certificate or other applicable documentation must be submitted with application (34 CFR 395.7); </w:t>
      </w:r>
    </w:p>
    <w:p w14:paraId="14AE15C3"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c.</w:t>
      </w:r>
      <w:r w:rsidRPr="00FC5566">
        <w:rPr>
          <w:rFonts w:eastAsia="Calibri"/>
          <w:kern w:val="2"/>
        </w:rPr>
        <w:tab/>
        <w:t>must be recommended by the RSMA and approved by the RSPM.</w:t>
      </w:r>
    </w:p>
    <w:p w14:paraId="758589F1"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2.</w:t>
      </w:r>
      <w:r w:rsidRPr="00FC5566">
        <w:rPr>
          <w:rFonts w:eastAsia="Calibri"/>
          <w:kern w:val="2"/>
        </w:rPr>
        <w:tab/>
        <w:t>Termination of Agreement or Removal from an Enterprise. The SLA may terminate a manager's agreement and/or remove the licensed manager from operation of a business enterprise for cause shown. Termination of a manager's agreement or removal from operation of a business enterprise does not necessarily mean that the manager’s license will be suspended or terminated. The licensed manager has the right to a full evidentiary hearing when dissatisfied with any SLA action in accordance with BEP, state, and federal regulations.</w:t>
      </w:r>
    </w:p>
    <w:p w14:paraId="1F09D3EB"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3.</w:t>
      </w:r>
      <w:r w:rsidRPr="00FC5566">
        <w:rPr>
          <w:rFonts w:eastAsia="Calibri"/>
          <w:kern w:val="2"/>
        </w:rPr>
        <w:tab/>
        <w:t>Termination of License. A license automatically expires when the licensed manager is no longer a U.S. citizen, no longer meets the definition of legal blindness, surrenders their license, resigns from the BEP, or dies. A license may be terminated or suspended by the SLA, after affording the licensed manager an opportunity for a full evidentiary hearing, in accordance with BEP, state, and federal regulations. [34 CFR 395.7(b)]</w:t>
      </w:r>
    </w:p>
    <w:p w14:paraId="5713B177"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rFonts w:eastAsia="Calibri"/>
          <w:kern w:val="2"/>
          <w:sz w:val="18"/>
        </w:rPr>
      </w:pPr>
      <w:r w:rsidRPr="00FC5566">
        <w:rPr>
          <w:rFonts w:eastAsia="Calibri"/>
          <w:kern w:val="2"/>
          <w:sz w:val="18"/>
        </w:rPr>
        <w:t>AUTHORITY NOTE:</w:t>
      </w:r>
      <w:r w:rsidRPr="00FC5566">
        <w:rPr>
          <w:rFonts w:eastAsia="Calibri"/>
          <w:kern w:val="2"/>
          <w:sz w:val="18"/>
        </w:rPr>
        <w:tab/>
        <w:t>Promulgated in accordance with R.S. 49:664.4 and R.S. 36:477.</w:t>
      </w:r>
    </w:p>
    <w:p w14:paraId="298C0CEE"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rFonts w:eastAsia="Calibri"/>
          <w:kern w:val="2"/>
          <w:sz w:val="18"/>
        </w:rPr>
        <w:t>HISTORICAL NOTE:</w:t>
      </w:r>
      <w:r w:rsidRPr="00FC5566">
        <w:rPr>
          <w:rFonts w:eastAsia="Calibri"/>
          <w:kern w:val="2"/>
          <w:sz w:val="18"/>
        </w:rPr>
        <w:tab/>
        <w:t>Promulgated by the Department of Social Services, Office of Rehabilitation Services, LR 25:534 (March 1999)</w:t>
      </w:r>
      <w:r w:rsidRPr="00FC5566">
        <w:rPr>
          <w:kern w:val="2"/>
          <w:sz w:val="18"/>
        </w:rPr>
        <w:t>, amended by Louisiana Works, Rehabilitation Services, LR 52:1381 (August 2026).</w:t>
      </w:r>
    </w:p>
    <w:p w14:paraId="7CD8D31C"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§523.</w:t>
      </w:r>
      <w:r w:rsidRPr="00FC5566">
        <w:rPr>
          <w:b/>
          <w:kern w:val="2"/>
        </w:rPr>
        <w:tab/>
        <w:t>Operation Standards for Licensed Managers</w:t>
      </w:r>
    </w:p>
    <w:p w14:paraId="2527D268"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A.</w:t>
      </w:r>
      <w:r w:rsidRPr="00FC5566">
        <w:rPr>
          <w:rFonts w:eastAsia="Calibri"/>
          <w:kern w:val="2"/>
        </w:rPr>
        <w:tab/>
        <w:t>The licensed manager is expected to operate in accordance with the established rules and regulations of the BEP, within the terms of the licensed manager’s agreement with the SLA and the grantor's agreement, contract, or permit. The licensed manager may not act as an agent of the SLA. Specifically, the licensed manager will:</w:t>
      </w:r>
    </w:p>
    <w:p w14:paraId="03BFB5BA"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 - 2.</w:t>
      </w:r>
      <w:r w:rsidRPr="00FC5566">
        <w:rPr>
          <w:kern w:val="2"/>
        </w:rPr>
        <w:tab/>
        <w:t>…</w:t>
      </w:r>
    </w:p>
    <w:p w14:paraId="6CAB6128" w14:textId="77777777" w:rsidR="00FC5566" w:rsidRPr="00FC5566" w:rsidRDefault="00FC5566" w:rsidP="00FC5566">
      <w:pPr>
        <w:tabs>
          <w:tab w:val="left" w:pos="720"/>
          <w:tab w:val="left" w:pos="979"/>
          <w:tab w:val="left" w:pos="1152"/>
        </w:tabs>
        <w:ind w:firstLine="360"/>
        <w:jc w:val="both"/>
        <w:outlineLvl w:val="4"/>
        <w:rPr>
          <w:kern w:val="2"/>
        </w:rPr>
      </w:pPr>
      <w:r w:rsidRPr="00FC5566">
        <w:rPr>
          <w:rFonts w:eastAsia="Calibri"/>
          <w:kern w:val="2"/>
        </w:rPr>
        <w:t>3.</w:t>
      </w:r>
      <w:r w:rsidRPr="00FC5566">
        <w:rPr>
          <w:rFonts w:eastAsia="Calibri"/>
          <w:kern w:val="2"/>
        </w:rPr>
        <w:tab/>
        <w:t>dress and maintain a level of personal hygiene which will convey a positive public image consistent with the grantor’s location requirements and as stated in LAC 51:XXII, Chapter 9, Public Health – Sanitary Code;</w:t>
      </w:r>
    </w:p>
    <w:p w14:paraId="05BB2B67"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4.</w:t>
      </w:r>
      <w:r w:rsidRPr="00FC5566">
        <w:rPr>
          <w:rFonts w:eastAsia="Calibri"/>
          <w:kern w:val="2"/>
        </w:rPr>
        <w:tab/>
        <w:t>supervise employees in a manner that promotes quality customer service;</w:t>
      </w:r>
    </w:p>
    <w:p w14:paraId="787CC93C"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5.</w:t>
      </w:r>
      <w:r w:rsidRPr="00FC5566">
        <w:rPr>
          <w:rFonts w:eastAsia="Calibri"/>
          <w:kern w:val="2"/>
        </w:rPr>
        <w:tab/>
        <w:t>arrange for continued operation of the enterprise in the case of absences;</w:t>
      </w:r>
    </w:p>
    <w:p w14:paraId="6640F330"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6.</w:t>
      </w:r>
      <w:r w:rsidRPr="00FC5566">
        <w:rPr>
          <w:rFonts w:eastAsia="Calibri"/>
          <w:kern w:val="2"/>
        </w:rPr>
        <w:tab/>
        <w:t>maintain monthly business records of gross receipts, all purchases, and other expenses, and other records as established by the BEP;</w:t>
      </w:r>
    </w:p>
    <w:p w14:paraId="64BE63F5"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7.</w:t>
      </w:r>
      <w:r w:rsidRPr="00FC5566">
        <w:rPr>
          <w:rFonts w:eastAsia="Calibri"/>
          <w:kern w:val="2"/>
        </w:rPr>
        <w:tab/>
        <w:t>maintain and display current licenses and permits, including BEP license, in the business enterprise;</w:t>
      </w:r>
    </w:p>
    <w:p w14:paraId="770DA0F1"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8.</w:t>
      </w:r>
      <w:r w:rsidRPr="00FC5566">
        <w:rPr>
          <w:rFonts w:eastAsia="Calibri"/>
          <w:kern w:val="2"/>
        </w:rPr>
        <w:tab/>
        <w:t>complete and submit all required federal and state reports and payments for each business enterprise;</w:t>
      </w:r>
    </w:p>
    <w:p w14:paraId="60E42FD1"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9.</w:t>
      </w:r>
      <w:r w:rsidRPr="00FC5566">
        <w:rPr>
          <w:rFonts w:eastAsia="Calibri"/>
          <w:kern w:val="2"/>
        </w:rPr>
        <w:tab/>
        <w:t>comply with all regulations and laws governing the possession and/or use of firearms, weapons, alcohol and other drugs; and</w:t>
      </w:r>
    </w:p>
    <w:p w14:paraId="2D0B3EEB"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10.</w:t>
      </w:r>
      <w:r w:rsidRPr="00FC5566">
        <w:rPr>
          <w:rFonts w:eastAsia="Calibri"/>
          <w:kern w:val="2"/>
        </w:rPr>
        <w:tab/>
        <w:t>maintain appropriate professional relationships with suppliers, customers, and building officials as in §523.B-D.</w:t>
      </w:r>
    </w:p>
    <w:p w14:paraId="2379769E"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B.</w:t>
      </w:r>
      <w:r w:rsidRPr="00FC5566">
        <w:rPr>
          <w:rFonts w:eastAsia="Calibri"/>
          <w:kern w:val="2"/>
        </w:rPr>
        <w:tab/>
        <w:t>Relationships with Suppliers/Purveyors. The licensed manager is free to choose the suppliers from whom they are to make purchases.</w:t>
      </w:r>
    </w:p>
    <w:p w14:paraId="05C85C8D"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C.</w:t>
      </w:r>
      <w:r w:rsidRPr="00FC5566">
        <w:rPr>
          <w:rFonts w:eastAsia="Calibri"/>
          <w:kern w:val="2"/>
        </w:rPr>
        <w:tab/>
        <w:t>Relationships with Customers. To serve the best interest of the public, the licensed manager and their employees must provide prompt, cheerful and courteous service to all customers and accommodate, within reasonable limits, such other persons who may come to the business enterprise requesting change, information, or other services.</w:t>
      </w:r>
    </w:p>
    <w:p w14:paraId="729335D5"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D.</w:t>
      </w:r>
      <w:r w:rsidRPr="00FC5566">
        <w:rPr>
          <w:rFonts w:eastAsia="Calibri"/>
          <w:kern w:val="2"/>
        </w:rPr>
        <w:tab/>
        <w:t>Relationships with Building Officials. Paragraphs 523.D.1-2 provide guidance in maintaining a productive relationship with building officials.</w:t>
      </w:r>
    </w:p>
    <w:p w14:paraId="14851774"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1.</w:t>
      </w:r>
      <w:r w:rsidRPr="00FC5566">
        <w:rPr>
          <w:rFonts w:eastAsia="Calibri"/>
          <w:kern w:val="2"/>
        </w:rPr>
        <w:tab/>
        <w:t>The licensed manager must comply with all reasonable requests concerning the operation of a business enterprise that may be made by officials of the building in which the enterprise is located, provided that such requests do not conflict with the manager’s agreement, the permit, and the rules and regulations issued by the SLA as contained herein.</w:t>
      </w:r>
    </w:p>
    <w:p w14:paraId="50E18658"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2.</w:t>
      </w:r>
      <w:r w:rsidRPr="00FC5566">
        <w:rPr>
          <w:rFonts w:eastAsia="Calibri"/>
          <w:kern w:val="2"/>
        </w:rPr>
        <w:tab/>
        <w:t>If differences should arise between the licensed manager and building management, the licensed manager shall bring the matter to the attention of the RSMA within one business day, for appropriate action.</w:t>
      </w:r>
    </w:p>
    <w:p w14:paraId="76EBC990"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rFonts w:eastAsia="Calibri"/>
          <w:kern w:val="2"/>
          <w:sz w:val="18"/>
        </w:rPr>
      </w:pPr>
      <w:r w:rsidRPr="00FC5566">
        <w:rPr>
          <w:rFonts w:eastAsia="Calibri"/>
          <w:kern w:val="2"/>
          <w:sz w:val="18"/>
        </w:rPr>
        <w:t>AUTHORITY NOTE:</w:t>
      </w:r>
      <w:r w:rsidRPr="00FC5566">
        <w:rPr>
          <w:rFonts w:eastAsia="Calibri"/>
          <w:kern w:val="2"/>
          <w:sz w:val="18"/>
        </w:rPr>
        <w:tab/>
        <w:t>Promulgated in accordance with R.S. 49:664.4 and R.S. 36:477.</w:t>
      </w:r>
    </w:p>
    <w:p w14:paraId="4EA09338"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rFonts w:eastAsia="Calibri"/>
          <w:kern w:val="2"/>
          <w:sz w:val="18"/>
        </w:rPr>
        <w:t>HISTORICAL NOTE:</w:t>
      </w:r>
      <w:r w:rsidRPr="00FC5566">
        <w:rPr>
          <w:rFonts w:eastAsia="Calibri"/>
          <w:kern w:val="2"/>
          <w:sz w:val="18"/>
        </w:rPr>
        <w:tab/>
        <w:t>Promulgated by the Department of Social Services, Office of Rehabilitation Services, LR 25:535 (March 1999)</w:t>
      </w:r>
      <w:r w:rsidRPr="00FC5566">
        <w:rPr>
          <w:kern w:val="2"/>
          <w:sz w:val="18"/>
        </w:rPr>
        <w:t>, amended by Louisiana Works, Rehabilitation Services, LR 52:1382 (August 2026).</w:t>
      </w:r>
    </w:p>
    <w:p w14:paraId="013CB991"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§525.</w:t>
      </w:r>
      <w:r w:rsidRPr="00FC5566">
        <w:rPr>
          <w:b/>
          <w:kern w:val="2"/>
        </w:rPr>
        <w:tab/>
        <w:t>Grounds for Suspension or Termination of a License</w:t>
      </w:r>
    </w:p>
    <w:p w14:paraId="11A7AA93"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A.4.</w:t>
      </w:r>
      <w:r w:rsidRPr="00FC5566">
        <w:rPr>
          <w:kern w:val="2"/>
        </w:rPr>
        <w:tab/>
        <w:t>…</w:t>
      </w:r>
    </w:p>
    <w:p w14:paraId="68477409"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5.</w:t>
      </w:r>
      <w:r w:rsidRPr="00FC5566">
        <w:rPr>
          <w:rFonts w:eastAsia="Calibri"/>
          <w:kern w:val="2"/>
        </w:rPr>
        <w:tab/>
        <w:t>failure to operate the business enterprise in accordance with the rules and regulations, terms and conditions of the permit with the grantor agency, or the terms and conditions of the business enterprise manager's agreement;</w:t>
      </w:r>
    </w:p>
    <w:p w14:paraId="183B702D"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6. - 7.</w:t>
      </w:r>
      <w:r w:rsidRPr="00FC5566">
        <w:rPr>
          <w:kern w:val="2"/>
        </w:rPr>
        <w:tab/>
        <w:t>…</w:t>
      </w:r>
    </w:p>
    <w:p w14:paraId="3B4B238C"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8.</w:t>
      </w:r>
      <w:r w:rsidRPr="00FC5566">
        <w:rPr>
          <w:rFonts w:eastAsia="Calibri"/>
          <w:kern w:val="2"/>
        </w:rPr>
        <w:tab/>
        <w:t>operation of a business enterprise in such a way that endangers the grantor’s continued willingness to allow the SLA to operate the facility at their location;</w:t>
      </w:r>
    </w:p>
    <w:p w14:paraId="4C9F8A59"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9.</w:t>
      </w:r>
      <w:r w:rsidRPr="00FC5566">
        <w:rPr>
          <w:kern w:val="2"/>
        </w:rPr>
        <w:tab/>
        <w:t>…</w:t>
      </w:r>
    </w:p>
    <w:p w14:paraId="1F8B6608"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10.</w:t>
      </w:r>
      <w:r w:rsidRPr="00FC5566">
        <w:rPr>
          <w:rFonts w:eastAsia="Calibri"/>
          <w:kern w:val="2"/>
        </w:rPr>
        <w:tab/>
        <w:t xml:space="preserve">failure to comply with all federal and state laws prohibiting discrimination and failure to assure services without distinction on the basis of race, gender, color, national origin, religion, age, political affiliation, or disability. The licensed manager agrees to abide by the requirements of the following nondiscrimination and equal opportunity provisions of the following laws, as applicable: Section 188 of the Workforce Innovation and Opportunity Act of 2014 (WIOA), as amended, which prohibits discrimination against all individuals in the United States on the basis of race, color, religion, sex, national origin, age, disability, political affiliation or belief, and against beneficiaries on the basis of either citizenship/status as a lawfully admitted immigrant authorized to work in the United States or participation in any WIOA Title I financially assisted program or activity, including Title VI and Title VII of the Civil Rights Act of 1964, as amended; the Equal Employment Opportunity Act of 1972, as amended; the Nontraditional Employment for Women Act of 1991, as amended; Section 504 of the </w:t>
      </w:r>
      <w:r w:rsidRPr="00FC5566">
        <w:rPr>
          <w:rFonts w:eastAsia="Calibri"/>
          <w:kern w:val="2"/>
        </w:rPr>
        <w:br w:type="page"/>
      </w:r>
    </w:p>
    <w:p w14:paraId="41D5F163" w14:textId="77777777" w:rsidR="00FC5566" w:rsidRPr="00FC5566" w:rsidRDefault="00FC5566" w:rsidP="00FC5566">
      <w:pPr>
        <w:tabs>
          <w:tab w:val="left" w:pos="720"/>
          <w:tab w:val="left" w:pos="979"/>
          <w:tab w:val="left" w:pos="1152"/>
        </w:tabs>
        <w:jc w:val="both"/>
        <w:outlineLvl w:val="4"/>
        <w:rPr>
          <w:rFonts w:eastAsia="Calibri"/>
          <w:kern w:val="2"/>
        </w:rPr>
      </w:pPr>
      <w:r w:rsidRPr="00FC5566">
        <w:rPr>
          <w:rFonts w:eastAsia="Calibri"/>
          <w:kern w:val="2"/>
        </w:rPr>
        <w:lastRenderedPageBreak/>
        <w:t>Rehabilitation Act of 1973, as amended; the Vietnam Era Veteran’s Readjustment Assistance Act of 1974, as amended; Title IX of the Education Amendments of 1972, as amended; the Age Discrimination Act of 1975, as amended; Americans with Disabilities Act of 1990, as amended; the Fair Housing Act of 1968, as amended, and all applicable requirements imposed by or pursuant to regulations implementing those laws, including but not limited to 29 CFR Part 37;</w:t>
      </w:r>
    </w:p>
    <w:p w14:paraId="479A2A72"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A.11. - 13.</w:t>
      </w:r>
      <w:r w:rsidRPr="00FC5566">
        <w:rPr>
          <w:rFonts w:eastAsia="Calibri"/>
          <w:kern w:val="2"/>
        </w:rPr>
        <w:tab/>
        <w:t>…</w:t>
      </w:r>
    </w:p>
    <w:p w14:paraId="005B3C32"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14.</w:t>
      </w:r>
      <w:r w:rsidRPr="00FC5566">
        <w:rPr>
          <w:rFonts w:eastAsia="Calibri"/>
          <w:kern w:val="2"/>
        </w:rPr>
        <w:tab/>
        <w:t>failure to actively operate a business enterprise in the Business Enterprises Program for five years.</w:t>
      </w:r>
    </w:p>
    <w:p w14:paraId="47210967"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rFonts w:eastAsia="Calibri"/>
          <w:kern w:val="2"/>
          <w:sz w:val="18"/>
        </w:rPr>
      </w:pPr>
      <w:r w:rsidRPr="00FC5566">
        <w:rPr>
          <w:rFonts w:eastAsia="Calibri"/>
          <w:kern w:val="2"/>
          <w:sz w:val="18"/>
        </w:rPr>
        <w:t>AUTHORITY NOTE:</w:t>
      </w:r>
      <w:r w:rsidRPr="00FC5566">
        <w:rPr>
          <w:rFonts w:eastAsia="Calibri"/>
          <w:kern w:val="2"/>
          <w:sz w:val="18"/>
        </w:rPr>
        <w:tab/>
        <w:t>Promulgated in accordance with R.S. 49:664.4 and R.S. 36:477.</w:t>
      </w:r>
    </w:p>
    <w:p w14:paraId="597299F2"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rFonts w:eastAsia="Calibri"/>
          <w:kern w:val="2"/>
          <w:sz w:val="18"/>
        </w:rPr>
        <w:t>HISTORICAL NOTE:</w:t>
      </w:r>
      <w:r w:rsidRPr="00FC5566">
        <w:rPr>
          <w:rFonts w:eastAsia="Calibri"/>
          <w:kern w:val="2"/>
          <w:sz w:val="18"/>
        </w:rPr>
        <w:tab/>
        <w:t>Promulgated by the Department of Social Services, Office of Rehabilitation Services, LR 25:535 (March 1999)</w:t>
      </w:r>
      <w:r w:rsidRPr="00FC5566">
        <w:rPr>
          <w:kern w:val="2"/>
          <w:sz w:val="18"/>
        </w:rPr>
        <w:t>, amended by Louisiana Works, Rehabilitation Services, LR 52:1382 (August 2026).</w:t>
      </w:r>
    </w:p>
    <w:p w14:paraId="1C88C5DD"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§527.</w:t>
      </w:r>
      <w:r w:rsidRPr="00FC5566">
        <w:rPr>
          <w:b/>
          <w:kern w:val="2"/>
        </w:rPr>
        <w:tab/>
        <w:t>The Louisiana Blind Vendor’s Elected Committee</w:t>
      </w:r>
    </w:p>
    <w:p w14:paraId="461B66CF"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A.</w:t>
      </w:r>
      <w:r w:rsidRPr="00FC5566">
        <w:rPr>
          <w:rFonts w:eastAsia="Calibri"/>
          <w:kern w:val="2"/>
        </w:rPr>
        <w:tab/>
        <w:t>Authority for Establishing the Louisiana Blind Vendor’s Elected Committee (LBVEC) is found in Section 107-B1, commonly referred to as the Randolph-Sheppard Act.</w:t>
      </w:r>
    </w:p>
    <w:p w14:paraId="2443DD88"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B.</w:t>
      </w:r>
      <w:r w:rsidRPr="00FC5566">
        <w:rPr>
          <w:rFonts w:eastAsia="Calibri"/>
          <w:kern w:val="2"/>
        </w:rPr>
        <w:tab/>
        <w:t>Paragraphs 527.B.1-2 provide guidance in approaching the degree of participation by the LBVEC.</w:t>
      </w:r>
    </w:p>
    <w:p w14:paraId="5A966513"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1.</w:t>
      </w:r>
      <w:r w:rsidRPr="00FC5566">
        <w:rPr>
          <w:rFonts w:eastAsia="Calibri"/>
          <w:kern w:val="2"/>
        </w:rPr>
        <w:tab/>
      </w:r>
      <w:r w:rsidRPr="00FC5566">
        <w:rPr>
          <w:rFonts w:eastAsia="Calibri"/>
          <w:i/>
          <w:kern w:val="2"/>
        </w:rPr>
        <w:t>Active Participation</w:t>
      </w:r>
      <w:r w:rsidRPr="00FC5566">
        <w:rPr>
          <w:rFonts w:eastAsia="Calibri"/>
          <w:kern w:val="2"/>
        </w:rPr>
        <w:t xml:space="preserve"> means an ongoing process of good faith negotiations between the LBVEC and SLA to achieve joint planning and approval of policies, procedures, standards, rules and regulations affecting the overall operation of the BEP prior to implementation by the SLA. Active participation shall include the requirements set forth in, but is not limited to, 34 CFR 395.14(b)(1), (3), and (4) and TAC 21-01.</w:t>
      </w:r>
    </w:p>
    <w:p w14:paraId="56B06C5B"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2.</w:t>
      </w:r>
      <w:r w:rsidRPr="00FC5566">
        <w:rPr>
          <w:rFonts w:eastAsia="Calibri"/>
          <w:kern w:val="2"/>
        </w:rPr>
        <w:tab/>
        <w:t>The SLA shall have final authority and responsibility in all decisions relative to the administration and operation of all aspects of the BEP.</w:t>
      </w:r>
    </w:p>
    <w:p w14:paraId="4939D2D3"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C.</w:t>
      </w:r>
      <w:r w:rsidRPr="00FC5566">
        <w:rPr>
          <w:rFonts w:eastAsia="Calibri"/>
          <w:kern w:val="2"/>
        </w:rPr>
        <w:tab/>
        <w:t>Functions of the LBVEC include:</w:t>
      </w:r>
    </w:p>
    <w:p w14:paraId="4A59B47B"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1.</w:t>
      </w:r>
      <w:r w:rsidRPr="00FC5566">
        <w:rPr>
          <w:rFonts w:eastAsia="Calibri"/>
          <w:kern w:val="2"/>
        </w:rPr>
        <w:tab/>
        <w:t>to actively participate with the SLA in the major administrative, policy, and program development decisions affecting the overall administration of the BEP;</w:t>
      </w:r>
    </w:p>
    <w:p w14:paraId="6E6DA5A0"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2. - 3.</w:t>
      </w:r>
      <w:r w:rsidRPr="00FC5566">
        <w:rPr>
          <w:rFonts w:eastAsia="Calibri"/>
          <w:kern w:val="2"/>
        </w:rPr>
        <w:tab/>
        <w:t>…</w:t>
      </w:r>
    </w:p>
    <w:p w14:paraId="7F77EE3F"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4.</w:t>
      </w:r>
      <w:r w:rsidRPr="00FC5566">
        <w:rPr>
          <w:rFonts w:eastAsia="Calibri"/>
          <w:kern w:val="2"/>
        </w:rPr>
        <w:tab/>
        <w:t>to actively participate with the SLA in developing training and retraining programs for licensed managers;</w:t>
      </w:r>
    </w:p>
    <w:p w14:paraId="36FBE24B"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5.</w:t>
      </w:r>
      <w:r w:rsidRPr="00FC5566">
        <w:rPr>
          <w:rFonts w:eastAsia="Calibri"/>
          <w:kern w:val="2"/>
        </w:rPr>
        <w:tab/>
        <w:t>…</w:t>
      </w:r>
    </w:p>
    <w:p w14:paraId="78253760"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6.</w:t>
      </w:r>
      <w:r w:rsidRPr="00FC5566">
        <w:rPr>
          <w:rFonts w:eastAsia="Calibri"/>
          <w:kern w:val="2"/>
        </w:rPr>
        <w:tab/>
        <w:t>to actively participate in setting out the method of determining the set aside assessment for each of the purposes listed below:</w:t>
      </w:r>
    </w:p>
    <w:p w14:paraId="46CA5FCD"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6.a. - e.</w:t>
      </w:r>
      <w:r w:rsidRPr="00FC5566">
        <w:rPr>
          <w:rFonts w:eastAsia="Calibri"/>
          <w:kern w:val="2"/>
        </w:rPr>
        <w:tab/>
        <w:t>…</w:t>
      </w:r>
    </w:p>
    <w:p w14:paraId="5CCA141D"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D.</w:t>
      </w:r>
      <w:r w:rsidRPr="00FC5566">
        <w:rPr>
          <w:rFonts w:eastAsia="Calibri"/>
          <w:kern w:val="2"/>
        </w:rPr>
        <w:tab/>
        <w:t>The LBVEC will be composed of licensed managers in the program based on such factors as geography and business enterprise type with a goal of providing for proportional representation of licensed managers on federal property and other property. There will be an executive committee with their duties and terms of office specified in the by-laws of the LBVEC.</w:t>
      </w:r>
    </w:p>
    <w:p w14:paraId="4F7271CE"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E.</w:t>
      </w:r>
      <w:r w:rsidRPr="00FC5566">
        <w:rPr>
          <w:rFonts w:eastAsia="Calibri"/>
          <w:kern w:val="2"/>
        </w:rPr>
        <w:tab/>
        <w:t>The SLA shall provide for the biennial election of a LBVEC, which shall be fully representative of all licensed managers in the state program. (34 CFR 395.14)</w:t>
      </w:r>
    </w:p>
    <w:p w14:paraId="7484BA6F"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rFonts w:eastAsia="Calibri"/>
          <w:kern w:val="2"/>
          <w:sz w:val="18"/>
        </w:rPr>
      </w:pPr>
      <w:r w:rsidRPr="00FC5566">
        <w:rPr>
          <w:rFonts w:eastAsia="Calibri"/>
          <w:kern w:val="2"/>
          <w:sz w:val="18"/>
        </w:rPr>
        <w:t>AUTHORITY NOTE:</w:t>
      </w:r>
      <w:r w:rsidRPr="00FC5566">
        <w:rPr>
          <w:rFonts w:eastAsia="Calibri"/>
          <w:kern w:val="2"/>
          <w:sz w:val="18"/>
        </w:rPr>
        <w:tab/>
        <w:t>Promulgated in accordance with R.S. 23:3022.</w:t>
      </w:r>
    </w:p>
    <w:p w14:paraId="22F122EC"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rFonts w:eastAsia="Calibri"/>
          <w:kern w:val="2"/>
          <w:sz w:val="18"/>
        </w:rPr>
      </w:pPr>
      <w:r w:rsidRPr="00FC5566">
        <w:rPr>
          <w:rFonts w:eastAsia="Calibri"/>
          <w:kern w:val="2"/>
          <w:sz w:val="18"/>
        </w:rPr>
        <w:t>HISTORICAL NOTE:</w:t>
      </w:r>
      <w:r w:rsidRPr="00FC5566">
        <w:rPr>
          <w:rFonts w:eastAsia="Calibri"/>
          <w:kern w:val="2"/>
          <w:sz w:val="18"/>
        </w:rPr>
        <w:tab/>
        <w:t xml:space="preserve">Promulgated by the Department of Social Services, Office of Rehabilitation Services, LR 25:536 (March 1999), amended by the Workforce Commission, </w:t>
      </w:r>
      <w:r w:rsidRPr="00FC5566">
        <w:rPr>
          <w:rFonts w:eastAsia="Calibri"/>
          <w:kern w:val="2"/>
          <w:sz w:val="18"/>
        </w:rPr>
        <w:t>Rehabilitation Services, LR 41:2179 (October 2015)</w:t>
      </w:r>
      <w:r w:rsidRPr="00FC5566">
        <w:rPr>
          <w:kern w:val="2"/>
          <w:sz w:val="18"/>
        </w:rPr>
        <w:t>, amended by Louisiana Works, Rehabilitation Services, LR 52:1383 (August 2026).</w:t>
      </w:r>
    </w:p>
    <w:p w14:paraId="17D56F1C"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Chapter 15.</w:t>
      </w:r>
      <w:bookmarkEnd w:id="375"/>
      <w:r w:rsidRPr="00FC5566">
        <w:rPr>
          <w:b/>
          <w:kern w:val="2"/>
        </w:rPr>
        <w:tab/>
      </w:r>
      <w:bookmarkStart w:id="392" w:name="TOCT_Chap283"/>
      <w:bookmarkStart w:id="393" w:name="TOCT_Chap205"/>
      <w:bookmarkStart w:id="394" w:name="TOCT_Chap197"/>
      <w:r w:rsidRPr="00FC5566">
        <w:rPr>
          <w:b/>
          <w:kern w:val="2"/>
        </w:rPr>
        <w:t>Independent Living Policy Manual</w:t>
      </w:r>
      <w:bookmarkEnd w:id="376"/>
      <w:bookmarkEnd w:id="377"/>
      <w:bookmarkEnd w:id="378"/>
      <w:bookmarkEnd w:id="379"/>
      <w:bookmarkEnd w:id="392"/>
      <w:bookmarkEnd w:id="393"/>
      <w:bookmarkEnd w:id="394"/>
    </w:p>
    <w:p w14:paraId="72144190"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395" w:name="_Toc215471704"/>
      <w:bookmarkStart w:id="396" w:name="_Toc248893880"/>
      <w:bookmarkStart w:id="397" w:name="_Toc257206003"/>
      <w:bookmarkStart w:id="398" w:name="_Toc40957972"/>
      <w:r w:rsidRPr="00FC5566">
        <w:rPr>
          <w:b/>
          <w:kern w:val="2"/>
        </w:rPr>
        <w:t>§1501.</w:t>
      </w:r>
      <w:r w:rsidRPr="00FC5566">
        <w:rPr>
          <w:b/>
          <w:kern w:val="2"/>
        </w:rPr>
        <w:tab/>
        <w:t>Agency Profile</w:t>
      </w:r>
      <w:bookmarkEnd w:id="395"/>
      <w:bookmarkEnd w:id="396"/>
      <w:bookmarkEnd w:id="397"/>
      <w:bookmarkEnd w:id="398"/>
    </w:p>
    <w:p w14:paraId="0E241A97"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Q.</w:t>
      </w:r>
      <w:r w:rsidRPr="00FC5566">
        <w:rPr>
          <w:kern w:val="2"/>
        </w:rPr>
        <w:tab/>
        <w:t>…</w:t>
      </w:r>
    </w:p>
    <w:p w14:paraId="1A1CCE47"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R.</w:t>
      </w:r>
      <w:r w:rsidRPr="00FC5566">
        <w:rPr>
          <w:kern w:val="2"/>
        </w:rPr>
        <w:tab/>
        <w:t>Misrepresentation, Fraud, Collusion, or Criminal Conduct</w:t>
      </w:r>
    </w:p>
    <w:p w14:paraId="5E222ED7"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Individuals who obtain access to the services provided by LRS through means of misrepresentation, fraud, collusion, or criminal conduct shall be held responsible for the return of funds expended by LRS on the individual's behalf. Further, such actions shall result in the closure of the individual's independent living case record. Failure on the individual's part to make reparation of funds to the agency may result in legal action being taken by Louisiana Works.</w:t>
      </w:r>
    </w:p>
    <w:p w14:paraId="606BDF05"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In cases in which LRS is in possession of clear evidence of misrepresentation, fraud, collusion, or criminal conduct on the part of the individual for the purpose of obtaining services for which the individual would not otherwise be eligible, the individual's case will be referred to the Louisiana Works’ general counsel for consultation and/or recommendation regarding judicial action. If the Louisiana Works’ general counsel determines, through reviewing case data, that the individual has obtained services through misrepresentation, fraud, collusion, or criminal conduct, a certified letter will be directed to the individual by the LRS counselor demanding payment in full of funds which have been expended by the agency on the individual's behalf. The failure of the individual to comply with the demand for reparation may result in legal action being taken on behalf of LRS.</w:t>
      </w:r>
    </w:p>
    <w:p w14:paraId="2557B8C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S. - T.</w:t>
      </w:r>
      <w:r w:rsidRPr="00FC5566">
        <w:rPr>
          <w:kern w:val="2"/>
        </w:rPr>
        <w:tab/>
        <w:t>…</w:t>
      </w:r>
    </w:p>
    <w:p w14:paraId="31579A35"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the Rehabilitation Act of 1973, as amended, R.S. 49:664 Section 6B, R.S. 36:477 (c), R.S. 46:331-335, R.S. 39:1595.3 and R.S. 39:1594 (I).</w:t>
      </w:r>
    </w:p>
    <w:p w14:paraId="08C3B1C8"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Rehabilitation Services, LR 17:891 (September 1991), amended LR 20:673 (June 1994), LR 26:2322 (October 2000), amended by the Workforce Commission, Rehabilitation Services, LR 48:308 (February 2022), amended by Louisiana Works, Rehabilitation Services, LR 52:1383 (August 2026).</w:t>
      </w:r>
    </w:p>
    <w:p w14:paraId="568806EB"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399" w:name="_Toc215471706"/>
      <w:bookmarkStart w:id="400" w:name="_Toc248893882"/>
      <w:bookmarkStart w:id="401" w:name="_Toc257206005"/>
      <w:bookmarkStart w:id="402" w:name="_Toc40957974"/>
      <w:r w:rsidRPr="00FC5566">
        <w:rPr>
          <w:b/>
          <w:kern w:val="2"/>
        </w:rPr>
        <w:t>§1505.</w:t>
      </w:r>
      <w:r w:rsidRPr="00FC5566">
        <w:rPr>
          <w:b/>
          <w:kern w:val="2"/>
        </w:rPr>
        <w:tab/>
        <w:t>Confidentiality</w:t>
      </w:r>
      <w:bookmarkEnd w:id="399"/>
      <w:bookmarkEnd w:id="400"/>
      <w:bookmarkEnd w:id="401"/>
      <w:bookmarkEnd w:id="402"/>
      <w:r w:rsidRPr="00FC5566">
        <w:rPr>
          <w:b/>
          <w:kern w:val="2"/>
        </w:rPr>
        <w:t xml:space="preserve"> </w:t>
      </w:r>
    </w:p>
    <w:p w14:paraId="3B7E473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C.1.a.</w:t>
      </w:r>
      <w:r w:rsidRPr="00FC5566">
        <w:rPr>
          <w:kern w:val="2"/>
        </w:rPr>
        <w:tab/>
        <w:t>…</w:t>
      </w:r>
    </w:p>
    <w:p w14:paraId="767F5E73" w14:textId="77777777" w:rsidR="00FC5566" w:rsidRPr="00FC5566" w:rsidRDefault="00FC5566" w:rsidP="00FC5566">
      <w:pPr>
        <w:tabs>
          <w:tab w:val="left" w:pos="907"/>
        </w:tabs>
        <w:ind w:firstLine="547"/>
        <w:jc w:val="both"/>
        <w:outlineLvl w:val="5"/>
        <w:rPr>
          <w:kern w:val="2"/>
        </w:rPr>
      </w:pPr>
      <w:r w:rsidRPr="00FC5566">
        <w:rPr>
          <w:kern w:val="2"/>
        </w:rPr>
        <w:t>b.</w:t>
      </w:r>
      <w:r w:rsidRPr="00FC5566">
        <w:rPr>
          <w:kern w:val="2"/>
        </w:rPr>
        <w:tab/>
        <w:t>Louisiana Works and military services of the United States government;</w:t>
      </w:r>
    </w:p>
    <w:p w14:paraId="0F574E9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C.1.c. - d.</w:t>
      </w:r>
      <w:r w:rsidRPr="00FC5566">
        <w:rPr>
          <w:kern w:val="2"/>
        </w:rPr>
        <w:tab/>
        <w:t>…</w:t>
      </w:r>
    </w:p>
    <w:p w14:paraId="236E2D5A"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Confidential information will be released to an organization or an individual engaged in research, audit, or evaluation only for purposes directly connected with the administration of the state program (including research for the development of new knowledge or techniques which would be useful in the administration of the program).</w:t>
      </w:r>
    </w:p>
    <w:p w14:paraId="54CEA844" w14:textId="77777777" w:rsidR="00FC5566" w:rsidRPr="00FC5566" w:rsidRDefault="00FC5566" w:rsidP="00FC5566">
      <w:pPr>
        <w:tabs>
          <w:tab w:val="left" w:pos="907"/>
        </w:tabs>
        <w:ind w:firstLine="547"/>
        <w:jc w:val="both"/>
        <w:outlineLvl w:val="5"/>
        <w:rPr>
          <w:kern w:val="2"/>
        </w:rPr>
      </w:pPr>
      <w:r w:rsidRPr="00FC5566">
        <w:rPr>
          <w:kern w:val="2"/>
        </w:rPr>
        <w:t>a.</w:t>
      </w:r>
      <w:r w:rsidRPr="00FC5566">
        <w:rPr>
          <w:kern w:val="2"/>
        </w:rPr>
        <w:tab/>
        <w:t>Such information will be released only if the organization or individual furnishes satisfactory assurance that:</w:t>
      </w:r>
    </w:p>
    <w:p w14:paraId="171A18FD"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w:t>
      </w:r>
      <w:r w:rsidRPr="00FC5566">
        <w:rPr>
          <w:kern w:val="2"/>
        </w:rPr>
        <w:tab/>
        <w:t>the information will be used only for the purpose for which it is provided;</w:t>
      </w:r>
    </w:p>
    <w:p w14:paraId="5F3D650B"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ii.</w:t>
      </w:r>
      <w:r w:rsidRPr="00FC5566">
        <w:rPr>
          <w:kern w:val="2"/>
        </w:rPr>
        <w:tab/>
        <w:t>it will not be released to persons not connected with the study under consideration; and</w:t>
      </w:r>
    </w:p>
    <w:p w14:paraId="515A4D9B"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br w:type="page"/>
      </w:r>
    </w:p>
    <w:p w14:paraId="106021C2"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lastRenderedPageBreak/>
        <w:tab/>
        <w:t>iii.</w:t>
      </w:r>
      <w:r w:rsidRPr="00FC5566">
        <w:rPr>
          <w:kern w:val="2"/>
        </w:rPr>
        <w:tab/>
        <w:t>the final product of the research will not reveal any information that may serve to identify any person about whom information has been obtained through the state agency without written consent of such person and the state agency.</w:t>
      </w:r>
    </w:p>
    <w:p w14:paraId="52FBB8E9" w14:textId="77777777" w:rsidR="00FC5566" w:rsidRPr="00FC5566" w:rsidRDefault="00FC5566" w:rsidP="00FC5566">
      <w:pPr>
        <w:tabs>
          <w:tab w:val="left" w:pos="907"/>
        </w:tabs>
        <w:ind w:firstLine="547"/>
        <w:jc w:val="both"/>
        <w:outlineLvl w:val="5"/>
        <w:rPr>
          <w:kern w:val="2"/>
        </w:rPr>
      </w:pPr>
      <w:r w:rsidRPr="00FC5566">
        <w:rPr>
          <w:kern w:val="2"/>
        </w:rPr>
        <w:t>b.</w:t>
      </w:r>
      <w:r w:rsidRPr="00FC5566">
        <w:rPr>
          <w:kern w:val="2"/>
        </w:rPr>
        <w:tab/>
        <w:t>Information for research, audit, or evaluation will be issued only on the approval of the director.</w:t>
      </w:r>
    </w:p>
    <w:p w14:paraId="1DF1ADA5" w14:textId="77777777" w:rsidR="00FC5566" w:rsidRPr="00FC5566" w:rsidRDefault="00FC5566" w:rsidP="00FC5566">
      <w:pPr>
        <w:tabs>
          <w:tab w:val="left" w:pos="907"/>
        </w:tabs>
        <w:ind w:firstLine="547"/>
        <w:jc w:val="both"/>
        <w:outlineLvl w:val="5"/>
        <w:rPr>
          <w:kern w:val="2"/>
        </w:rPr>
      </w:pPr>
      <w:r w:rsidRPr="00FC5566">
        <w:rPr>
          <w:kern w:val="2"/>
        </w:rPr>
        <w:t>c.</w:t>
      </w:r>
      <w:r w:rsidRPr="00FC5566">
        <w:rPr>
          <w:kern w:val="2"/>
        </w:rPr>
        <w:tab/>
        <w:t>The client must be advised of these conditions.</w:t>
      </w:r>
    </w:p>
    <w:p w14:paraId="5B9F551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A.3. - G.2.b.</w:t>
      </w:r>
      <w:r w:rsidRPr="00FC5566">
        <w:rPr>
          <w:kern w:val="2"/>
        </w:rPr>
        <w:tab/>
        <w:t>…</w:t>
      </w:r>
    </w:p>
    <w:p w14:paraId="0A90AF33" w14:textId="77777777" w:rsidR="00FC5566" w:rsidRPr="00FC5566" w:rsidRDefault="00FC5566" w:rsidP="00FC5566">
      <w:pPr>
        <w:tabs>
          <w:tab w:val="left" w:pos="907"/>
        </w:tabs>
        <w:ind w:firstLine="547"/>
        <w:jc w:val="both"/>
        <w:outlineLvl w:val="5"/>
        <w:rPr>
          <w:kern w:val="2"/>
        </w:rPr>
      </w:pPr>
      <w:r w:rsidRPr="00FC5566">
        <w:rPr>
          <w:kern w:val="2"/>
        </w:rPr>
        <w:t>c.</w:t>
      </w:r>
      <w:r w:rsidRPr="00FC5566">
        <w:rPr>
          <w:kern w:val="2"/>
        </w:rPr>
        <w:tab/>
        <w:t>inform the regional manager or designee if the above steps do not resolve the situation. In this case, the regional manager or designee will then turn the matter over to Louisiana Works' legal counsel;</w:t>
      </w:r>
    </w:p>
    <w:p w14:paraId="6B9DE87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G.3. - G.3.d.iii.</w:t>
      </w:r>
      <w:r w:rsidRPr="00FC5566">
        <w:rPr>
          <w:kern w:val="2"/>
        </w:rPr>
        <w:tab/>
        <w:t>…</w:t>
      </w:r>
    </w:p>
    <w:p w14:paraId="23EB9B6F"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the Rehabilitation Act of 1973, as amended, R.S. 49:664 Section 6B, R.S.36:477(c), R.S. 46:331-335, R.S. 1595.3 and R.S. 39:1594(I).</w:t>
      </w:r>
    </w:p>
    <w:p w14:paraId="20B6BD61"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Rehabilitation Services, LR 26:2323 (October 2000), amended by the Workforce Commission, Rehabilitation Services, LR 48:309 (February 2022), amended by Louisiana Works, Rehabilitation Services, LR 52:1383 (August 2026).</w:t>
      </w:r>
    </w:p>
    <w:p w14:paraId="1D8BF3BA"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403" w:name="TOC_Chap201"/>
      <w:bookmarkStart w:id="404" w:name="_Toc215471715"/>
      <w:bookmarkStart w:id="405" w:name="_Toc248893891"/>
      <w:bookmarkStart w:id="406" w:name="_Toc257206014"/>
      <w:bookmarkStart w:id="407" w:name="_Toc40957983"/>
      <w:r w:rsidRPr="00FC5566">
        <w:rPr>
          <w:b/>
          <w:kern w:val="2"/>
        </w:rPr>
        <w:t>Chapter 17.</w:t>
      </w:r>
      <w:bookmarkEnd w:id="403"/>
      <w:r w:rsidRPr="00FC5566">
        <w:rPr>
          <w:b/>
          <w:kern w:val="2"/>
        </w:rPr>
        <w:tab/>
      </w:r>
      <w:bookmarkStart w:id="408" w:name="TOCT_Chap287"/>
      <w:bookmarkStart w:id="409" w:name="TOCT_Chap209"/>
      <w:bookmarkStart w:id="410" w:name="TOCT_Chap191"/>
      <w:bookmarkStart w:id="411" w:name="TOCT_Chap192"/>
      <w:bookmarkStart w:id="412" w:name="TOCT_Chap201"/>
      <w:r w:rsidRPr="00FC5566">
        <w:rPr>
          <w:b/>
          <w:kern w:val="2"/>
        </w:rPr>
        <w:t>Grant Policy</w:t>
      </w:r>
      <w:bookmarkEnd w:id="404"/>
      <w:bookmarkEnd w:id="405"/>
      <w:bookmarkEnd w:id="406"/>
      <w:bookmarkEnd w:id="407"/>
      <w:bookmarkEnd w:id="408"/>
      <w:bookmarkEnd w:id="409"/>
      <w:bookmarkEnd w:id="410"/>
      <w:bookmarkEnd w:id="411"/>
      <w:bookmarkEnd w:id="412"/>
    </w:p>
    <w:p w14:paraId="1D11F6F9"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§1701.</w:t>
      </w:r>
      <w:r w:rsidRPr="00FC5566">
        <w:rPr>
          <w:b/>
          <w:kern w:val="2"/>
        </w:rPr>
        <w:tab/>
        <w:t>Prohibition Against Sub-granting</w:t>
      </w:r>
    </w:p>
    <w:p w14:paraId="553C5E1C"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The Rehabilitation Services Administration has determined it would not be appropriate for State Vocational Rehabilitation agencies to subgrant any part of the VR program due to the non-delegable functions required by VR regulations.</w:t>
      </w:r>
    </w:p>
    <w:p w14:paraId="07F34618"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49:664.6 and R.S. 36.477.</w:t>
      </w:r>
    </w:p>
    <w:p w14:paraId="1AD4CC1B"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Rehabilitation Services, LR 21:583 (June 1995), amended by Louisiana Works, Rehabilitation Services, LR 52:1384 (August 2026).</w:t>
      </w:r>
    </w:p>
    <w:p w14:paraId="70A6E2ED"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§1703.</w:t>
      </w:r>
      <w:r w:rsidRPr="00FC5566">
        <w:rPr>
          <w:b/>
          <w:kern w:val="2"/>
        </w:rPr>
        <w:tab/>
        <w:t>Federal Financial Participation</w:t>
      </w:r>
    </w:p>
    <w:p w14:paraId="4D5C8400"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The total federal financial participation in expenditures for construction of facilities for community rehabilitation program purposes for each year cannot exceed 10 percent of LRS' allotment of Section 110 Funds for that year.</w:t>
      </w:r>
    </w:p>
    <w:p w14:paraId="7140CF09"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49:664.6 and R.S. 36.477.</w:t>
      </w:r>
    </w:p>
    <w:p w14:paraId="5E5380B5"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Rehabilitation Services, LR 21:583 (June 1995), amended by Louisiana Works, Rehabilitation Services, LR 52:1384 (August 2026).</w:t>
      </w:r>
    </w:p>
    <w:p w14:paraId="447D8415"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§1705.</w:t>
      </w:r>
      <w:r w:rsidRPr="00FC5566">
        <w:rPr>
          <w:b/>
          <w:kern w:val="2"/>
        </w:rPr>
        <w:tab/>
        <w:t>Community Rehabilitation Program</w:t>
      </w:r>
    </w:p>
    <w:p w14:paraId="1E40FBC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Repealed.</w:t>
      </w:r>
    </w:p>
    <w:p w14:paraId="3E0825E9"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49:664.6 and R.S. 36.477.</w:t>
      </w:r>
    </w:p>
    <w:p w14:paraId="59A337F4"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Rehabilitation Services, LR 21:584 (June 1995), repealed by Louisiana Works, Rehabilitation Services, LR 52:1384 (August 2026).</w:t>
      </w:r>
    </w:p>
    <w:p w14:paraId="65A68373"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§1707.</w:t>
      </w:r>
      <w:r w:rsidRPr="00FC5566">
        <w:rPr>
          <w:b/>
          <w:kern w:val="2"/>
        </w:rPr>
        <w:tab/>
        <w:t>General Provisions</w:t>
      </w:r>
    </w:p>
    <w:p w14:paraId="400DBDA0"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LRS will accept solicited and unsolicited establishment contract proposals from institutions of higher education, hospitals, nonprofit organizations, and state and local governments for the establishment of Community Rehabilitation Program facilities and construction of community rehabilitation program facilities.</w:t>
      </w:r>
    </w:p>
    <w:p w14:paraId="6A307DB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49:664.6 and R.S. 36.477.</w:t>
      </w:r>
    </w:p>
    <w:p w14:paraId="6153A01B"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 xml:space="preserve">Promulgated by the Department of Social Services, Office of Rehabilitation Services, LR 21:584 (June </w:t>
      </w:r>
      <w:r w:rsidRPr="00FC5566">
        <w:rPr>
          <w:kern w:val="2"/>
          <w:sz w:val="18"/>
        </w:rPr>
        <w:t>1995), amended by Louisiana Works, Rehabilitation Services, LR 52:1384 (August 2026).</w:t>
      </w:r>
    </w:p>
    <w:p w14:paraId="603228B6"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§1713.</w:t>
      </w:r>
      <w:r w:rsidRPr="00FC5566">
        <w:rPr>
          <w:b/>
          <w:kern w:val="2"/>
        </w:rPr>
        <w:tab/>
        <w:t>Financial Administration</w:t>
      </w:r>
    </w:p>
    <w:p w14:paraId="7F50C673"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Standards for Financial Management Systems. A contractor must expand and account for funds in accordance with state laws and procedures for expending and accounting for its own funds. Fiscal control and accounting procedures must be sufficient to:</w:t>
      </w:r>
    </w:p>
    <w:p w14:paraId="58DA1F0A"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 - 4.</w:t>
      </w:r>
      <w:r w:rsidRPr="00FC5566">
        <w:rPr>
          <w:kern w:val="2"/>
        </w:rPr>
        <w:tab/>
        <w:t>…</w:t>
      </w:r>
    </w:p>
    <w:p w14:paraId="42E5A6D0"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49:664.6 and R.S. 36.477.</w:t>
      </w:r>
    </w:p>
    <w:p w14:paraId="7F3D4DC7"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Rehabilitation Services, LR 21:585 (June 1995), amended by the Workforce Commission, Rehabilitation Services, LR 48:309 (February 2022), amended by Louisiana Works, Rehabilitation Services, LR 52:1384 (August 2026).</w:t>
      </w:r>
    </w:p>
    <w:p w14:paraId="6DDDD1C9"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§1719.</w:t>
      </w:r>
      <w:r w:rsidRPr="00FC5566">
        <w:rPr>
          <w:b/>
          <w:kern w:val="2"/>
        </w:rPr>
        <w:tab/>
        <w:t>Cost Sharing or Matching</w:t>
      </w:r>
    </w:p>
    <w:p w14:paraId="71C60E0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Nonprofit Facilities. Cost sharing or matching means the contractor’s share of the costs of a project or program. The contractor’s match funds must be certified as nonfederal monies and will be required up-front in the form of a check payable to LRS. LRS will then reimburse 100 percent of the expenses to the contractor.</w:t>
      </w:r>
    </w:p>
    <w:p w14:paraId="5614B559"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Percentages of matching funds are as follows:</w:t>
      </w:r>
    </w:p>
    <w:p w14:paraId="737E07F2" w14:textId="77777777" w:rsidR="00FC5566" w:rsidRPr="00FC5566" w:rsidRDefault="00FC5566" w:rsidP="00FC5566">
      <w:pPr>
        <w:tabs>
          <w:tab w:val="left" w:pos="907"/>
        </w:tabs>
        <w:ind w:firstLine="547"/>
        <w:jc w:val="both"/>
        <w:outlineLvl w:val="5"/>
        <w:rPr>
          <w:kern w:val="2"/>
        </w:rPr>
      </w:pPr>
      <w:r w:rsidRPr="00FC5566">
        <w:rPr>
          <w:kern w:val="2"/>
        </w:rPr>
        <w:t>a.</w:t>
      </w:r>
      <w:r w:rsidRPr="00FC5566">
        <w:rPr>
          <w:kern w:val="2"/>
        </w:rPr>
        <w:tab/>
        <w:t>establishment project―21.3 percent cash match is mandatory;</w:t>
      </w:r>
    </w:p>
    <w:p w14:paraId="4503CF57" w14:textId="77777777" w:rsidR="00FC5566" w:rsidRPr="00FC5566" w:rsidRDefault="00FC5566" w:rsidP="00FC5566">
      <w:pPr>
        <w:tabs>
          <w:tab w:val="left" w:pos="907"/>
        </w:tabs>
        <w:ind w:firstLine="547"/>
        <w:jc w:val="both"/>
        <w:outlineLvl w:val="5"/>
        <w:rPr>
          <w:kern w:val="2"/>
        </w:rPr>
      </w:pPr>
      <w:r w:rsidRPr="00FC5566">
        <w:rPr>
          <w:kern w:val="2"/>
        </w:rPr>
        <w:t>b.</w:t>
      </w:r>
      <w:r w:rsidRPr="00FC5566">
        <w:rPr>
          <w:kern w:val="2"/>
        </w:rPr>
        <w:tab/>
        <w:t>construction project―50 percent cash match is mandatory.</w:t>
      </w:r>
    </w:p>
    <w:p w14:paraId="3E36235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Public Facilities. Cost sharing or matching means the contractor’s share of the costs of a grant-supported project or program. The contractor's match funds must be certified as nonfederal monies and set-aside (dedicated) for the project. Only cash expended after the contract’s effective date and before the expiration date will be considered as match.</w:t>
      </w:r>
    </w:p>
    <w:p w14:paraId="3DF64ED8"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Percentages of matching funds are as follows:</w:t>
      </w:r>
    </w:p>
    <w:p w14:paraId="2D3B7B94" w14:textId="77777777" w:rsidR="00FC5566" w:rsidRPr="00FC5566" w:rsidRDefault="00FC5566" w:rsidP="00FC5566">
      <w:pPr>
        <w:tabs>
          <w:tab w:val="left" w:pos="907"/>
        </w:tabs>
        <w:ind w:firstLine="547"/>
        <w:jc w:val="both"/>
        <w:outlineLvl w:val="5"/>
        <w:rPr>
          <w:kern w:val="2"/>
        </w:rPr>
      </w:pPr>
      <w:r w:rsidRPr="00FC5566">
        <w:rPr>
          <w:kern w:val="2"/>
        </w:rPr>
        <w:t>a.</w:t>
      </w:r>
      <w:r w:rsidRPr="00FC5566">
        <w:rPr>
          <w:kern w:val="2"/>
        </w:rPr>
        <w:tab/>
        <w:t>establishment project―21.3 percent cash match is mandatory;</w:t>
      </w:r>
    </w:p>
    <w:p w14:paraId="5E009EB3" w14:textId="77777777" w:rsidR="00FC5566" w:rsidRPr="00FC5566" w:rsidRDefault="00FC5566" w:rsidP="00FC5566">
      <w:pPr>
        <w:tabs>
          <w:tab w:val="left" w:pos="907"/>
        </w:tabs>
        <w:ind w:firstLine="547"/>
        <w:jc w:val="both"/>
        <w:outlineLvl w:val="5"/>
        <w:rPr>
          <w:kern w:val="2"/>
        </w:rPr>
      </w:pPr>
      <w:r w:rsidRPr="00FC5566">
        <w:rPr>
          <w:kern w:val="2"/>
        </w:rPr>
        <w:t>b.</w:t>
      </w:r>
      <w:r w:rsidRPr="00FC5566">
        <w:rPr>
          <w:kern w:val="2"/>
        </w:rPr>
        <w:tab/>
        <w:t>construction project―50 percent cash match is mandatory.</w:t>
      </w:r>
    </w:p>
    <w:p w14:paraId="58D5333C"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A cost sharing or matching requirement may not be met by costs borne by another federal grant. Costs financed by general program income shall not count towards satisfying a cost sharing or matching requirement.</w:t>
      </w:r>
    </w:p>
    <w:p w14:paraId="061B6875"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49:664.6 and R.S. 36.477.</w:t>
      </w:r>
    </w:p>
    <w:p w14:paraId="6482F3F1"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Rehabilitation Services, LR 21:586 (June 1995), amended by Louisiana Works, Rehabilitation Services, LR 52:1384 (August 2026).</w:t>
      </w:r>
    </w:p>
    <w:p w14:paraId="0ED56189"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§1723.</w:t>
      </w:r>
      <w:r w:rsidRPr="00FC5566">
        <w:rPr>
          <w:b/>
          <w:kern w:val="2"/>
        </w:rPr>
        <w:tab/>
        <w:t>Property</w:t>
      </w:r>
    </w:p>
    <w:p w14:paraId="2B0B7759"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Title to real property and equipment acquired under a grant shall vest, upon acquisition, in the grantee (LRS).</w:t>
      </w:r>
    </w:p>
    <w:p w14:paraId="71EE5C1C"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Real Property. Land including land improvements, structures and appurtenances thereto, but excluding movable machinery and equipment.</w:t>
      </w:r>
    </w:p>
    <w:p w14:paraId="605082A6" w14:textId="77777777" w:rsidR="00FC5566" w:rsidRPr="00FC5566" w:rsidRDefault="00FC5566" w:rsidP="00FC5566">
      <w:pPr>
        <w:tabs>
          <w:tab w:val="left" w:pos="907"/>
        </w:tabs>
        <w:ind w:firstLine="547"/>
        <w:jc w:val="both"/>
        <w:outlineLvl w:val="5"/>
        <w:rPr>
          <w:kern w:val="2"/>
        </w:rPr>
      </w:pPr>
      <w:r w:rsidRPr="00FC5566">
        <w:rPr>
          <w:kern w:val="2"/>
        </w:rPr>
        <w:t>a.</w:t>
      </w:r>
      <w:r w:rsidRPr="00FC5566">
        <w:rPr>
          <w:kern w:val="2"/>
        </w:rPr>
        <w:tab/>
        <w:t>…</w:t>
      </w:r>
    </w:p>
    <w:p w14:paraId="0BB10A7A" w14:textId="77777777" w:rsidR="00FC5566" w:rsidRPr="00FC5566" w:rsidRDefault="00FC5566" w:rsidP="00FC5566">
      <w:pPr>
        <w:tabs>
          <w:tab w:val="left" w:pos="907"/>
        </w:tabs>
        <w:ind w:firstLine="547"/>
        <w:jc w:val="both"/>
        <w:outlineLvl w:val="5"/>
        <w:rPr>
          <w:kern w:val="2"/>
        </w:rPr>
      </w:pPr>
      <w:r w:rsidRPr="00FC5566">
        <w:rPr>
          <w:kern w:val="2"/>
        </w:rPr>
        <w:t>b.</w:t>
      </w:r>
      <w:r w:rsidRPr="00FC5566">
        <w:rPr>
          <w:kern w:val="2"/>
        </w:rPr>
        <w:tab/>
        <w:t xml:space="preserve">When real property is no longer to be used for the originally authorized purpose, the disposition instructions of LRS shall be followed. LRS will request disposition instructions from Rehabilitation Services Administration. </w:t>
      </w:r>
    </w:p>
    <w:p w14:paraId="21EB9A94"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Equipment</w:t>
      </w:r>
    </w:p>
    <w:p w14:paraId="6695D257" w14:textId="77777777" w:rsidR="00FC5566" w:rsidRPr="00FC5566" w:rsidRDefault="00FC5566" w:rsidP="00FC5566">
      <w:pPr>
        <w:tabs>
          <w:tab w:val="left" w:pos="907"/>
        </w:tabs>
        <w:ind w:firstLine="547"/>
        <w:jc w:val="both"/>
        <w:outlineLvl w:val="5"/>
        <w:rPr>
          <w:kern w:val="2"/>
        </w:rPr>
      </w:pPr>
      <w:r w:rsidRPr="00FC5566">
        <w:rPr>
          <w:kern w:val="2"/>
        </w:rPr>
        <w:t>a.</w:t>
      </w:r>
      <w:r w:rsidRPr="00FC5566">
        <w:rPr>
          <w:kern w:val="2"/>
        </w:rPr>
        <w:tab/>
        <w:t>Tangible personal property having an acquisition cost of $10,000 or more per unit.</w:t>
      </w:r>
    </w:p>
    <w:p w14:paraId="1CB344C0" w14:textId="77777777" w:rsidR="00FC5566" w:rsidRPr="00FC5566" w:rsidRDefault="00FC5566" w:rsidP="00FC5566">
      <w:pPr>
        <w:tabs>
          <w:tab w:val="left" w:pos="907"/>
        </w:tabs>
        <w:ind w:firstLine="547"/>
        <w:jc w:val="both"/>
        <w:outlineLvl w:val="5"/>
        <w:rPr>
          <w:kern w:val="2"/>
        </w:rPr>
      </w:pPr>
      <w:r w:rsidRPr="00FC5566">
        <w:rPr>
          <w:kern w:val="2"/>
        </w:rPr>
        <w:lastRenderedPageBreak/>
        <w:t>b.</w:t>
      </w:r>
      <w:r w:rsidRPr="00FC5566">
        <w:rPr>
          <w:kern w:val="2"/>
        </w:rPr>
        <w:tab/>
        <w:t>Equipment shall be used by the recipient in the project or program for which it was acquired as long as needed. When no longer needed for the original project or program, the recipient shall use the equipment in other projects or programs currently or previously sponsored by LRS. When the recipient can no longer use the equipment it shall be made available to other recipients of LRS funding.</w:t>
      </w:r>
    </w:p>
    <w:p w14:paraId="246137DE" w14:textId="77777777" w:rsidR="00FC5566" w:rsidRPr="00FC5566" w:rsidRDefault="00FC5566" w:rsidP="00FC5566">
      <w:pPr>
        <w:tabs>
          <w:tab w:val="left" w:pos="907"/>
        </w:tabs>
        <w:ind w:firstLine="547"/>
        <w:jc w:val="both"/>
        <w:outlineLvl w:val="5"/>
        <w:rPr>
          <w:kern w:val="2"/>
        </w:rPr>
      </w:pPr>
      <w:r w:rsidRPr="00FC5566">
        <w:rPr>
          <w:kern w:val="2"/>
        </w:rPr>
        <w:t>c.</w:t>
      </w:r>
      <w:r w:rsidRPr="00FC5566">
        <w:rPr>
          <w:kern w:val="2"/>
        </w:rPr>
        <w:tab/>
        <w:t>…</w:t>
      </w:r>
    </w:p>
    <w:p w14:paraId="40A90961"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49:664.6 and R.S. 36.477.</w:t>
      </w:r>
    </w:p>
    <w:p w14:paraId="2FD99DE3"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Rehabilitation Services, LR 21:586 (June 1995), amended by the Workforce Commission, Rehabilitation Services, LR 48:309 (February 2022), amended by Louisiana Works, Rehabilitation Services, LR 52:1384 (August 2026).</w:t>
      </w:r>
    </w:p>
    <w:p w14:paraId="4A8AEA87"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§1725.</w:t>
      </w:r>
      <w:r w:rsidRPr="00FC5566">
        <w:rPr>
          <w:b/>
          <w:kern w:val="2"/>
        </w:rPr>
        <w:tab/>
        <w:t>Equipment Management Requirements</w:t>
      </w:r>
    </w:p>
    <w:p w14:paraId="4E540772"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w:t>
      </w:r>
    </w:p>
    <w:p w14:paraId="08AE886B"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Property records shall be maintained accurately. (Retention and access requirements for these records are explained in §1731).</w:t>
      </w:r>
    </w:p>
    <w:p w14:paraId="2AB428D8"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 - 4.</w:t>
      </w:r>
      <w:r w:rsidRPr="00FC5566">
        <w:rPr>
          <w:kern w:val="2"/>
        </w:rPr>
        <w:tab/>
        <w:t>…</w:t>
      </w:r>
    </w:p>
    <w:p w14:paraId="5C8FB43E"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49:664.6 and R.S. 36.477.</w:t>
      </w:r>
    </w:p>
    <w:p w14:paraId="10029D32"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 xml:space="preserve">Promulgated by the Department of Social Services, Office of Rehabilitation Services, LR 21:586 (June 1995), amended by Louisiana Works, Rehabilitation Services, LR 52:1385 (August 2026). </w:t>
      </w:r>
    </w:p>
    <w:p w14:paraId="4F554581"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§1729.</w:t>
      </w:r>
      <w:r w:rsidRPr="00FC5566">
        <w:rPr>
          <w:b/>
          <w:kern w:val="2"/>
        </w:rPr>
        <w:tab/>
        <w:t>Monitoring</w:t>
      </w:r>
    </w:p>
    <w:p w14:paraId="15584480"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Contractors shall monitor the performance of contract supported activities. They shall review each program function, or activity to assure that adequate progress is being made towards achieving the goals of the project. A performance report will be required quarterly to be submitted to LRS. A final performance report shall be due 30 days after the termination of the contract. The performance report shall conform to any instructions issued by LRS including:</w:t>
      </w:r>
    </w:p>
    <w:p w14:paraId="7648A5C8"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 - 3.</w:t>
      </w:r>
      <w:r w:rsidRPr="00FC5566">
        <w:rPr>
          <w:kern w:val="2"/>
        </w:rPr>
        <w:tab/>
        <w:t>…</w:t>
      </w:r>
    </w:p>
    <w:p w14:paraId="5C0CEE3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Formal performance reports under construction projects shall be required only if considered necessary by LRS.</w:t>
      </w:r>
    </w:p>
    <w:p w14:paraId="771B272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Between the scheduled performance reporting dates, events may occur which have significant impact upon the grant supported activity. In such cases, the recipient shall inform LRS as soon as the following types of conditions become known:</w:t>
      </w:r>
    </w:p>
    <w:p w14:paraId="67BA7423"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 - 2.</w:t>
      </w:r>
      <w:r w:rsidRPr="00FC5566">
        <w:rPr>
          <w:kern w:val="2"/>
        </w:rPr>
        <w:tab/>
        <w:t>…</w:t>
      </w:r>
    </w:p>
    <w:p w14:paraId="7706428C"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D.</w:t>
      </w:r>
      <w:r w:rsidRPr="00FC5566">
        <w:rPr>
          <w:kern w:val="2"/>
        </w:rPr>
        <w:tab/>
        <w:t>Site visits will be made as necessary by LRS to:</w:t>
      </w:r>
    </w:p>
    <w:p w14:paraId="4633DAE9"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 - 2.</w:t>
      </w:r>
      <w:r w:rsidRPr="00FC5566">
        <w:rPr>
          <w:kern w:val="2"/>
        </w:rPr>
        <w:tab/>
        <w:t>…</w:t>
      </w:r>
    </w:p>
    <w:p w14:paraId="4E6205C5"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49:664.6 and R.S. 36.477.</w:t>
      </w:r>
    </w:p>
    <w:p w14:paraId="21842A57"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Rehabilitation Services, LR 21:587 (June 1995), amended by Louisiana Works, Rehabilitation Services, LR 52:1385 (August 2026).</w:t>
      </w:r>
    </w:p>
    <w:p w14:paraId="665901ED"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§1731.</w:t>
      </w:r>
      <w:r w:rsidRPr="00FC5566">
        <w:rPr>
          <w:b/>
          <w:kern w:val="2"/>
        </w:rPr>
        <w:tab/>
        <w:t>Retention and Access Requirements for Records</w:t>
      </w:r>
    </w:p>
    <w:p w14:paraId="7FABD562"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All financial and programmatic records, supporting documents, statistical records and other records of recipients under contracts shall be retained for three years after expiration date of the contract.</w:t>
      </w:r>
    </w:p>
    <w:p w14:paraId="7E260D3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The retention period for the equipment records starts from the date of the equipment disposition or replacement or transfer at the direction of LRS.</w:t>
      </w:r>
    </w:p>
    <w:p w14:paraId="14D586CB"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br w:type="column"/>
      </w:r>
      <w:r w:rsidRPr="00FC5566">
        <w:rPr>
          <w:kern w:val="2"/>
        </w:rPr>
        <w:t>C.</w:t>
      </w:r>
      <w:r w:rsidRPr="00FC5566">
        <w:rPr>
          <w:kern w:val="2"/>
        </w:rPr>
        <w:tab/>
        <w:t>LRS' requirement concerning the disposition of program income will be satisfied by applying the income to costs incurred after expiration or termination of grant support for the activity giving rise to the income. The retention period for the records pertaining to the costs starts from the end of the recipients fiscal year in which the costs are incurred.</w:t>
      </w:r>
    </w:p>
    <w:p w14:paraId="5EA0D9CF"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D.</w:t>
      </w:r>
      <w:r w:rsidRPr="00FC5566">
        <w:rPr>
          <w:kern w:val="2"/>
        </w:rPr>
        <w:tab/>
        <w:t>LRS, or any of their authorized representatives, shall have the right of access to any books, documents, papers, or other records of the contractor which are pertinent to the grant. This includes records of contractors and subcontractors.</w:t>
      </w:r>
    </w:p>
    <w:p w14:paraId="5BD0BFA7"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49:664.6 and R.S. 36.477.</w:t>
      </w:r>
    </w:p>
    <w:p w14:paraId="72554142"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Rehabilitation Services, LR 21:587 (June 1995), amended by Louisiana Works, Rehabilitation Services, LR 52:1385 (August 2026).</w:t>
      </w:r>
    </w:p>
    <w:p w14:paraId="4BB567C7"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§1733.</w:t>
      </w:r>
      <w:r w:rsidRPr="00FC5566">
        <w:rPr>
          <w:b/>
          <w:kern w:val="2"/>
        </w:rPr>
        <w:tab/>
        <w:t>Programmatic Changes and Budget Revisions</w:t>
      </w:r>
    </w:p>
    <w:p w14:paraId="095B1F3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When requesting a prior approval, contractors shall address their request to the responsible LRS contract monitor. Approvals shall not be valid unless they are in writing and signed by the authorized LRS official. Within 30 days from the date of receipt of a request for approval, the approval authority shall review the request and notify the recipient of its decision.</w:t>
      </w:r>
    </w:p>
    <w:p w14:paraId="07C9B70F"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w:t>
      </w:r>
    </w:p>
    <w:p w14:paraId="60807CC2"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The recipient shall obtain prior approval for any change to the scope or objectives of the approved project. (For construction projects any material change in approved space utilization or functional layout shall be considered a change in scope.)</w:t>
      </w:r>
    </w:p>
    <w:p w14:paraId="3C3F152A"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The recipient of a contract shall obtain prior approval:</w:t>
      </w:r>
    </w:p>
    <w:p w14:paraId="5B1BBB4E"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B.2.a. - b.</w:t>
      </w:r>
      <w:r w:rsidRPr="00FC5566">
        <w:rPr>
          <w:kern w:val="2"/>
        </w:rPr>
        <w:tab/>
        <w:t>…</w:t>
      </w:r>
    </w:p>
    <w:p w14:paraId="51ED9160"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The following shall require prior approval except to the extent explicitly included in the project plan as approved by LRS at the time of the contract:</w:t>
      </w:r>
    </w:p>
    <w:p w14:paraId="21EEFB40"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3.a. - 3.a.i.</w:t>
      </w:r>
      <w:r w:rsidRPr="00FC5566">
        <w:rPr>
          <w:kern w:val="2"/>
        </w:rPr>
        <w:tab/>
        <w:t>…</w:t>
      </w:r>
    </w:p>
    <w:p w14:paraId="682984E3"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Budget Revisions. The recipient of a contract having an approved budget shall obtain prior approval for any budget revision which will:</w:t>
      </w:r>
    </w:p>
    <w:p w14:paraId="1BDBF2FA"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 - 2.</w:t>
      </w:r>
      <w:r w:rsidRPr="00FC5566">
        <w:rPr>
          <w:kern w:val="2"/>
        </w:rPr>
        <w:tab/>
        <w:t>…</w:t>
      </w:r>
    </w:p>
    <w:p w14:paraId="6005139F"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result in a need for the increase in the contract.</w:t>
      </w:r>
    </w:p>
    <w:p w14:paraId="3DCE9A72"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49:664.6 and R.S. 36.477.</w:t>
      </w:r>
    </w:p>
    <w:p w14:paraId="3A07DF88"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Rehabilitation Services, LR 21:588 (June 1995), amended by Louisiana Works, Rehabilitation Services, LR 52:1385 (August 2026).</w:t>
      </w:r>
    </w:p>
    <w:p w14:paraId="5B172F42"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§1735.</w:t>
      </w:r>
      <w:r w:rsidRPr="00FC5566">
        <w:rPr>
          <w:b/>
          <w:kern w:val="2"/>
        </w:rPr>
        <w:tab/>
        <w:t>Contract Provisions</w:t>
      </w:r>
    </w:p>
    <w:p w14:paraId="237CE26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C.</w:t>
      </w:r>
      <w:r w:rsidRPr="00FC5566">
        <w:rPr>
          <w:kern w:val="2"/>
        </w:rPr>
        <w:tab/>
        <w:t>…</w:t>
      </w:r>
    </w:p>
    <w:p w14:paraId="0907353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D.</w:t>
      </w:r>
      <w:r w:rsidRPr="00FC5566">
        <w:rPr>
          <w:kern w:val="2"/>
        </w:rPr>
        <w:tab/>
        <w:t>Federal Assurances. Contracts for construction, alteration, and/or repair in excess of $2,000 must comply with the requirements of the Davis Bacon Act. (40 U.S.C. §276 A-7).</w:t>
      </w:r>
    </w:p>
    <w:p w14:paraId="7491024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49:664.6 and R.S. 36.477.</w:t>
      </w:r>
    </w:p>
    <w:p w14:paraId="7A113754"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Rehabilitation Services, LR 21:588 (June 1995), amended by the Workforce Commission, Rehabilitation Services, LR 48:309 (February 2022), amended by Louisiana Works, Rehabilitation Services, LR 52:1385 (August 2026).</w:t>
      </w:r>
    </w:p>
    <w:p w14:paraId="0184941F"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lastRenderedPageBreak/>
        <w:t>§1737.</w:t>
      </w:r>
      <w:r w:rsidRPr="00FC5566">
        <w:rPr>
          <w:b/>
          <w:kern w:val="2"/>
        </w:rPr>
        <w:tab/>
        <w:t>Insurance</w:t>
      </w:r>
    </w:p>
    <w:p w14:paraId="56330D73"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Contractors shall observe LRS's requirements and practices with respect to bonding and insurance as specified in contract agreement.</w:t>
      </w:r>
    </w:p>
    <w:p w14:paraId="7F97EAB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49:664.6 and R.S. 36.477.</w:t>
      </w:r>
    </w:p>
    <w:p w14:paraId="0214500B"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Rehabilitation Services, LR 21:588 (June 1995), amended by the Workforce Commission, Rehabilitation Services, LR 48:309 (February 2022), amended by Louisiana Works, Rehabilitation Services, LR 52:1386 (August 2026).</w:t>
      </w:r>
    </w:p>
    <w:p w14:paraId="604F564A"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§1739.</w:t>
      </w:r>
      <w:r w:rsidRPr="00FC5566">
        <w:rPr>
          <w:b/>
          <w:kern w:val="2"/>
        </w:rPr>
        <w:tab/>
        <w:t>Contract Closeout</w:t>
      </w:r>
    </w:p>
    <w:p w14:paraId="5EAE39B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Each contract shall be closed out as promptly as is feasible after termination. In closing out contracts, the following shall be observed.</w:t>
      </w:r>
    </w:p>
    <w:p w14:paraId="5CE9E4DF"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Upon request LRS shall promptly pay the contractor for any allowable reimbursable costs not covered by previous payments.</w:t>
      </w:r>
    </w:p>
    <w:p w14:paraId="13FE175B"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The contractor shall immediately refund any unobligated balance of cash advance to the grantee.</w:t>
      </w:r>
    </w:p>
    <w:p w14:paraId="15D2B775"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The contractor shall submit within 30 days of the date of termination, any financial, performance, and other reports required by the terms of the contract.</w:t>
      </w:r>
    </w:p>
    <w:p w14:paraId="4FD4BC39"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The closeout of a contract does not affect the retention period for, or LRS' rights of access to contract records. The closeout of a contract does not affect the responsibilities with respect to property under §1723, or with respect to any program income for which the grantee is still accountable under §1721.</w:t>
      </w:r>
    </w:p>
    <w:p w14:paraId="2F45C3CE"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Violation of Terms. When a contractor has materially failed to comply with the terms of a contract, LRS may suspend the contract in whole or in part. The notice of suspension will state the reasons for the suspension, any corrective action required, and the effective date. Suspensions shall remain in effect until the contractor has taken corrective action satisfactory to LRS or given evidence satisfactory to LRS that such corrective action will be taken or until LRS terminates the contract. New obligations incurred by the contractor during the suspension period will not be allowed unless LRS expressly authorizes them in the notice of suspension or an amendment to it. Necessary and otherwise allowable costs which the contractor could not reasonably avoid during the suspension period will be allowed if they result from obligations properly incurred by the contractor before the effective date of the suspension and not in anticipation of suspension or termination.</w:t>
      </w:r>
    </w:p>
    <w:p w14:paraId="22757B4C"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D.</w:t>
      </w:r>
      <w:r w:rsidRPr="00FC5566">
        <w:rPr>
          <w:kern w:val="2"/>
        </w:rPr>
        <w:tab/>
        <w:t>Termination for Cause. LRS may terminate any contract in whole or in part, at any time before the date of expiration, whenever LRS determines that the contractor has materially failed to comply with the terms of the contract. LRS shall notify the contractor in writing of the determination and the reasons for the termination together with the effective date. (All notification for termination shall be given 30 days prior to the effective termination date.)</w:t>
      </w:r>
    </w:p>
    <w:p w14:paraId="1007D4B3"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E.</w:t>
      </w:r>
      <w:r w:rsidRPr="00FC5566">
        <w:rPr>
          <w:kern w:val="2"/>
        </w:rPr>
        <w:tab/>
        <w:t>Termination on Other Grounds. Contracts may also be terminated in whole or in part only as follows:</w:t>
      </w:r>
    </w:p>
    <w:p w14:paraId="17779273"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by LRS with the consent of the contractor, in which case the two parties shall agree upon the termination conditions, including the effective date and in the case of partial terminations, the portion to be terminated; or</w:t>
      </w:r>
    </w:p>
    <w:p w14:paraId="6139FAD3"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 xml:space="preserve">by the contractor, upon written notification to LRS, setting forth the reasons for such termination, the effective </w:t>
      </w:r>
      <w:r w:rsidRPr="00FC5566">
        <w:rPr>
          <w:kern w:val="2"/>
        </w:rPr>
        <w:t>date, and in the case of partial terminations, the portion to be terminated.</w:t>
      </w:r>
    </w:p>
    <w:p w14:paraId="08586193"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F.</w:t>
      </w:r>
      <w:r w:rsidRPr="00FC5566">
        <w:rPr>
          <w:kern w:val="2"/>
        </w:rPr>
        <w:tab/>
        <w:t>Termination Settlements. When a contract is terminated, the contractor shall not incur new obligations for the terminated portion after the effective date, and shall cancel as many outstanding obligations as possible. LRS will allow full credit to the contractor for the federal share of the non-cancelable obligations properly incurred by the grantee prior to termination.</w:t>
      </w:r>
    </w:p>
    <w:p w14:paraId="41A3ED9D"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49:664.6 and R.S. 36.477.</w:t>
      </w:r>
    </w:p>
    <w:p w14:paraId="48DF7621"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Rehabilitation Services, LR 21:588 (June 1995), amended by Louisiana Works, Rehabilitation Services, LR 52:1386 (August 2026).</w:t>
      </w:r>
    </w:p>
    <w:p w14:paraId="3FC39E83"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413" w:name="TOC_Chap204"/>
      <w:bookmarkStart w:id="414" w:name="_Toc215471751"/>
      <w:bookmarkStart w:id="415" w:name="_Toc248893927"/>
      <w:bookmarkStart w:id="416" w:name="_Toc257206050"/>
      <w:bookmarkStart w:id="417" w:name="_Toc40958004"/>
      <w:r w:rsidRPr="00FC5566">
        <w:rPr>
          <w:b/>
          <w:kern w:val="2"/>
        </w:rPr>
        <w:t>Chapter 21.</w:t>
      </w:r>
      <w:bookmarkEnd w:id="413"/>
      <w:r w:rsidRPr="00FC5566">
        <w:rPr>
          <w:b/>
          <w:kern w:val="2"/>
        </w:rPr>
        <w:tab/>
      </w:r>
      <w:bookmarkStart w:id="418" w:name="TOCT_Chap290"/>
      <w:bookmarkStart w:id="419" w:name="TOCT_Chap212"/>
      <w:bookmarkStart w:id="420" w:name="TOCT_Chap198"/>
      <w:bookmarkStart w:id="421" w:name="TOCT_Chap199"/>
      <w:bookmarkStart w:id="422" w:name="TOCT_Chap195"/>
      <w:bookmarkStart w:id="423" w:name="TOCT_Chap204"/>
      <w:r w:rsidRPr="00FC5566">
        <w:rPr>
          <w:b/>
          <w:kern w:val="2"/>
        </w:rPr>
        <w:t>Randolph-Sheppard Trust Fund Policy</w:t>
      </w:r>
      <w:bookmarkEnd w:id="414"/>
      <w:bookmarkEnd w:id="415"/>
      <w:bookmarkEnd w:id="416"/>
      <w:bookmarkEnd w:id="417"/>
      <w:bookmarkEnd w:id="418"/>
      <w:bookmarkEnd w:id="419"/>
      <w:bookmarkEnd w:id="420"/>
      <w:bookmarkEnd w:id="421"/>
      <w:bookmarkEnd w:id="422"/>
      <w:bookmarkEnd w:id="423"/>
    </w:p>
    <w:p w14:paraId="4EA4EF37"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424" w:name="_Toc215471754"/>
      <w:bookmarkStart w:id="425" w:name="_Toc248893930"/>
      <w:bookmarkStart w:id="426" w:name="_Toc257206053"/>
      <w:bookmarkStart w:id="427" w:name="_Toc40958007"/>
      <w:r w:rsidRPr="00FC5566">
        <w:rPr>
          <w:b/>
          <w:kern w:val="2"/>
        </w:rPr>
        <w:t>§2101.</w:t>
      </w:r>
      <w:r w:rsidRPr="00FC5566">
        <w:rPr>
          <w:b/>
          <w:kern w:val="2"/>
        </w:rPr>
        <w:tab/>
        <w:t>Program Profile</w:t>
      </w:r>
    </w:p>
    <w:p w14:paraId="2879F2D7"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w:t>
      </w:r>
    </w:p>
    <w:p w14:paraId="6965DE1F"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Program Administration</w:t>
      </w:r>
    </w:p>
    <w:p w14:paraId="04073810"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The administration of the fund shall be exercised by Louisiana Works,</w:t>
      </w:r>
      <w:r w:rsidRPr="00FC5566">
        <w:rPr>
          <w:i/>
          <w:kern w:val="2"/>
        </w:rPr>
        <w:t xml:space="preserve"> </w:t>
      </w:r>
      <w:r w:rsidRPr="00FC5566">
        <w:rPr>
          <w:kern w:val="2"/>
        </w:rPr>
        <w:t>Louisiana Rehabilitation Services.</w:t>
      </w:r>
    </w:p>
    <w:p w14:paraId="23FE6766"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w:t>
      </w:r>
    </w:p>
    <w:p w14:paraId="71D1869F"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23:3041-23:3045.</w:t>
      </w:r>
    </w:p>
    <w:p w14:paraId="0E268869"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Rehabilitation Services, LR 22:119 (February 1996), amended by the Workforce Commission, Rehabilitation Services, LR 41:2179 (October 2015), amended by Louisiana Works, Rehabilitation Services, LR 52:1386 (August 2026).</w:t>
      </w:r>
    </w:p>
    <w:p w14:paraId="774BE75A"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§2103.</w:t>
      </w:r>
      <w:r w:rsidRPr="00FC5566">
        <w:rPr>
          <w:b/>
          <w:kern w:val="2"/>
        </w:rPr>
        <w:tab/>
        <w:t>Enabling Legislation</w:t>
      </w:r>
    </w:p>
    <w:p w14:paraId="35F76547"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Senate Bill No. 676, Act 1285 of the 1995 Regular Session, and Revised Statutes 23:3041 through 3045.</w:t>
      </w:r>
    </w:p>
    <w:p w14:paraId="6EF518C0"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46:2641-2645.</w:t>
      </w:r>
    </w:p>
    <w:p w14:paraId="4BC37449"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Rehabilitation Services, LR 22:119 (February 1996), amended by Louisiana Works, Rehabilitation Services, LR 52:1386 (August 2026).</w:t>
      </w:r>
    </w:p>
    <w:p w14:paraId="2450FC26"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§2105.</w:t>
      </w:r>
      <w:r w:rsidRPr="00FC5566">
        <w:rPr>
          <w:b/>
          <w:kern w:val="2"/>
        </w:rPr>
        <w:tab/>
        <w:t>Definitions</w:t>
      </w:r>
      <w:bookmarkEnd w:id="424"/>
      <w:bookmarkEnd w:id="425"/>
      <w:bookmarkEnd w:id="426"/>
      <w:bookmarkEnd w:id="427"/>
    </w:p>
    <w:p w14:paraId="51E5F94C" w14:textId="77777777" w:rsidR="00FC5566" w:rsidRPr="00FC5566" w:rsidRDefault="00FC5566" w:rsidP="00FC5566">
      <w:pPr>
        <w:tabs>
          <w:tab w:val="left" w:pos="720"/>
          <w:tab w:val="left" w:pos="979"/>
          <w:tab w:val="left" w:pos="1152"/>
        </w:tabs>
        <w:ind w:firstLine="360"/>
        <w:jc w:val="both"/>
        <w:outlineLvl w:val="4"/>
        <w:rPr>
          <w:kern w:val="2"/>
        </w:rPr>
      </w:pPr>
      <w:r w:rsidRPr="00FC5566">
        <w:rPr>
          <w:i/>
          <w:kern w:val="2"/>
        </w:rPr>
        <w:t>Agency</w:t>
      </w:r>
      <w:r w:rsidRPr="00FC5566">
        <w:rPr>
          <w:kern w:val="2"/>
        </w:rPr>
        <w:t>—Louisiana Rehabilitation Services of the Office of Workforce Development within Louisiana Works, which licenses blind vendors.</w:t>
      </w:r>
    </w:p>
    <w:p w14:paraId="7E99BAFD" w14:textId="77777777" w:rsidR="00FC5566" w:rsidRPr="00FC5566" w:rsidRDefault="00FC5566" w:rsidP="00FC5566">
      <w:pPr>
        <w:tabs>
          <w:tab w:val="left" w:pos="720"/>
          <w:tab w:val="left" w:pos="979"/>
          <w:tab w:val="left" w:pos="1152"/>
        </w:tabs>
        <w:ind w:firstLine="360"/>
        <w:jc w:val="both"/>
        <w:outlineLvl w:val="4"/>
        <w:rPr>
          <w:kern w:val="2"/>
        </w:rPr>
      </w:pPr>
      <w:r w:rsidRPr="00FC5566">
        <w:rPr>
          <w:i/>
          <w:kern w:val="2"/>
        </w:rPr>
        <w:t>Blind Vendors</w:t>
      </w:r>
      <w:r w:rsidRPr="00FC5566">
        <w:rPr>
          <w:kern w:val="2"/>
        </w:rPr>
        <w:t>—those individuals who are classified under state and federal regulations as legally blind and who are licensed to and have a permit to operate vending facilities on state, federal, or other property.</w:t>
      </w:r>
    </w:p>
    <w:p w14:paraId="6AA768B4" w14:textId="77777777" w:rsidR="00FC5566" w:rsidRPr="00FC5566" w:rsidRDefault="00FC5566" w:rsidP="00FC5566">
      <w:pPr>
        <w:tabs>
          <w:tab w:val="left" w:pos="720"/>
          <w:tab w:val="left" w:pos="979"/>
          <w:tab w:val="left" w:pos="1152"/>
        </w:tabs>
        <w:ind w:firstLine="360"/>
        <w:jc w:val="both"/>
        <w:outlineLvl w:val="4"/>
        <w:rPr>
          <w:kern w:val="2"/>
        </w:rPr>
      </w:pPr>
      <w:r w:rsidRPr="00FC5566">
        <w:rPr>
          <w:i/>
          <w:kern w:val="2"/>
        </w:rPr>
        <w:t>Board</w:t>
      </w:r>
      <w:r w:rsidRPr="00FC5566">
        <w:rPr>
          <w:kern w:val="2"/>
        </w:rPr>
        <w:t xml:space="preserve">—the </w:t>
      </w:r>
      <w:r w:rsidRPr="00FC5566">
        <w:rPr>
          <w:iCs/>
          <w:kern w:val="2"/>
        </w:rPr>
        <w:t>Blind Vendors</w:t>
      </w:r>
      <w:r w:rsidRPr="00FC5566">
        <w:rPr>
          <w:kern w:val="2"/>
        </w:rPr>
        <w:t xml:space="preserve"> Trust Fund Advisory Board.</w:t>
      </w:r>
    </w:p>
    <w:p w14:paraId="3368B7B4" w14:textId="77777777" w:rsidR="00FC5566" w:rsidRPr="00FC5566" w:rsidRDefault="00FC5566" w:rsidP="00FC5566">
      <w:pPr>
        <w:tabs>
          <w:tab w:val="left" w:pos="720"/>
          <w:tab w:val="left" w:pos="979"/>
          <w:tab w:val="left" w:pos="1152"/>
        </w:tabs>
        <w:ind w:firstLine="360"/>
        <w:jc w:val="both"/>
        <w:outlineLvl w:val="4"/>
        <w:rPr>
          <w:kern w:val="2"/>
        </w:rPr>
      </w:pPr>
      <w:r w:rsidRPr="00FC5566">
        <w:rPr>
          <w:i/>
          <w:kern w:val="2"/>
        </w:rPr>
        <w:t>Department</w:t>
      </w:r>
      <w:r w:rsidRPr="00FC5566">
        <w:rPr>
          <w:kern w:val="2"/>
        </w:rPr>
        <w:t>—Louisiana Works.</w:t>
      </w:r>
    </w:p>
    <w:p w14:paraId="535C46F6" w14:textId="77777777" w:rsidR="00FC5566" w:rsidRPr="00FC5566" w:rsidRDefault="00FC5566" w:rsidP="00FC5566">
      <w:pPr>
        <w:tabs>
          <w:tab w:val="left" w:pos="720"/>
          <w:tab w:val="left" w:pos="979"/>
          <w:tab w:val="left" w:pos="1152"/>
        </w:tabs>
        <w:ind w:firstLine="360"/>
        <w:jc w:val="both"/>
        <w:outlineLvl w:val="4"/>
        <w:rPr>
          <w:kern w:val="2"/>
        </w:rPr>
      </w:pPr>
      <w:r w:rsidRPr="00FC5566">
        <w:rPr>
          <w:i/>
          <w:kern w:val="2"/>
        </w:rPr>
        <w:t>Director</w:t>
      </w:r>
      <w:r w:rsidRPr="00FC5566">
        <w:rPr>
          <w:kern w:val="2"/>
        </w:rPr>
        <w:t>—Rehabilitation Services Director of the State Licensing Agency.</w:t>
      </w:r>
    </w:p>
    <w:p w14:paraId="161B2BA7" w14:textId="77777777" w:rsidR="00FC5566" w:rsidRPr="00FC5566" w:rsidRDefault="00FC5566" w:rsidP="00FC5566">
      <w:pPr>
        <w:tabs>
          <w:tab w:val="left" w:pos="720"/>
          <w:tab w:val="left" w:pos="979"/>
          <w:tab w:val="left" w:pos="1152"/>
        </w:tabs>
        <w:ind w:firstLine="360"/>
        <w:jc w:val="both"/>
        <w:outlineLvl w:val="4"/>
        <w:rPr>
          <w:kern w:val="2"/>
        </w:rPr>
      </w:pPr>
      <w:r w:rsidRPr="00FC5566">
        <w:rPr>
          <w:i/>
          <w:kern w:val="2"/>
        </w:rPr>
        <w:t>Fund</w:t>
      </w:r>
      <w:r w:rsidRPr="00FC5566">
        <w:rPr>
          <w:kern w:val="2"/>
        </w:rPr>
        <w:t xml:space="preserve">—the </w:t>
      </w:r>
      <w:r w:rsidRPr="00FC5566">
        <w:rPr>
          <w:iCs/>
          <w:kern w:val="2"/>
        </w:rPr>
        <w:t>Blind Vendors</w:t>
      </w:r>
      <w:r w:rsidRPr="00FC5566">
        <w:rPr>
          <w:kern w:val="2"/>
        </w:rPr>
        <w:t xml:space="preserve"> Trust Fund.</w:t>
      </w:r>
    </w:p>
    <w:p w14:paraId="2B6668CE" w14:textId="77777777" w:rsidR="00FC5566" w:rsidRPr="00FC5566" w:rsidRDefault="00FC5566" w:rsidP="00FC5566">
      <w:pPr>
        <w:tabs>
          <w:tab w:val="left" w:pos="720"/>
          <w:tab w:val="left" w:pos="979"/>
          <w:tab w:val="left" w:pos="1152"/>
        </w:tabs>
        <w:ind w:firstLine="360"/>
        <w:jc w:val="both"/>
        <w:outlineLvl w:val="4"/>
        <w:rPr>
          <w:kern w:val="2"/>
        </w:rPr>
      </w:pPr>
      <w:r w:rsidRPr="00FC5566">
        <w:rPr>
          <w:i/>
          <w:kern w:val="2"/>
        </w:rPr>
        <w:t>Randolph-Sheppard Act</w:t>
      </w:r>
      <w:r w:rsidRPr="00FC5566">
        <w:rPr>
          <w:kern w:val="2"/>
        </w:rPr>
        <w:t>—Public Law 74-732, as amended by Public Law 83-565, Public Law 93-516, and Public Law 95- 602, 20 U.S.C., 20 U.S.C. 107 et seq.</w:t>
      </w:r>
    </w:p>
    <w:p w14:paraId="12CF771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23:3041-23:3045.</w:t>
      </w:r>
    </w:p>
    <w:p w14:paraId="3C184F13"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Rehabilitation Services, LR 22:119 (February 1996), amended by the Workforce Commission, Rehabilitation Services, LR 41:2180 (October 2015), amended by the Workforce Commission, Rehabilitation Services, LR 48:309 (February 2022), amended by Louisiana Works, Rehabilitation Services, LR 52:1386 (August 2026).</w:t>
      </w:r>
    </w:p>
    <w:p w14:paraId="0B9E5BB4"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lastRenderedPageBreak/>
        <w:t>§2107.</w:t>
      </w:r>
      <w:r w:rsidRPr="00FC5566">
        <w:rPr>
          <w:b/>
          <w:kern w:val="2"/>
        </w:rPr>
        <w:tab/>
        <w:t xml:space="preserve">Blind Vendors Trust Fund Board </w:t>
      </w:r>
    </w:p>
    <w:p w14:paraId="5530CD0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The Blind Vendors Trust Fund Board shall be composed of nine members as follows:</w:t>
      </w:r>
    </w:p>
    <w:p w14:paraId="4C3647B4"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the Assistant Secretary or their designee;</w:t>
      </w:r>
    </w:p>
    <w:p w14:paraId="5969AD24"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eight members of the LBVEC.</w:t>
      </w:r>
    </w:p>
    <w:p w14:paraId="4624155F"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 - E.</w:t>
      </w:r>
      <w:r w:rsidRPr="00FC5566">
        <w:rPr>
          <w:kern w:val="2"/>
        </w:rPr>
        <w:tab/>
        <w:t>…</w:t>
      </w:r>
    </w:p>
    <w:p w14:paraId="7154A870"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23:3041-23:3045.</w:t>
      </w:r>
    </w:p>
    <w:p w14:paraId="57CEC31A"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Rehabilitation Services, LR 22:119 (February 1996), amended by the Workforce Commission, Rehabilitation Services, LR 41:2180 (October 2015), amended by Louisiana Works, Rehabilitation Services, LR 52:1387 (August 2026).</w:t>
      </w:r>
    </w:p>
    <w:p w14:paraId="321FA45F"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§2111.</w:t>
      </w:r>
      <w:r w:rsidRPr="00FC5566">
        <w:rPr>
          <w:b/>
          <w:kern w:val="2"/>
        </w:rPr>
        <w:tab/>
        <w:t>Expenditures</w:t>
      </w:r>
    </w:p>
    <w:p w14:paraId="02F1A7E2"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The monies in the fund shall be used solely for programs to provide services for the Business Enterprise Program established in Louisiana pursuant to the Randolph-Sheppard Act.</w:t>
      </w:r>
    </w:p>
    <w:p w14:paraId="0BC234A3"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w:t>
      </w:r>
    </w:p>
    <w:p w14:paraId="346A192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Income not expended for the primary purpose shall be used for the maintenance and replacement of equipment, the purchase of new equipment, management services, and securing a fair return to vendors, or as provided by state and federal guidelines with the active participation of the LBVEC and the Blind Vendors Trust Fund Board.</w:t>
      </w:r>
    </w:p>
    <w:p w14:paraId="65539FA9"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D.</w:t>
      </w:r>
      <w:r w:rsidRPr="00FC5566">
        <w:rPr>
          <w:kern w:val="2"/>
        </w:rPr>
        <w:tab/>
        <w:t>Money in the trust fund from vending machines located on state-owned property or on property leased by the state agency, or on other property shall be distributed for any purpose consistent with the Randolph-Sheppard Program as may be determined by the state licensing agency with the active participation of the LBVEC and the Blind Vendors Trust Fund Board.</w:t>
      </w:r>
    </w:p>
    <w:p w14:paraId="5420F152"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23:3041-23:3045.</w:t>
      </w:r>
    </w:p>
    <w:p w14:paraId="0ED6AD8F"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Rehabilitation Services, LR 22:120 (February 1996), amended by the Workforce Commission, Rehabilitation Services, LR 41:2180 (October 2015), amended by Louisiana Works, Rehabilitation Services, LR 52:1387 (August 2026).</w:t>
      </w:r>
    </w:p>
    <w:p w14:paraId="5CCD0776"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§2115.</w:t>
      </w:r>
      <w:r w:rsidRPr="00FC5566">
        <w:rPr>
          <w:b/>
          <w:kern w:val="2"/>
        </w:rPr>
        <w:tab/>
        <w:t>General Requirements</w:t>
      </w:r>
    </w:p>
    <w:p w14:paraId="40A422C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B.</w:t>
      </w:r>
      <w:r w:rsidRPr="00FC5566">
        <w:rPr>
          <w:kern w:val="2"/>
        </w:rPr>
        <w:tab/>
        <w:t>…</w:t>
      </w:r>
    </w:p>
    <w:p w14:paraId="73D69E6E"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Compliance with State and Federal Laws and Regulations, and Departmental Policies and Procedures. All agencies and staff involved in the Blind Vendors Trust Fund shall comply with all state and federal laws, including Louisiana Works’ policies and procedures as well as civil rights rules and regulations, as applicable.</w:t>
      </w:r>
    </w:p>
    <w:p w14:paraId="0B88CB04"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23:3041-23:3045.</w:t>
      </w:r>
    </w:p>
    <w:p w14:paraId="19E0FF0B"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Rehabilitation Services, LR 22:120 (February 1996), amended by the Workforce Commission, Rehabilitation Services, LR 41:2180 (October 2015), amended by the Workforce Commission, Rehabilitation Services, LR 48:310 (February 2022), amended by Louisiana Works, Rehabilitation Services, LR 52:1387 (August 2026).</w:t>
      </w:r>
    </w:p>
    <w:p w14:paraId="67A51160"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p w14:paraId="42987B8C" w14:textId="77777777" w:rsidR="00FC5566" w:rsidRPr="00FC5566" w:rsidRDefault="00FC5566" w:rsidP="00FC5566">
      <w:pPr>
        <w:keepNext/>
        <w:ind w:left="2160"/>
        <w:jc w:val="both"/>
      </w:pPr>
      <w:r w:rsidRPr="00FC5566">
        <w:t>Susana Schowen</w:t>
      </w:r>
    </w:p>
    <w:p w14:paraId="6EC8845F" w14:textId="77777777" w:rsidR="00FC5566" w:rsidRPr="00FC5566" w:rsidRDefault="00FC5566" w:rsidP="00FC5566">
      <w:pPr>
        <w:keepNext/>
        <w:ind w:left="2160"/>
        <w:jc w:val="both"/>
      </w:pPr>
      <w:r w:rsidRPr="00FC5566">
        <w:t>Secretary</w:t>
      </w:r>
    </w:p>
    <w:p w14:paraId="1D8B1A8A" w14:textId="77777777" w:rsidR="00FC5566" w:rsidRPr="00FC5566" w:rsidRDefault="00FC5566" w:rsidP="00FC5566">
      <w:pPr>
        <w:rPr>
          <w:noProof/>
          <w:sz w:val="16"/>
        </w:rPr>
      </w:pPr>
      <w:r w:rsidRPr="00FC5566">
        <w:rPr>
          <w:noProof/>
          <w:sz w:val="16"/>
        </w:rPr>
        <w:t>2608#020</w:t>
      </w:r>
    </w:p>
    <w:p w14:paraId="7C85D481" w14:textId="77777777" w:rsidR="00FC5566" w:rsidRPr="00FC5566" w:rsidRDefault="00FC5566" w:rsidP="00FC5566"/>
    <w:p w14:paraId="353657CB" w14:textId="77777777" w:rsidR="00FC5566" w:rsidRPr="00FC5566" w:rsidRDefault="00FC5566" w:rsidP="00FC5566"/>
    <w:p w14:paraId="00D2D533" w14:textId="77777777" w:rsidR="00FC5566" w:rsidRPr="00FC5566" w:rsidRDefault="00FC5566" w:rsidP="00FC5566">
      <w:pPr>
        <w:keepNext/>
        <w:tabs>
          <w:tab w:val="left" w:pos="-1440"/>
        </w:tabs>
        <w:spacing w:after="120"/>
        <w:jc w:val="center"/>
        <w:rPr>
          <w:rFonts w:eastAsia="Calibri"/>
          <w:b/>
          <w:noProof/>
        </w:rPr>
      </w:pPr>
      <w:r w:rsidRPr="00FC5566">
        <w:rPr>
          <w:rFonts w:eastAsia="Calibri"/>
          <w:b/>
          <w:noProof/>
        </w:rPr>
        <w:t>RULE</w:t>
      </w:r>
    </w:p>
    <w:p w14:paraId="3349BFD3" w14:textId="77777777" w:rsidR="00FC5566" w:rsidRPr="00FC5566" w:rsidRDefault="00FC5566" w:rsidP="00FC5566">
      <w:pPr>
        <w:keepNext/>
        <w:jc w:val="center"/>
        <w:rPr>
          <w:rFonts w:eastAsia="Calibri"/>
          <w:b/>
          <w:noProof/>
        </w:rPr>
      </w:pPr>
      <w:r w:rsidRPr="00FC5566">
        <w:rPr>
          <w:rFonts w:eastAsia="Calibri"/>
          <w:b/>
          <w:noProof/>
        </w:rPr>
        <w:t>Department of Public Safety and Corrections</w:t>
      </w:r>
    </w:p>
    <w:p w14:paraId="2F50C145" w14:textId="77777777" w:rsidR="00FC5566" w:rsidRPr="00FC5566" w:rsidRDefault="00FC5566" w:rsidP="00FC5566">
      <w:pPr>
        <w:keepNext/>
        <w:jc w:val="center"/>
        <w:rPr>
          <w:rFonts w:eastAsia="Calibri"/>
          <w:b/>
          <w:noProof/>
        </w:rPr>
      </w:pPr>
      <w:r w:rsidRPr="00FC5566">
        <w:rPr>
          <w:rFonts w:eastAsia="Calibri"/>
          <w:b/>
          <w:noProof/>
        </w:rPr>
        <w:t>Liquefied Petroleum Gas Commission</w:t>
      </w:r>
    </w:p>
    <w:p w14:paraId="48133B36" w14:textId="77777777" w:rsidR="00FC5566" w:rsidRPr="00FC5566" w:rsidRDefault="00FC5566" w:rsidP="00FC5566">
      <w:pPr>
        <w:keepNext/>
        <w:spacing w:before="240" w:after="240"/>
        <w:jc w:val="center"/>
        <w:rPr>
          <w:rFonts w:eastAsia="Calibri"/>
          <w:bCs/>
          <w:noProof/>
        </w:rPr>
      </w:pPr>
      <w:r w:rsidRPr="00FC5566">
        <w:rPr>
          <w:rFonts w:eastAsia="Calibri"/>
          <w:noProof/>
        </w:rPr>
        <w:t>Liquefied Petroleum Gas—</w:t>
      </w:r>
      <w:r w:rsidRPr="00FC5566">
        <w:rPr>
          <w:noProof/>
        </w:rPr>
        <w:t>Applications and Permits</w:t>
      </w:r>
      <w:r w:rsidRPr="00FC5566">
        <w:rPr>
          <w:noProof/>
        </w:rPr>
        <w:br/>
      </w:r>
      <w:r w:rsidRPr="00FC5566">
        <w:rPr>
          <w:rFonts w:eastAsia="Calibri"/>
          <w:bCs/>
          <w:noProof/>
        </w:rPr>
        <w:t>(LAC 55:IX.105 and 107)</w:t>
      </w:r>
    </w:p>
    <w:p w14:paraId="24D35F39" w14:textId="77777777" w:rsidR="00FC5566" w:rsidRPr="00FC5566" w:rsidRDefault="00FC5566" w:rsidP="00FC5566">
      <w:pPr>
        <w:tabs>
          <w:tab w:val="left" w:pos="144"/>
          <w:tab w:val="left" w:pos="187"/>
          <w:tab w:val="left" w:pos="540"/>
          <w:tab w:val="left" w:pos="907"/>
          <w:tab w:val="left" w:pos="1080"/>
        </w:tabs>
        <w:ind w:firstLine="187"/>
        <w:jc w:val="both"/>
        <w:outlineLvl w:val="3"/>
        <w:rPr>
          <w:w w:val="105"/>
          <w:kern w:val="2"/>
        </w:rPr>
      </w:pPr>
      <w:r w:rsidRPr="00FC5566">
        <w:rPr>
          <w:rFonts w:eastAsia="Calibri"/>
          <w:kern w:val="2"/>
        </w:rPr>
        <w:t xml:space="preserve">The Department of Public Safety and Corrections, Liquefied Petroleum Gas Commission, in accordance with </w:t>
      </w:r>
      <w:r w:rsidRPr="00FC5566">
        <w:rPr>
          <w:kern w:val="2"/>
        </w:rPr>
        <w:t xml:space="preserve">R.S. 40:1846, </w:t>
      </w:r>
      <w:r w:rsidRPr="00FC5566">
        <w:rPr>
          <w:rFonts w:eastAsia="Calibri"/>
          <w:kern w:val="2"/>
        </w:rPr>
        <w:t xml:space="preserve">and </w:t>
      </w:r>
      <w:r w:rsidRPr="00FC5566">
        <w:rPr>
          <w:kern w:val="2"/>
        </w:rPr>
        <w:t>the provisions of the Administrative Procedures Act, R.S. 49:950 et seq.,</w:t>
      </w:r>
      <w:r w:rsidRPr="00FC5566">
        <w:rPr>
          <w:rFonts w:eastAsia="Calibri"/>
          <w:kern w:val="2"/>
        </w:rPr>
        <w:t xml:space="preserve"> has amended </w:t>
      </w:r>
      <w:r w:rsidRPr="00FC5566">
        <w:rPr>
          <w:color w:val="000000"/>
          <w:kern w:val="2"/>
        </w:rPr>
        <w:t xml:space="preserve">Title 55 (Public Safety), Part IX, Chapter 1 (General Requirements), Sections 105 and 107. </w:t>
      </w:r>
      <w:r w:rsidRPr="00FC5566">
        <w:rPr>
          <w:kern w:val="2"/>
        </w:rPr>
        <w:t>Specifically, this Rule updates Section 105 to remove the requirement that a representative be present at the commission meeting when the application for a Class VI permit is ratified, and adds a requirement that a representative must be present at the commission meeting when an application for a Class VII, Class A1, or Class A4 permit is ratified</w:t>
      </w:r>
      <w:r w:rsidRPr="00FC5566">
        <w:rPr>
          <w:rFonts w:eastAsia="Calibri"/>
          <w:color w:val="000000"/>
          <w:kern w:val="2"/>
        </w:rPr>
        <w:t xml:space="preserve">. Section 107 is updated to remove the requirement for certain representatives to be present when an application is ratified by the commission. This Rule is hereby adopted on the day of promulgation. </w:t>
      </w:r>
    </w:p>
    <w:p w14:paraId="5BF8CC59" w14:textId="77777777" w:rsidR="00FC5566" w:rsidRPr="00FC5566" w:rsidRDefault="00FC5566" w:rsidP="00FC5566">
      <w:pPr>
        <w:keepNext/>
        <w:jc w:val="center"/>
        <w:rPr>
          <w:rFonts w:eastAsia="Calibri"/>
          <w:b/>
          <w:kern w:val="28"/>
        </w:rPr>
      </w:pPr>
      <w:r w:rsidRPr="00FC5566">
        <w:rPr>
          <w:rFonts w:eastAsia="Calibri"/>
          <w:b/>
          <w:kern w:val="28"/>
        </w:rPr>
        <w:t>Title 55</w:t>
      </w:r>
    </w:p>
    <w:p w14:paraId="72C44679" w14:textId="77777777" w:rsidR="00FC5566" w:rsidRPr="00FC5566" w:rsidRDefault="00FC5566" w:rsidP="00FC5566">
      <w:pPr>
        <w:keepNext/>
        <w:jc w:val="center"/>
        <w:rPr>
          <w:rFonts w:eastAsia="Calibri"/>
          <w:b/>
          <w:kern w:val="28"/>
        </w:rPr>
      </w:pPr>
      <w:r w:rsidRPr="00FC5566">
        <w:rPr>
          <w:rFonts w:eastAsia="Calibri"/>
          <w:b/>
          <w:kern w:val="28"/>
        </w:rPr>
        <w:t>PUBLIC SAFETY</w:t>
      </w:r>
    </w:p>
    <w:p w14:paraId="6ED08F7C" w14:textId="77777777" w:rsidR="00FC5566" w:rsidRPr="00FC5566" w:rsidRDefault="00FC5566" w:rsidP="00FC5566">
      <w:pPr>
        <w:keepNext/>
        <w:jc w:val="center"/>
        <w:rPr>
          <w:rFonts w:eastAsia="Calibri"/>
          <w:b/>
          <w:noProof/>
        </w:rPr>
      </w:pPr>
      <w:r w:rsidRPr="00FC5566">
        <w:rPr>
          <w:rFonts w:eastAsia="Calibri"/>
          <w:b/>
          <w:noProof/>
        </w:rPr>
        <w:t>Part IX.  Liquefied Petroleum Gas</w:t>
      </w:r>
    </w:p>
    <w:p w14:paraId="521D67E1"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rFonts w:eastAsia="Calibri"/>
          <w:b/>
          <w:kern w:val="2"/>
        </w:rPr>
      </w:pPr>
      <w:r w:rsidRPr="00FC5566">
        <w:rPr>
          <w:rFonts w:eastAsia="Calibri"/>
          <w:b/>
          <w:kern w:val="2"/>
        </w:rPr>
        <w:t>Chapter 1.</w:t>
      </w:r>
      <w:r w:rsidRPr="00FC5566">
        <w:rPr>
          <w:rFonts w:eastAsia="Calibri"/>
          <w:b/>
          <w:kern w:val="2"/>
        </w:rPr>
        <w:tab/>
        <w:t>General Requirements</w:t>
      </w:r>
    </w:p>
    <w:p w14:paraId="4D2708DD"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rFonts w:eastAsia="Calibri"/>
          <w:b/>
          <w:kern w:val="2"/>
        </w:rPr>
      </w:pPr>
      <w:r w:rsidRPr="00FC5566">
        <w:rPr>
          <w:rFonts w:eastAsia="Calibri"/>
          <w:b/>
          <w:kern w:val="2"/>
        </w:rPr>
        <w:t>Subchapter A.</w:t>
      </w:r>
      <w:r w:rsidRPr="00FC5566">
        <w:rPr>
          <w:rFonts w:eastAsia="Calibri"/>
          <w:b/>
          <w:kern w:val="2"/>
        </w:rPr>
        <w:tab/>
        <w:t>New Dealers</w:t>
      </w:r>
    </w:p>
    <w:p w14:paraId="6D8BF63A"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§105.</w:t>
      </w:r>
      <w:r w:rsidRPr="00FC5566">
        <w:rPr>
          <w:b/>
          <w:kern w:val="2"/>
        </w:rPr>
        <w:tab/>
        <w:t xml:space="preserve">Applications </w:t>
      </w:r>
    </w:p>
    <w:p w14:paraId="2D71F72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 xml:space="preserve">Any person, firm, or corporation desiring to enter the liquefied petroleum gas business in the state of Louisiana shall file a formal application for a permit or registration with the commission. In the case of Class VI and Class VIII permits, a formal application for a permit shall be filed for each location. All other classes of permits and registrations require only one formal application for the permit or registration. These applications for permits or registrations shall be administratively granted by the office of the director, upon complying with all commission requirements, such as payment of the applicable fees, qualification of personnel, providing proof of insurance and if applicable, final approval of a sketch, registration and safety inspection of tanker trucks. The commission shall ratify the permits or registrations at the first subsequent commission meeting after at least 20 days have elapsed after the permit has been administratively granted by the office of the director. Presence of the applicant for the permit or his authorized representative is required at the commission meeting when the application for a permit is ratified for Class I, IV VII, A1, and A4. The applicant's supplier is prohibited from being the authorized representative. Only with special approval of the commission, under extenuating circumstances, will the commission allow the applicant for a permit to be represented by another party other than a principal officer, director, manager, or attorney. The formal application form(s) will be furnished by the commission upon request. </w:t>
      </w:r>
    </w:p>
    <w:p w14:paraId="08232BD3"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w:t>
      </w:r>
    </w:p>
    <w:p w14:paraId="4854E7E9"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 xml:space="preserve">Promulgated in accordance with R.S. 40:1846. </w:t>
      </w:r>
    </w:p>
    <w:p w14:paraId="7C51C090"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br w:type="page"/>
      </w:r>
    </w:p>
    <w:p w14:paraId="67555C3B"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lastRenderedPageBreak/>
        <w:t>HISTORICAL NOTE:</w:t>
      </w:r>
      <w:r w:rsidRPr="00FC5566">
        <w:rPr>
          <w:kern w:val="2"/>
          <w:sz w:val="18"/>
        </w:rPr>
        <w:tab/>
        <w:t>Adopted by the Department of Public Safety, Liquefied Petroleum Gas Commission, November 1972, amended December 1974, amended by the Department of Public Safety and Corrections, Liquefied Petroleum Gas Commission, LR 11:557 (May 1985), LR 24:460 (March 1998), LR 25:1262 (July 1999), LR 29:2509 (November 2003), LR 31:2567 (October 2005), LR 33:1139 (June 2007), effective July 1, 2007, LR 38:1256 (May 2012), LR 46:188 (February 2020), LR 52:1387 (August 2026).</w:t>
      </w:r>
    </w:p>
    <w:p w14:paraId="50C03074"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§107.</w:t>
      </w:r>
      <w:r w:rsidRPr="00FC5566">
        <w:rPr>
          <w:b/>
          <w:kern w:val="2"/>
        </w:rPr>
        <w:tab/>
        <w:t xml:space="preserve">Requirements </w:t>
      </w:r>
    </w:p>
    <w:p w14:paraId="780FB6FE"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Before any permit or registration may be issued from the office of the director, all applicants shall have complied with or agree to comply with the applicable requirements as follows.</w:t>
      </w:r>
    </w:p>
    <w:p w14:paraId="0DEC1AD9" w14:textId="77777777" w:rsidR="00FC5566" w:rsidRPr="00FC5566" w:rsidRDefault="00FC5566" w:rsidP="00FC5566">
      <w:pPr>
        <w:tabs>
          <w:tab w:val="left" w:pos="720"/>
          <w:tab w:val="left" w:pos="979"/>
          <w:tab w:val="left" w:pos="1152"/>
        </w:tabs>
        <w:ind w:firstLine="360"/>
        <w:jc w:val="both"/>
        <w:outlineLvl w:val="4"/>
        <w:rPr>
          <w:noProof/>
          <w:kern w:val="2"/>
        </w:rPr>
      </w:pPr>
      <w:r w:rsidRPr="00FC5566">
        <w:rPr>
          <w:kern w:val="2"/>
        </w:rPr>
        <w:t>1. - 10.</w:t>
      </w:r>
      <w:r w:rsidRPr="00FC5566">
        <w:rPr>
          <w:kern w:val="2"/>
        </w:rPr>
        <w:tab/>
        <w:t>…</w:t>
      </w:r>
      <w:r w:rsidRPr="00FC5566">
        <w:rPr>
          <w:noProof/>
          <w:kern w:val="2"/>
        </w:rPr>
        <w:t xml:space="preserve"> </w:t>
      </w:r>
    </w:p>
    <w:p w14:paraId="35CEB1F4"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11.</w:t>
      </w:r>
      <w:r w:rsidRPr="00FC5566">
        <w:rPr>
          <w:kern w:val="2"/>
        </w:rPr>
        <w:tab/>
        <w:t>Applicants for change of name shall deposit a filing fee of $25 with a formal application for a name change. The office of the director shall administratively grant the name change after all commission requirements are met. The commission shall ratify the name change at the next commission meeting after which a minimum of 20 days has elapsed since the administrative granting of the name change. All certificates of competency shall be changed to the new name.</w:t>
      </w:r>
    </w:p>
    <w:p w14:paraId="558D9D2E"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12. - 15.</w:t>
      </w:r>
      <w:r w:rsidRPr="00FC5566">
        <w:rPr>
          <w:kern w:val="2"/>
        </w:rPr>
        <w:tab/>
        <w:t>…</w:t>
      </w:r>
    </w:p>
    <w:p w14:paraId="34D3C8C0"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 xml:space="preserve">Promulgated in accordance with R.S. 40:1846. </w:t>
      </w:r>
    </w:p>
    <w:p w14:paraId="3BC93BD3"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Adopted by the Department of Public Safety, Liquefied Petroleum Gas Commission, November 1972, amended December 1974, LR 1:315 (July 1975), LR 4:86 (March 1978), LR 7:633 (December 1981), amended by the Department of Public Safety and Corrections, Liquefied Petroleum Gas Commission, LR 11:557 (May 1985), LR 15:854 (October 1989), LR 16:1063 (December 1990), LR 20:1400 (December 1994), LR 24:461 (March 1998), LR 24:2311 (December 1998), LR 25:1262 (July 1999), LR 25:2410 (December 1999), LR 26:1487 (July 2000), LR 27:2256 (December 2001), LR 28:2553 (December 2002), LR 29:2509 (November 2003), LR 31:2567 (October 2005), LR 33:1140 (June 2007), effective July 1, 2007, LR 35:2201 (October 2009), LR 35:2465 (November 2009), LR 38:1256 (May 2012), LR 41:395 (February 2015), LR 42:427 (March 2016), LR 42:1671 (October 2016), LR 43:967 (May 2017), LR 46:188 (February 2020), LR 47:481 (April 2021), LR 52:1388 (August 2026).</w:t>
      </w:r>
    </w:p>
    <w:p w14:paraId="3208F1D5" w14:textId="77777777" w:rsidR="00FC5566" w:rsidRPr="00FC5566" w:rsidRDefault="00FC5566" w:rsidP="00FC5566">
      <w:pPr>
        <w:tabs>
          <w:tab w:val="left" w:pos="144"/>
          <w:tab w:val="left" w:pos="187"/>
          <w:tab w:val="left" w:pos="540"/>
          <w:tab w:val="left" w:pos="907"/>
          <w:tab w:val="left" w:pos="1080"/>
        </w:tabs>
        <w:ind w:firstLine="187"/>
        <w:jc w:val="both"/>
        <w:outlineLvl w:val="3"/>
        <w:rPr>
          <w:color w:val="002060"/>
          <w:kern w:val="2"/>
        </w:rPr>
      </w:pPr>
    </w:p>
    <w:p w14:paraId="1C324C9A" w14:textId="77777777" w:rsidR="00FC5566" w:rsidRPr="00FC5566" w:rsidRDefault="00FC5566" w:rsidP="00FC5566">
      <w:pPr>
        <w:keepNext/>
        <w:ind w:left="2160"/>
        <w:jc w:val="both"/>
      </w:pPr>
      <w:r w:rsidRPr="00FC5566">
        <w:t>Don Robin</w:t>
      </w:r>
    </w:p>
    <w:p w14:paraId="50B169B7" w14:textId="77777777" w:rsidR="00FC5566" w:rsidRPr="00FC5566" w:rsidRDefault="00FC5566" w:rsidP="00FC5566">
      <w:pPr>
        <w:keepNext/>
        <w:ind w:left="2160"/>
        <w:jc w:val="both"/>
      </w:pPr>
      <w:r w:rsidRPr="00FC5566">
        <w:t>Commissioner</w:t>
      </w:r>
    </w:p>
    <w:p w14:paraId="41316D0B" w14:textId="77777777" w:rsidR="00FC5566" w:rsidRPr="00FC5566" w:rsidRDefault="00FC5566" w:rsidP="00FC5566">
      <w:pPr>
        <w:rPr>
          <w:noProof/>
          <w:sz w:val="16"/>
        </w:rPr>
      </w:pPr>
      <w:r w:rsidRPr="00FC5566">
        <w:rPr>
          <w:noProof/>
          <w:sz w:val="16"/>
        </w:rPr>
        <w:t>2608#006</w:t>
      </w:r>
    </w:p>
    <w:p w14:paraId="2031177D" w14:textId="77777777" w:rsidR="00FC5566" w:rsidRPr="00FC5566" w:rsidRDefault="00FC5566" w:rsidP="00FC5566"/>
    <w:p w14:paraId="165EDDBF" w14:textId="77777777" w:rsidR="00FC5566" w:rsidRPr="00FC5566" w:rsidRDefault="00FC5566" w:rsidP="00FC5566">
      <w:pPr>
        <w:keepNext/>
        <w:tabs>
          <w:tab w:val="left" w:pos="-1440"/>
        </w:tabs>
        <w:spacing w:after="120"/>
        <w:jc w:val="center"/>
        <w:rPr>
          <w:rFonts w:eastAsia="Calibri"/>
          <w:b/>
          <w:noProof/>
        </w:rPr>
      </w:pPr>
      <w:bookmarkStart w:id="428" w:name="_Toc204180614"/>
      <w:bookmarkStart w:id="429" w:name="_Toc293303960"/>
      <w:r w:rsidRPr="00FC5566">
        <w:rPr>
          <w:rFonts w:eastAsia="Calibri"/>
          <w:b/>
          <w:noProof/>
        </w:rPr>
        <w:t>RULE</w:t>
      </w:r>
    </w:p>
    <w:p w14:paraId="506D98DD" w14:textId="77777777" w:rsidR="00FC5566" w:rsidRPr="00FC5566" w:rsidRDefault="00FC5566" w:rsidP="00FC5566">
      <w:pPr>
        <w:keepNext/>
        <w:jc w:val="center"/>
        <w:rPr>
          <w:rFonts w:eastAsia="Calibri"/>
          <w:b/>
          <w:noProof/>
        </w:rPr>
      </w:pPr>
      <w:r w:rsidRPr="00FC5566">
        <w:rPr>
          <w:rFonts w:eastAsia="Calibri"/>
          <w:b/>
          <w:noProof/>
        </w:rPr>
        <w:t>Department of Public Safety and Corrections</w:t>
      </w:r>
    </w:p>
    <w:p w14:paraId="178E4422" w14:textId="77777777" w:rsidR="00FC5566" w:rsidRPr="00FC5566" w:rsidRDefault="00FC5566" w:rsidP="00FC5566">
      <w:pPr>
        <w:keepNext/>
        <w:jc w:val="center"/>
        <w:rPr>
          <w:rFonts w:eastAsia="Calibri"/>
          <w:b/>
          <w:noProof/>
        </w:rPr>
      </w:pPr>
      <w:r w:rsidRPr="00FC5566">
        <w:rPr>
          <w:rFonts w:eastAsia="Calibri"/>
          <w:b/>
          <w:noProof/>
        </w:rPr>
        <w:t>Office of State Fire Marshal</w:t>
      </w:r>
    </w:p>
    <w:p w14:paraId="47D88AC4" w14:textId="77777777" w:rsidR="00FC5566" w:rsidRPr="00FC5566" w:rsidRDefault="00FC5566" w:rsidP="00FC5566">
      <w:pPr>
        <w:keepNext/>
        <w:spacing w:before="240" w:after="240"/>
        <w:jc w:val="center"/>
        <w:rPr>
          <w:rFonts w:eastAsia="Calibri"/>
          <w:noProof/>
        </w:rPr>
      </w:pPr>
      <w:r w:rsidRPr="00FC5566">
        <w:rPr>
          <w:rFonts w:eastAsia="Calibri"/>
          <w:noProof/>
        </w:rPr>
        <w:t>Buildings (LAC 55:V.Chapter 3)</w:t>
      </w:r>
    </w:p>
    <w:p w14:paraId="595066CE" w14:textId="77777777" w:rsidR="00FC5566" w:rsidRPr="00FC5566" w:rsidRDefault="00FC5566" w:rsidP="00FC5566">
      <w:pPr>
        <w:tabs>
          <w:tab w:val="left" w:pos="144"/>
          <w:tab w:val="left" w:pos="187"/>
          <w:tab w:val="left" w:pos="540"/>
          <w:tab w:val="left" w:pos="907"/>
          <w:tab w:val="left" w:pos="1080"/>
        </w:tabs>
        <w:ind w:firstLine="187"/>
        <w:jc w:val="both"/>
        <w:outlineLvl w:val="3"/>
        <w:rPr>
          <w:w w:val="105"/>
          <w:kern w:val="2"/>
        </w:rPr>
      </w:pPr>
      <w:r w:rsidRPr="00FC5566">
        <w:rPr>
          <w:rFonts w:eastAsia="Calibri"/>
          <w:kern w:val="2"/>
        </w:rPr>
        <w:t xml:space="preserve">The Department of Public Safety and Corrections, Office of State Fire Marshal, in accordance with </w:t>
      </w:r>
      <w:r w:rsidRPr="00FC5566">
        <w:rPr>
          <w:kern w:val="2"/>
        </w:rPr>
        <w:t xml:space="preserve">R.S. 37:155, R.S. 40:1563, R.S. 40:1574.1, and RS 40:1578, </w:t>
      </w:r>
      <w:r w:rsidRPr="00FC5566">
        <w:rPr>
          <w:rFonts w:eastAsia="Calibri"/>
          <w:kern w:val="2"/>
        </w:rPr>
        <w:t xml:space="preserve">and </w:t>
      </w:r>
      <w:r w:rsidRPr="00FC5566">
        <w:rPr>
          <w:kern w:val="2"/>
        </w:rPr>
        <w:t>the provisions of the Administrative Procedures Act, R.S. 49:950 et seq.,</w:t>
      </w:r>
      <w:r w:rsidRPr="00FC5566">
        <w:rPr>
          <w:rFonts w:eastAsia="Calibri"/>
          <w:kern w:val="2"/>
        </w:rPr>
        <w:t xml:space="preserve"> has amended </w:t>
      </w:r>
      <w:r w:rsidRPr="00FC5566">
        <w:rPr>
          <w:color w:val="000000"/>
          <w:kern w:val="2"/>
        </w:rPr>
        <w:t>Title 55 (Public Safety), Part V, Chapter 3 (Buildings), Sections 301, 303, and 307 and repealed Section 305. Specifically, this Rule</w:t>
      </w:r>
      <w:r w:rsidRPr="00FC5566">
        <w:rPr>
          <w:rFonts w:eastAsia="Calibri"/>
          <w:color w:val="000000"/>
          <w:kern w:val="2"/>
        </w:rPr>
        <w:t xml:space="preserve"> updates Section 301 to reflect the appropriate statutory references, updates Section 303 to reflect revised requirements related to plans and specifications for new buildings, and updates Section 307 to </w:t>
      </w:r>
      <w:r w:rsidRPr="00FC5566">
        <w:rPr>
          <w:rFonts w:eastAsia="Calibri"/>
          <w:color w:val="000000"/>
          <w:kern w:val="2"/>
        </w:rPr>
        <w:br w:type="column"/>
      </w:r>
      <w:r w:rsidRPr="00FC5566">
        <w:rPr>
          <w:rFonts w:eastAsia="Calibri"/>
          <w:color w:val="000000"/>
          <w:kern w:val="2"/>
        </w:rPr>
        <w:t xml:space="preserve">reflect revised requirements related to observations of construction of structures and final inspections. This Rule is hereby adopted on the day of promulgation. </w:t>
      </w:r>
    </w:p>
    <w:p w14:paraId="7C84D25C" w14:textId="77777777" w:rsidR="00FC5566" w:rsidRPr="00FC5566" w:rsidRDefault="00FC5566" w:rsidP="00FC5566">
      <w:pPr>
        <w:keepNext/>
        <w:jc w:val="center"/>
        <w:rPr>
          <w:rFonts w:eastAsia="Calibri"/>
          <w:b/>
          <w:kern w:val="28"/>
        </w:rPr>
      </w:pPr>
      <w:r w:rsidRPr="00FC5566">
        <w:rPr>
          <w:rFonts w:eastAsia="Calibri"/>
          <w:b/>
          <w:kern w:val="28"/>
        </w:rPr>
        <w:t>Title 55</w:t>
      </w:r>
    </w:p>
    <w:p w14:paraId="0E871859" w14:textId="77777777" w:rsidR="00FC5566" w:rsidRPr="00FC5566" w:rsidRDefault="00FC5566" w:rsidP="00FC5566">
      <w:pPr>
        <w:keepNext/>
        <w:jc w:val="center"/>
        <w:rPr>
          <w:rFonts w:eastAsia="Calibri"/>
          <w:b/>
          <w:kern w:val="28"/>
        </w:rPr>
      </w:pPr>
      <w:r w:rsidRPr="00FC5566">
        <w:rPr>
          <w:rFonts w:eastAsia="Calibri"/>
          <w:b/>
          <w:kern w:val="28"/>
        </w:rPr>
        <w:t>PUBLIC SAFETY</w:t>
      </w:r>
    </w:p>
    <w:p w14:paraId="6FBDCACC" w14:textId="77777777" w:rsidR="00FC5566" w:rsidRPr="00FC5566" w:rsidRDefault="00FC5566" w:rsidP="00FC5566">
      <w:pPr>
        <w:keepNext/>
        <w:jc w:val="center"/>
        <w:rPr>
          <w:rFonts w:eastAsia="Calibri"/>
          <w:b/>
          <w:noProof/>
        </w:rPr>
      </w:pPr>
      <w:r w:rsidRPr="00FC5566">
        <w:rPr>
          <w:rFonts w:eastAsia="Calibri"/>
          <w:b/>
          <w:noProof/>
        </w:rPr>
        <w:t>Part V.  Office of State Fire Marshal</w:t>
      </w:r>
    </w:p>
    <w:p w14:paraId="5F19E45A"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rFonts w:eastAsia="Calibri"/>
          <w:b/>
          <w:kern w:val="2"/>
        </w:rPr>
      </w:pPr>
      <w:r w:rsidRPr="00FC5566">
        <w:rPr>
          <w:rFonts w:eastAsia="Calibri"/>
          <w:b/>
          <w:kern w:val="2"/>
        </w:rPr>
        <w:t>Chapter 3.</w:t>
      </w:r>
      <w:r w:rsidRPr="00FC5566">
        <w:rPr>
          <w:rFonts w:eastAsia="Calibri"/>
          <w:b/>
          <w:kern w:val="2"/>
        </w:rPr>
        <w:tab/>
        <w:t>Buildings</w:t>
      </w:r>
    </w:p>
    <w:p w14:paraId="7F5A2E6D"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§301.</w:t>
      </w:r>
      <w:r w:rsidRPr="00FC5566">
        <w:rPr>
          <w:b/>
          <w:kern w:val="2"/>
        </w:rPr>
        <w:tab/>
        <w:t>Building Permits</w:t>
      </w:r>
      <w:bookmarkEnd w:id="428"/>
      <w:bookmarkEnd w:id="429"/>
    </w:p>
    <w:p w14:paraId="41B414B7"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In accordance with the requirements set forth in R.S. 40:1574 that plans and specifications for any and all buildings to be constructed in the state must first be submitted to the Office of State Fire Marshal for review before construction, renovation, remodeling, or repair, no governmental subdivision in the state of Louisiana shall issue any building permit until the plans and specifications, therefore, have been approved by the Office of State Fire Marshal.</w:t>
      </w:r>
    </w:p>
    <w:p w14:paraId="348B99E8"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Accordingly, with the application for a building permit from any governmental subdivision of this state, proof of approval by the Office of State Fire Marshal of the plans and specifications for which the building permit is being requested shall be provided with the permit application. Such proof may be provided electronically. This ruling shall not apply to one- and two-family dwellings.</w:t>
      </w:r>
    </w:p>
    <w:p w14:paraId="6A9C228F"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Plans and specifications submitted in violation of R.S. 37:155(4) will be rejected by the Office of State Fire Marshal.</w:t>
      </w:r>
    </w:p>
    <w:p w14:paraId="02E6BA85"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40:1563(F), R.S. 40:1578.6(A), and R.S 40:1574.1(C).</w:t>
      </w:r>
    </w:p>
    <w:p w14:paraId="688E2960"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Public Safety, Office of Fire Protection, LR 4:465 (November 1978), repromulgated LR 6:72 (February 1980), amended by the Department of Public Safety and Corrections, Office of State Fire Marshal, LR 16:320 (April 1990), LR 23:1691 (December 1997), LR 43:970 (May 2017), LR 52:1388 (August 2026).</w:t>
      </w:r>
    </w:p>
    <w:p w14:paraId="30D63666"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430" w:name="_Toc293303961"/>
      <w:bookmarkStart w:id="431" w:name="_Toc204180615"/>
      <w:r w:rsidRPr="00FC5566">
        <w:rPr>
          <w:b/>
          <w:kern w:val="2"/>
        </w:rPr>
        <w:t>§303.</w:t>
      </w:r>
      <w:r w:rsidRPr="00FC5566">
        <w:rPr>
          <w:b/>
          <w:kern w:val="2"/>
        </w:rPr>
        <w:tab/>
        <w:t>Plans and Specifications for New Buildings</w:t>
      </w:r>
      <w:bookmarkEnd w:id="430"/>
      <w:bookmarkEnd w:id="431"/>
    </w:p>
    <w:p w14:paraId="24F1AE77"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As of July 1, 2026, the plans and specifications for every structure built or remodeled in the state of Louisiana shall be submitted for review and must be drawn in accordance with the applicable requirements of the following publications:</w:t>
      </w:r>
    </w:p>
    <w:p w14:paraId="66BEC2AD"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the fire protection, egress, and accessibility provisions of the most recently adopted and amended Louisiana State Uniform Construction Code (LSUCC) by the Louisiana State Uniform Construction Code Council, and of the standards referenced therein;</w:t>
      </w:r>
    </w:p>
    <w:p w14:paraId="3F3F5092"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 xml:space="preserve">in addition, the 2015 edition of the </w:t>
      </w:r>
      <w:r w:rsidRPr="00FC5566">
        <w:rPr>
          <w:i/>
          <w:kern w:val="2"/>
        </w:rPr>
        <w:t xml:space="preserve">NFPA 101 Life Safety Code </w:t>
      </w:r>
      <w:r w:rsidRPr="00FC5566">
        <w:rPr>
          <w:kern w:val="2"/>
        </w:rPr>
        <w:t xml:space="preserve">(excluding chapters 5 and 43, which may be used as a basis for equivalency determinations), and the publications referenced therein, shall apply for Group E and Group I occupancies as defined by the LSUCC, and for state owned buildings; </w:t>
      </w:r>
    </w:p>
    <w:p w14:paraId="7B02D630"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 xml:space="preserve">the most recently adopted editions of the Louisiana State Uniform Construction Code (LSUCC) for </w:t>
      </w:r>
      <w:r w:rsidRPr="00FC5566">
        <w:rPr>
          <w:i/>
          <w:kern w:val="2"/>
        </w:rPr>
        <w:t>Industrialized Buildings</w:t>
      </w:r>
      <w:r w:rsidRPr="00FC5566">
        <w:rPr>
          <w:kern w:val="2"/>
        </w:rPr>
        <w:t xml:space="preserve"> and for building code reviews performed on behalf of parishes and municipalities;</w:t>
      </w:r>
    </w:p>
    <w:p w14:paraId="36DFF7E2"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As of July 1, 2017, the plans and specifications for facilities licensed, certified, or seeking licensure or certification by the Louisiana Department of Health and submitted to the state fire marshal for review in accordance with R.S. 40:1563(L) shall be drawn in accordance with the applicable requirements of the following publications:</w:t>
      </w:r>
    </w:p>
    <w:p w14:paraId="49356A19"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br w:type="page"/>
      </w:r>
    </w:p>
    <w:p w14:paraId="2134287C"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lastRenderedPageBreak/>
        <w:t>1.</w:t>
      </w:r>
      <w:r w:rsidRPr="00FC5566">
        <w:rPr>
          <w:kern w:val="2"/>
        </w:rPr>
        <w:tab/>
        <w:t xml:space="preserve">the 2014 edition of the Facility Guidelines Institute publication titled </w:t>
      </w:r>
      <w:r w:rsidRPr="00FC5566">
        <w:rPr>
          <w:i/>
          <w:kern w:val="2"/>
        </w:rPr>
        <w:t>Guidelines for Design and Construction of Hospitals and Outpatient Facilities</w:t>
      </w:r>
      <w:r w:rsidRPr="00FC5566">
        <w:rPr>
          <w:kern w:val="2"/>
        </w:rPr>
        <w:t>, where required by rules published by the Louisiana Department of Health for hospitals and outpatient facilities;</w:t>
      </w:r>
    </w:p>
    <w:p w14:paraId="6901E9FF"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 xml:space="preserve">the 2014 edition of the Facility Guidelines Institute publication titled </w:t>
      </w:r>
      <w:r w:rsidRPr="00FC5566">
        <w:rPr>
          <w:i/>
          <w:kern w:val="2"/>
        </w:rPr>
        <w:t>Guidelines for Design and Construction of Residential Health, Care, and Support Facilities</w:t>
      </w:r>
      <w:r w:rsidRPr="00FC5566">
        <w:rPr>
          <w:kern w:val="2"/>
        </w:rPr>
        <w:t>, where required by rules published by the Louisiana Department of Health for residential health, care, and support facilities;</w:t>
      </w:r>
    </w:p>
    <w:p w14:paraId="097ACA62"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 xml:space="preserve">rules published by the Louisiana Department of Health as applicable to the physical environment for licensed or certified facilities. </w:t>
      </w:r>
    </w:p>
    <w:p w14:paraId="46B2D6E9"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All unsprinkled dwelling units within apartment buildings shall be separated from one another by construction having a fire resistance rating of not less than one hour as required by the standard building code.</w:t>
      </w:r>
    </w:p>
    <w:p w14:paraId="55EB8328"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D.</w:t>
      </w:r>
      <w:r w:rsidRPr="00FC5566">
        <w:rPr>
          <w:kern w:val="2"/>
        </w:rPr>
        <w:tab/>
        <w:t>Portable fire extinguishers shall be required in all occupancies. The location, maintenance, and installation shall be in accordance with NFPA 10: Standard for Portable Fire Extinguishers.</w:t>
      </w:r>
      <w:r w:rsidRPr="00FC5566">
        <w:rPr>
          <w:i/>
          <w:kern w:val="2"/>
        </w:rPr>
        <w:t xml:space="preserve"> </w:t>
      </w:r>
    </w:p>
    <w:p w14:paraId="47137F8E"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40:1563(F), R.S. 40:1563(L), and R.S. 40:1578.6(A).</w:t>
      </w:r>
    </w:p>
    <w:p w14:paraId="52114540"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Public Safety, Office of Fire Protection, LR 1:143 (February 1975), amended LR 5:468 (December 1979), LR 6:72 (February 1980), amended by the Office of State Fire Marshal, LR 7:344 (July 1981), LR 7:588 (November 1981), LR 9:417 (June 1983), amended by the Department of Public Safety and Corrections, Office of State Fire Marshal, LR 12:116 (February 1986), LR 15:96 (February 1989), LR 17:1115 (November 1991), LR 23:1692 (December 1997), LR 30:1305 (June 2004), LR 33:673 (April 2007), LR 36:1565 (July 2010), LR 39:1480 (June 2013), LR 43:970 (May 2017), LR 52:1388 (August 2026).</w:t>
      </w:r>
    </w:p>
    <w:p w14:paraId="7B9A79D8"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432" w:name="_Toc293303962"/>
      <w:bookmarkStart w:id="433" w:name="_Toc214624340"/>
      <w:r w:rsidRPr="00FC5566">
        <w:rPr>
          <w:b/>
          <w:kern w:val="2"/>
        </w:rPr>
        <w:t>§305.</w:t>
      </w:r>
      <w:r w:rsidRPr="00FC5566">
        <w:rPr>
          <w:b/>
          <w:kern w:val="2"/>
        </w:rPr>
        <w:tab/>
        <w:t>Insulation</w:t>
      </w:r>
      <w:bookmarkEnd w:id="432"/>
      <w:bookmarkEnd w:id="433"/>
    </w:p>
    <w:p w14:paraId="70414C40"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Repealed.</w:t>
      </w:r>
    </w:p>
    <w:p w14:paraId="14172BF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40:1651(B).</w:t>
      </w:r>
    </w:p>
    <w:p w14:paraId="57FE47D2"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Public Safety, Office of Fire Protection, LR 4:389 (October 1978), LR 6:72 (February 1980), LR 6:149 (April 1980), amended by the Office of State Fire Marshal, LR 8:485 (September 1982), amended by the Department of Public Safety and Corrections, Office of State Fire Marshal, LR 23:1692 (December 1997), repealed LR 52:1389 (August 2026).</w:t>
      </w:r>
    </w:p>
    <w:p w14:paraId="511619C1"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434" w:name="_Toc204180617"/>
      <w:bookmarkStart w:id="435" w:name="_Toc293303963"/>
      <w:r w:rsidRPr="00FC5566">
        <w:rPr>
          <w:b/>
          <w:kern w:val="2"/>
        </w:rPr>
        <w:t>§307.</w:t>
      </w:r>
      <w:r w:rsidRPr="00FC5566">
        <w:rPr>
          <w:b/>
          <w:kern w:val="2"/>
        </w:rPr>
        <w:tab/>
        <w:t xml:space="preserve">Observation of Construction; </w:t>
      </w:r>
      <w:r w:rsidRPr="00FC5566">
        <w:rPr>
          <w:b/>
          <w:bCs/>
          <w:kern w:val="2"/>
        </w:rPr>
        <w:t>Final Inspection</w:t>
      </w:r>
      <w:bookmarkEnd w:id="434"/>
      <w:bookmarkEnd w:id="435"/>
    </w:p>
    <w:p w14:paraId="57E6F27B"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For a structure which by law may only be constructed with plans prepared and certified by a licensed architect, or licensed civil engineer where permitted, it shall be the duty of the owner of such a structure to provide for periodic observation of the construction of the structure to determine if the work is proceeding in accordance with the plans and specifications as approved by the fire marshal. The observations shall be performed by a registered architect, or a registered civil engineer where permitted.</w:t>
      </w:r>
    </w:p>
    <w:p w14:paraId="51F12BB4" w14:textId="77777777" w:rsidR="00FC5566" w:rsidRPr="00FC5566" w:rsidRDefault="00FC5566" w:rsidP="00FC5566">
      <w:pPr>
        <w:tabs>
          <w:tab w:val="left" w:pos="144"/>
          <w:tab w:val="left" w:pos="187"/>
          <w:tab w:val="left" w:pos="540"/>
          <w:tab w:val="left" w:pos="907"/>
          <w:tab w:val="left" w:pos="1080"/>
        </w:tabs>
        <w:ind w:firstLine="187"/>
        <w:jc w:val="both"/>
        <w:outlineLvl w:val="3"/>
        <w:rPr>
          <w:noProof/>
          <w:kern w:val="2"/>
        </w:rPr>
      </w:pPr>
      <w:r w:rsidRPr="00FC5566">
        <w:rPr>
          <w:kern w:val="2"/>
        </w:rPr>
        <w:t>B. - D.</w:t>
      </w:r>
      <w:r w:rsidRPr="00FC5566">
        <w:rPr>
          <w:kern w:val="2"/>
        </w:rPr>
        <w:tab/>
        <w:t>…</w:t>
      </w:r>
      <w:r w:rsidRPr="00FC5566">
        <w:rPr>
          <w:noProof/>
          <w:kern w:val="2"/>
        </w:rPr>
        <w:t xml:space="preserve"> </w:t>
      </w:r>
    </w:p>
    <w:p w14:paraId="2C267C1F"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FC5566">
        <w:rPr>
          <w:kern w:val="2"/>
        </w:rPr>
        <w:t>* * *</w:t>
      </w:r>
    </w:p>
    <w:p w14:paraId="5B748208"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37:155, R.S. 40:1563(F), and R.S. 40:1574.1.C.(1).</w:t>
      </w:r>
    </w:p>
    <w:p w14:paraId="1FAD65C5"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 xml:space="preserve">Promulgated by the Department of Public Safety, Office of Fire Protection, LR 3:498 (December 1977), repromulgated LR 6:73 (February 1980), amended by the Office of State Fire Marshal, LR 8:523 (October 1982), amended by the Department of Public Safety and Corrections, Office of State Fire </w:t>
      </w:r>
      <w:r w:rsidRPr="00FC5566">
        <w:rPr>
          <w:kern w:val="2"/>
          <w:sz w:val="18"/>
        </w:rPr>
        <w:t>Marshal, LR 23:1692 (December 1997), LR 43:970 (May 2017), LR 52:1389 (August 2026).</w:t>
      </w:r>
    </w:p>
    <w:p w14:paraId="5A25E984" w14:textId="77777777" w:rsidR="00FC5566" w:rsidRPr="00FC5566" w:rsidRDefault="00FC5566" w:rsidP="00FC5566">
      <w:pPr>
        <w:tabs>
          <w:tab w:val="left" w:pos="144"/>
          <w:tab w:val="left" w:pos="187"/>
          <w:tab w:val="left" w:pos="540"/>
          <w:tab w:val="left" w:pos="907"/>
          <w:tab w:val="left" w:pos="1080"/>
        </w:tabs>
        <w:ind w:firstLine="187"/>
        <w:jc w:val="both"/>
        <w:outlineLvl w:val="3"/>
        <w:rPr>
          <w:color w:val="002060"/>
          <w:kern w:val="2"/>
        </w:rPr>
      </w:pPr>
    </w:p>
    <w:p w14:paraId="7B7C5A92" w14:textId="77777777" w:rsidR="00FC5566" w:rsidRPr="00FC5566" w:rsidRDefault="00FC5566" w:rsidP="00FC5566">
      <w:pPr>
        <w:keepNext/>
        <w:ind w:left="2160"/>
        <w:jc w:val="both"/>
      </w:pPr>
      <w:r w:rsidRPr="00FC5566">
        <w:t>Bryan J. Adams</w:t>
      </w:r>
    </w:p>
    <w:p w14:paraId="6CAB8946" w14:textId="77777777" w:rsidR="00FC5566" w:rsidRPr="00FC5566" w:rsidRDefault="00FC5566" w:rsidP="00FC5566">
      <w:pPr>
        <w:keepNext/>
        <w:ind w:left="2160"/>
        <w:jc w:val="both"/>
      </w:pPr>
      <w:r w:rsidRPr="00FC5566">
        <w:t>State Fire Marshal</w:t>
      </w:r>
    </w:p>
    <w:p w14:paraId="0BBE348D" w14:textId="77777777" w:rsidR="00FC5566" w:rsidRPr="00FC5566" w:rsidRDefault="00FC5566" w:rsidP="00FC5566">
      <w:pPr>
        <w:rPr>
          <w:noProof/>
          <w:sz w:val="16"/>
        </w:rPr>
      </w:pPr>
      <w:r w:rsidRPr="00FC5566">
        <w:rPr>
          <w:noProof/>
          <w:sz w:val="16"/>
        </w:rPr>
        <w:t>2608#008</w:t>
      </w:r>
    </w:p>
    <w:p w14:paraId="1AF2AAEA" w14:textId="77777777" w:rsidR="00FC5566" w:rsidRPr="00FC5566" w:rsidRDefault="00FC5566" w:rsidP="00FC5566"/>
    <w:p w14:paraId="6A93947E" w14:textId="77777777" w:rsidR="00FC5566" w:rsidRPr="00FC5566" w:rsidRDefault="00FC5566" w:rsidP="00FC5566">
      <w:pPr>
        <w:keepNext/>
        <w:tabs>
          <w:tab w:val="left" w:pos="-1440"/>
        </w:tabs>
        <w:spacing w:after="120"/>
        <w:jc w:val="center"/>
        <w:rPr>
          <w:rFonts w:eastAsia="Calibri"/>
          <w:b/>
          <w:noProof/>
        </w:rPr>
      </w:pPr>
      <w:r w:rsidRPr="00FC5566">
        <w:rPr>
          <w:rFonts w:eastAsia="Calibri"/>
          <w:b/>
          <w:noProof/>
        </w:rPr>
        <w:t>RULE</w:t>
      </w:r>
    </w:p>
    <w:p w14:paraId="3AB49C89" w14:textId="77777777" w:rsidR="00FC5566" w:rsidRPr="00FC5566" w:rsidRDefault="00FC5566" w:rsidP="00FC5566">
      <w:pPr>
        <w:keepNext/>
        <w:jc w:val="center"/>
        <w:rPr>
          <w:rFonts w:eastAsia="Calibri"/>
          <w:b/>
          <w:noProof/>
        </w:rPr>
      </w:pPr>
      <w:r w:rsidRPr="00FC5566">
        <w:rPr>
          <w:rFonts w:eastAsia="Calibri"/>
          <w:b/>
          <w:noProof/>
        </w:rPr>
        <w:t>Department of Public Safety and Corrections</w:t>
      </w:r>
    </w:p>
    <w:p w14:paraId="3DE609CA" w14:textId="77777777" w:rsidR="00FC5566" w:rsidRPr="00FC5566" w:rsidRDefault="00FC5566" w:rsidP="00FC5566">
      <w:pPr>
        <w:keepNext/>
        <w:jc w:val="center"/>
        <w:rPr>
          <w:rFonts w:eastAsia="Calibri"/>
          <w:b/>
          <w:noProof/>
        </w:rPr>
      </w:pPr>
      <w:r w:rsidRPr="00FC5566">
        <w:rPr>
          <w:rFonts w:eastAsia="Calibri"/>
          <w:b/>
          <w:noProof/>
        </w:rPr>
        <w:t>Office of State Fire Marshal</w:t>
      </w:r>
    </w:p>
    <w:p w14:paraId="3D1251F1" w14:textId="77777777" w:rsidR="00FC5566" w:rsidRPr="00FC5566" w:rsidRDefault="00FC5566" w:rsidP="00FC5566">
      <w:pPr>
        <w:keepNext/>
        <w:spacing w:before="240" w:after="240"/>
        <w:jc w:val="center"/>
        <w:rPr>
          <w:rFonts w:eastAsia="Calibri"/>
          <w:noProof/>
        </w:rPr>
      </w:pPr>
      <w:r w:rsidRPr="00FC5566">
        <w:rPr>
          <w:rFonts w:eastAsia="Calibri"/>
          <w:noProof/>
        </w:rPr>
        <w:t>Flammable and Combustible Liquids</w:t>
      </w:r>
      <w:r w:rsidRPr="00FC5566">
        <w:rPr>
          <w:rFonts w:eastAsia="Calibri"/>
          <w:noProof/>
        </w:rPr>
        <w:br/>
        <w:t>(LAC 55:V.2101, 2103, and 2105)</w:t>
      </w:r>
    </w:p>
    <w:p w14:paraId="02DE4FF0"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rFonts w:eastAsia="Calibri"/>
          <w:kern w:val="2"/>
        </w:rPr>
        <w:t xml:space="preserve">The Department of Public Safety and Corrections, Office of State Fire Marshal, in accordance with </w:t>
      </w:r>
      <w:r w:rsidRPr="00FC5566">
        <w:rPr>
          <w:kern w:val="2"/>
        </w:rPr>
        <w:t xml:space="preserve">R.S. 40:1563 </w:t>
      </w:r>
      <w:r w:rsidRPr="00FC5566">
        <w:rPr>
          <w:rFonts w:eastAsia="Calibri"/>
          <w:kern w:val="2"/>
        </w:rPr>
        <w:t xml:space="preserve">and </w:t>
      </w:r>
      <w:r w:rsidRPr="00FC5566">
        <w:rPr>
          <w:kern w:val="2"/>
        </w:rPr>
        <w:t>the provisions of the Administrative Procedures Act, R.S. 49:950 et seq.,</w:t>
      </w:r>
      <w:r w:rsidRPr="00FC5566">
        <w:rPr>
          <w:rFonts w:eastAsia="Calibri"/>
          <w:kern w:val="2"/>
        </w:rPr>
        <w:t xml:space="preserve"> has amended </w:t>
      </w:r>
      <w:r w:rsidRPr="00FC5566">
        <w:rPr>
          <w:color w:val="000000"/>
          <w:kern w:val="2"/>
        </w:rPr>
        <w:t>Title 55 (Public Safety), Part V, Chapter 21 (</w:t>
      </w:r>
      <w:r w:rsidRPr="00FC5566">
        <w:rPr>
          <w:kern w:val="2"/>
        </w:rPr>
        <w:t>Flammable and Combustible Liquids)</w:t>
      </w:r>
      <w:r w:rsidRPr="00FC5566">
        <w:rPr>
          <w:color w:val="000000"/>
          <w:kern w:val="2"/>
        </w:rPr>
        <w:t xml:space="preserve">, Sections 2101, 2103, and adopted Section 2105. Specifically, this Rule amends Section 2101 to clarify the standard adopted, updates Section 2103 to provide clarity and prevent redundancy, and adopts Section 2105 to reflect the updated standards that the agency has adopted. This Rule is hereby adopted on the day of promulgation. </w:t>
      </w:r>
    </w:p>
    <w:p w14:paraId="25AD654F" w14:textId="77777777" w:rsidR="00FC5566" w:rsidRPr="00FC5566" w:rsidRDefault="00FC5566" w:rsidP="00FC5566">
      <w:pPr>
        <w:keepNext/>
        <w:jc w:val="center"/>
        <w:rPr>
          <w:rFonts w:eastAsia="Calibri"/>
          <w:b/>
          <w:kern w:val="28"/>
        </w:rPr>
      </w:pPr>
      <w:r w:rsidRPr="00FC5566">
        <w:rPr>
          <w:rFonts w:eastAsia="Calibri"/>
          <w:b/>
          <w:kern w:val="28"/>
        </w:rPr>
        <w:t>Title 55</w:t>
      </w:r>
    </w:p>
    <w:p w14:paraId="0814473F" w14:textId="77777777" w:rsidR="00FC5566" w:rsidRPr="00FC5566" w:rsidRDefault="00FC5566" w:rsidP="00FC5566">
      <w:pPr>
        <w:keepNext/>
        <w:jc w:val="center"/>
        <w:rPr>
          <w:rFonts w:eastAsia="Calibri"/>
          <w:b/>
          <w:kern w:val="28"/>
        </w:rPr>
      </w:pPr>
      <w:r w:rsidRPr="00FC5566">
        <w:rPr>
          <w:rFonts w:eastAsia="Calibri"/>
          <w:b/>
          <w:kern w:val="28"/>
        </w:rPr>
        <w:t>PUBLIC SAFETY</w:t>
      </w:r>
    </w:p>
    <w:p w14:paraId="0CFDE134" w14:textId="77777777" w:rsidR="00FC5566" w:rsidRPr="00FC5566" w:rsidRDefault="00FC5566" w:rsidP="00FC5566">
      <w:pPr>
        <w:keepNext/>
        <w:jc w:val="center"/>
        <w:rPr>
          <w:rFonts w:eastAsia="Calibri"/>
          <w:b/>
          <w:noProof/>
        </w:rPr>
      </w:pPr>
      <w:r w:rsidRPr="00FC5566">
        <w:rPr>
          <w:rFonts w:eastAsia="Calibri"/>
          <w:b/>
          <w:noProof/>
        </w:rPr>
        <w:t>Part V.  Office of State Fire Marshal</w:t>
      </w:r>
    </w:p>
    <w:p w14:paraId="02B54CE7"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rFonts w:eastAsia="Calibri"/>
          <w:b/>
          <w:kern w:val="2"/>
        </w:rPr>
      </w:pPr>
      <w:r w:rsidRPr="00FC5566">
        <w:rPr>
          <w:rFonts w:eastAsia="Calibri"/>
          <w:b/>
          <w:kern w:val="2"/>
        </w:rPr>
        <w:t>Chapter 21.</w:t>
      </w:r>
      <w:r w:rsidRPr="00FC5566">
        <w:rPr>
          <w:rFonts w:eastAsia="Calibri"/>
          <w:b/>
          <w:kern w:val="2"/>
        </w:rPr>
        <w:tab/>
      </w:r>
      <w:r w:rsidRPr="00FC5566">
        <w:rPr>
          <w:b/>
          <w:kern w:val="2"/>
        </w:rPr>
        <w:t>Flammable and Combustible Liquids</w:t>
      </w:r>
    </w:p>
    <w:p w14:paraId="0053F890"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436" w:name="_Toc204180674"/>
      <w:bookmarkStart w:id="437" w:name="_Toc293304034"/>
      <w:r w:rsidRPr="00FC5566">
        <w:rPr>
          <w:b/>
          <w:kern w:val="2"/>
        </w:rPr>
        <w:t>§2101.</w:t>
      </w:r>
      <w:r w:rsidRPr="00FC5566">
        <w:rPr>
          <w:b/>
          <w:kern w:val="2"/>
        </w:rPr>
        <w:tab/>
        <w:t>Unattended Flammable Liquid Dispensing Systems</w:t>
      </w:r>
      <w:bookmarkEnd w:id="436"/>
      <w:bookmarkEnd w:id="437"/>
    </w:p>
    <w:p w14:paraId="30735A19"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Unattended flammable liquid dispensing systems shall comply with the requirements of NFPA 30 and 30A, published by the National Fire Protection Association (NFPA).</w:t>
      </w:r>
    </w:p>
    <w:p w14:paraId="54543AE1"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40:1651(B).</w:t>
      </w:r>
    </w:p>
    <w:p w14:paraId="3E63B67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Public Safety, Office of Fire Protection, LR 3:498 (December 1977), repromulgated LR 6:75 (February 1980), amended by the Office of State Fire Marshal, LR 8:523 (October 1982), amended by the Department of Public Safety and Corrections, Office of State Fire Marshal, LR 23:1700 (December 1997), LR 52:1389 (August 2026).</w:t>
      </w:r>
    </w:p>
    <w:p w14:paraId="125B95DA"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438" w:name="_Toc204180675"/>
      <w:bookmarkStart w:id="439" w:name="_Toc293304035"/>
      <w:r w:rsidRPr="00FC5566">
        <w:rPr>
          <w:b/>
          <w:kern w:val="2"/>
        </w:rPr>
        <w:t>§2103.</w:t>
      </w:r>
      <w:r w:rsidRPr="00FC5566">
        <w:rPr>
          <w:b/>
          <w:kern w:val="2"/>
        </w:rPr>
        <w:tab/>
        <w:t>Specification for Flammable and Combustible Liquid Containers</w:t>
      </w:r>
      <w:bookmarkEnd w:id="438"/>
      <w:bookmarkEnd w:id="439"/>
    </w:p>
    <w:p w14:paraId="5E907C8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All flammable liquid (Class I) containers shall meet the requirements of NFPA 30 and/or 30A except as otherwise provided herein.</w:t>
      </w:r>
    </w:p>
    <w:p w14:paraId="6806009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All containers must be labeled to verify ANSI-ASTM D 3435-78 for Class I liquids and DOT Specification 2U for Class II and Class III liquids.</w:t>
      </w:r>
    </w:p>
    <w:p w14:paraId="49516783"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40:1651(B).</w:t>
      </w:r>
    </w:p>
    <w:p w14:paraId="52FCF171"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Public Safety, Office of State Fire Marshal, LR 9:691 (October 1983), amended by the Department of Public Safety and Corrections, Office of State Fire Marshal, LR 23:1700 (December 1997), LR 52:1389 (August 2026).</w:t>
      </w:r>
    </w:p>
    <w:p w14:paraId="4CC7689F"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§2105.</w:t>
      </w:r>
      <w:r w:rsidRPr="00FC5566">
        <w:rPr>
          <w:b/>
          <w:kern w:val="2"/>
        </w:rPr>
        <w:tab/>
        <w:t>Adopted Standards</w:t>
      </w:r>
    </w:p>
    <w:p w14:paraId="19057D2C"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The Office of State Fire Marshal (OSFM) adopts the standards of the National Fire Protection Association.</w:t>
      </w:r>
    </w:p>
    <w:p w14:paraId="029FB98F"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The applicable edition of the NFPA standards shall be those adopted by the Louisiana State Uniform Construction Code.</w:t>
      </w:r>
    </w:p>
    <w:p w14:paraId="449E5BBF"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lastRenderedPageBreak/>
        <w:t>AUTHORITY NOTE:</w:t>
      </w:r>
      <w:r w:rsidRPr="00FC5566">
        <w:rPr>
          <w:kern w:val="2"/>
          <w:sz w:val="18"/>
        </w:rPr>
        <w:tab/>
        <w:t>Promulgated in accordance with R.S. 40:1749.11 et seq.</w:t>
      </w:r>
    </w:p>
    <w:p w14:paraId="0A327C18"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Public Safety and Corrections, Office of State Fire Marshal, LR 52:1389 (August 2026).</w:t>
      </w:r>
    </w:p>
    <w:p w14:paraId="4DCF56B2"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p w14:paraId="263DCA6D" w14:textId="77777777" w:rsidR="00FC5566" w:rsidRPr="00FC5566" w:rsidRDefault="00FC5566" w:rsidP="00FC5566">
      <w:pPr>
        <w:keepNext/>
        <w:ind w:left="2160"/>
        <w:jc w:val="both"/>
      </w:pPr>
      <w:r w:rsidRPr="00FC5566">
        <w:t>Bryan J. Adams</w:t>
      </w:r>
    </w:p>
    <w:p w14:paraId="2B8B7052" w14:textId="77777777" w:rsidR="00FC5566" w:rsidRPr="00FC5566" w:rsidRDefault="00FC5566" w:rsidP="00FC5566">
      <w:pPr>
        <w:keepNext/>
        <w:ind w:left="2160"/>
        <w:jc w:val="both"/>
      </w:pPr>
      <w:r w:rsidRPr="00FC5566">
        <w:t>State Fire Marshal</w:t>
      </w:r>
    </w:p>
    <w:p w14:paraId="1F60C086" w14:textId="77777777" w:rsidR="00FC5566" w:rsidRPr="00FC5566" w:rsidRDefault="00FC5566" w:rsidP="00FC5566">
      <w:pPr>
        <w:rPr>
          <w:noProof/>
          <w:sz w:val="16"/>
        </w:rPr>
      </w:pPr>
      <w:r w:rsidRPr="00FC5566">
        <w:rPr>
          <w:noProof/>
          <w:sz w:val="16"/>
        </w:rPr>
        <w:t>2608#009</w:t>
      </w:r>
    </w:p>
    <w:p w14:paraId="5DC69A23" w14:textId="77777777" w:rsidR="00FC5566" w:rsidRPr="00FC5566" w:rsidRDefault="00FC5566" w:rsidP="00FC5566"/>
    <w:p w14:paraId="2714192B" w14:textId="77777777" w:rsidR="00FC5566" w:rsidRPr="00FC5566" w:rsidRDefault="00FC5566" w:rsidP="00FC5566">
      <w:pPr>
        <w:keepNext/>
        <w:tabs>
          <w:tab w:val="left" w:pos="-1440"/>
        </w:tabs>
        <w:spacing w:after="120"/>
        <w:jc w:val="center"/>
        <w:rPr>
          <w:rFonts w:eastAsia="Calibri"/>
          <w:b/>
          <w:noProof/>
        </w:rPr>
      </w:pPr>
      <w:r w:rsidRPr="00FC5566">
        <w:rPr>
          <w:rFonts w:eastAsia="Calibri"/>
          <w:b/>
          <w:noProof/>
        </w:rPr>
        <w:t>RULE</w:t>
      </w:r>
    </w:p>
    <w:p w14:paraId="4916420A" w14:textId="77777777" w:rsidR="00FC5566" w:rsidRPr="00FC5566" w:rsidRDefault="00FC5566" w:rsidP="00FC5566">
      <w:pPr>
        <w:keepNext/>
        <w:jc w:val="center"/>
        <w:rPr>
          <w:rFonts w:eastAsia="Calibri"/>
          <w:b/>
          <w:noProof/>
        </w:rPr>
      </w:pPr>
      <w:r w:rsidRPr="00FC5566">
        <w:rPr>
          <w:rFonts w:eastAsia="Calibri"/>
          <w:b/>
          <w:noProof/>
        </w:rPr>
        <w:t>Department of Public Safety and Corrections</w:t>
      </w:r>
    </w:p>
    <w:p w14:paraId="75F0550B" w14:textId="77777777" w:rsidR="00FC5566" w:rsidRPr="00FC5566" w:rsidRDefault="00FC5566" w:rsidP="00FC5566">
      <w:pPr>
        <w:keepNext/>
        <w:jc w:val="center"/>
        <w:rPr>
          <w:rFonts w:eastAsia="Calibri"/>
          <w:b/>
          <w:noProof/>
        </w:rPr>
      </w:pPr>
      <w:r w:rsidRPr="00FC5566">
        <w:rPr>
          <w:rFonts w:eastAsia="Calibri"/>
          <w:b/>
          <w:noProof/>
        </w:rPr>
        <w:t>Office of State Fire Marshal</w:t>
      </w:r>
    </w:p>
    <w:p w14:paraId="1FFB77EA" w14:textId="77777777" w:rsidR="00FC5566" w:rsidRPr="00FC5566" w:rsidRDefault="00FC5566" w:rsidP="00FC5566">
      <w:pPr>
        <w:keepNext/>
        <w:spacing w:before="240" w:after="240"/>
        <w:jc w:val="center"/>
        <w:rPr>
          <w:rFonts w:eastAsia="Calibri"/>
          <w:noProof/>
        </w:rPr>
      </w:pPr>
      <w:r w:rsidRPr="00FC5566">
        <w:rPr>
          <w:rFonts w:eastAsia="Calibri"/>
          <w:noProof/>
        </w:rPr>
        <w:t>Preliminary Provisions (LAC 55:V.103, 105, and 107)</w:t>
      </w:r>
    </w:p>
    <w:p w14:paraId="0D341BA9" w14:textId="77777777" w:rsidR="00FC5566" w:rsidRPr="00FC5566" w:rsidRDefault="00FC5566" w:rsidP="00FC5566">
      <w:pPr>
        <w:tabs>
          <w:tab w:val="left" w:pos="144"/>
          <w:tab w:val="left" w:pos="187"/>
          <w:tab w:val="left" w:pos="540"/>
          <w:tab w:val="left" w:pos="907"/>
          <w:tab w:val="left" w:pos="1080"/>
        </w:tabs>
        <w:ind w:firstLine="187"/>
        <w:jc w:val="both"/>
        <w:outlineLvl w:val="3"/>
        <w:rPr>
          <w:color w:val="000000"/>
          <w:kern w:val="2"/>
        </w:rPr>
      </w:pPr>
      <w:r w:rsidRPr="00FC5566">
        <w:rPr>
          <w:rFonts w:eastAsia="Calibri"/>
          <w:kern w:val="2"/>
        </w:rPr>
        <w:t xml:space="preserve">The Department of Public Safety and Corrections, Office of State Fire Marshal, in accordance with R.S. </w:t>
      </w:r>
      <w:r w:rsidRPr="00FC5566">
        <w:rPr>
          <w:kern w:val="2"/>
        </w:rPr>
        <w:t xml:space="preserve">40:1563, R.S. 40:1578, </w:t>
      </w:r>
      <w:r w:rsidRPr="00FC5566">
        <w:rPr>
          <w:rFonts w:eastAsia="Calibri"/>
          <w:kern w:val="2"/>
        </w:rPr>
        <w:t xml:space="preserve">and </w:t>
      </w:r>
      <w:r w:rsidRPr="00FC5566">
        <w:rPr>
          <w:kern w:val="2"/>
        </w:rPr>
        <w:t>the provisions of the Administrative Procedures Act, R.S. 49:950 et seq.,</w:t>
      </w:r>
      <w:r w:rsidRPr="00FC5566">
        <w:rPr>
          <w:rFonts w:eastAsia="Calibri"/>
          <w:kern w:val="2"/>
        </w:rPr>
        <w:t xml:space="preserve"> has amended </w:t>
      </w:r>
      <w:r w:rsidRPr="00FC5566">
        <w:rPr>
          <w:color w:val="000000"/>
          <w:kern w:val="2"/>
        </w:rPr>
        <w:t xml:space="preserve">Title 55 (Public Safety), Part V, Chapter 1 (Preliminary Provisions), Sections 103 and 107 and repealed Section 105. Specifically, this Rule updates Section 103 to reflect the updated list of materials and the updated construction requirements that shall be utilized by the state fire marshal, and updates Section 107 to reflect the appropriate statutory reference. This Rule is hereby adopted on the day of promulgation. </w:t>
      </w:r>
    </w:p>
    <w:p w14:paraId="2315D918" w14:textId="77777777" w:rsidR="00FC5566" w:rsidRPr="00FC5566" w:rsidRDefault="00FC5566" w:rsidP="00FC5566">
      <w:pPr>
        <w:keepNext/>
        <w:jc w:val="center"/>
        <w:rPr>
          <w:rFonts w:eastAsia="Calibri"/>
          <w:b/>
          <w:kern w:val="28"/>
        </w:rPr>
      </w:pPr>
      <w:r w:rsidRPr="00FC5566">
        <w:rPr>
          <w:rFonts w:eastAsia="Calibri"/>
          <w:b/>
          <w:kern w:val="28"/>
        </w:rPr>
        <w:t>Title 55</w:t>
      </w:r>
    </w:p>
    <w:p w14:paraId="18363820" w14:textId="77777777" w:rsidR="00FC5566" w:rsidRPr="00FC5566" w:rsidRDefault="00FC5566" w:rsidP="00FC5566">
      <w:pPr>
        <w:keepNext/>
        <w:jc w:val="center"/>
        <w:rPr>
          <w:rFonts w:eastAsia="Calibri"/>
          <w:b/>
          <w:kern w:val="28"/>
        </w:rPr>
      </w:pPr>
      <w:r w:rsidRPr="00FC5566">
        <w:rPr>
          <w:rFonts w:eastAsia="Calibri"/>
          <w:b/>
          <w:kern w:val="28"/>
        </w:rPr>
        <w:t>PUBLIC SAFETY</w:t>
      </w:r>
    </w:p>
    <w:p w14:paraId="7313E542" w14:textId="77777777" w:rsidR="00FC5566" w:rsidRPr="00FC5566" w:rsidRDefault="00FC5566" w:rsidP="00FC5566">
      <w:pPr>
        <w:keepNext/>
        <w:jc w:val="center"/>
        <w:rPr>
          <w:rFonts w:eastAsia="Calibri"/>
          <w:b/>
          <w:noProof/>
        </w:rPr>
      </w:pPr>
      <w:r w:rsidRPr="00FC5566">
        <w:rPr>
          <w:rFonts w:eastAsia="Calibri"/>
          <w:b/>
          <w:noProof/>
        </w:rPr>
        <w:t>Part V.  Office of State Fire Marshal</w:t>
      </w:r>
    </w:p>
    <w:p w14:paraId="5D4F19AC"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rFonts w:eastAsia="Calibri"/>
          <w:b/>
          <w:kern w:val="2"/>
        </w:rPr>
      </w:pPr>
      <w:r w:rsidRPr="00FC5566">
        <w:rPr>
          <w:rFonts w:eastAsia="Calibri"/>
          <w:b/>
          <w:kern w:val="2"/>
        </w:rPr>
        <w:t>Chapter 1.</w:t>
      </w:r>
      <w:r w:rsidRPr="00FC5566">
        <w:rPr>
          <w:rFonts w:eastAsia="Calibri"/>
          <w:b/>
          <w:kern w:val="2"/>
        </w:rPr>
        <w:tab/>
        <w:t>Preliminary Provisions</w:t>
      </w:r>
    </w:p>
    <w:p w14:paraId="3E98CFB3"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440" w:name="_Toc204180610"/>
      <w:bookmarkStart w:id="441" w:name="_Toc293303956"/>
      <w:r w:rsidRPr="00FC5566">
        <w:rPr>
          <w:b/>
          <w:kern w:val="2"/>
        </w:rPr>
        <w:t>§103.</w:t>
      </w:r>
      <w:r w:rsidRPr="00FC5566">
        <w:rPr>
          <w:b/>
          <w:kern w:val="2"/>
        </w:rPr>
        <w:tab/>
        <w:t>General Provisions</w:t>
      </w:r>
      <w:bookmarkEnd w:id="440"/>
      <w:bookmarkEnd w:id="441"/>
    </w:p>
    <w:p w14:paraId="0764D54E"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 xml:space="preserve">It shall be the policy of the state fire marshal that in all instances or specifications provided in the statutes or in the codes referenced by the statutes, or by any specific references in administrative rulings by the state fire marshal, that the </w:t>
      </w:r>
      <w:r w:rsidRPr="00FC5566">
        <w:rPr>
          <w:i/>
          <w:kern w:val="2"/>
        </w:rPr>
        <w:t>Standard Building Code</w:t>
      </w:r>
      <w:r w:rsidRPr="00FC5566">
        <w:rPr>
          <w:kern w:val="2"/>
        </w:rPr>
        <w:t xml:space="preserve"> published by the Southern Building Code Congress International, the Louisiana State Uniform Construction Code (LSUCC) as adopted and amended by the LSUCC Council,, and the </w:t>
      </w:r>
      <w:r w:rsidRPr="00FC5566">
        <w:rPr>
          <w:i/>
          <w:kern w:val="2"/>
        </w:rPr>
        <w:t>National Fire Codes</w:t>
      </w:r>
      <w:r w:rsidRPr="00FC5566">
        <w:rPr>
          <w:kern w:val="2"/>
        </w:rPr>
        <w:t xml:space="preserve"> and standards published by the National Fire Protection Association, and the International Fire Code published by the International Code Council, and the standards referenced by the aforementioned publications, and the publications specifically identified in the following list, shall be used as the materials for determinations by the state fire marshal.</w:t>
      </w:r>
    </w:p>
    <w:p w14:paraId="4257CB8E"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tbl>
      <w:tblPr>
        <w:tblW w:w="4889" w:type="dxa"/>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4A0" w:firstRow="1" w:lastRow="0" w:firstColumn="1" w:lastColumn="0" w:noHBand="0" w:noVBand="1"/>
      </w:tblPr>
      <w:tblGrid>
        <w:gridCol w:w="1077"/>
        <w:gridCol w:w="1086"/>
        <w:gridCol w:w="2726"/>
      </w:tblGrid>
      <w:tr w:rsidR="00FC5566" w:rsidRPr="00FC5566" w14:paraId="70B763B8" w14:textId="77777777" w:rsidTr="00B247D5">
        <w:trPr>
          <w:cantSplit/>
          <w:jc w:val="center"/>
        </w:trPr>
        <w:tc>
          <w:tcPr>
            <w:tcW w:w="1077" w:type="dxa"/>
            <w:tcBorders>
              <w:top w:val="double" w:sz="6" w:space="0" w:color="auto"/>
              <w:left w:val="double" w:sz="6" w:space="0" w:color="auto"/>
              <w:bottom w:val="single" w:sz="6" w:space="0" w:color="auto"/>
              <w:right w:val="single" w:sz="6" w:space="0" w:color="auto"/>
            </w:tcBorders>
            <w:vAlign w:val="bottom"/>
            <w:hideMark/>
          </w:tcPr>
          <w:p w14:paraId="3D28E598" w14:textId="77777777" w:rsidR="00FC5566" w:rsidRPr="00FC5566" w:rsidRDefault="00FC5566" w:rsidP="00FC5566">
            <w:pPr>
              <w:keepNext/>
              <w:autoSpaceDE w:val="0"/>
              <w:autoSpaceDN w:val="0"/>
              <w:adjustRightInd w:val="0"/>
              <w:rPr>
                <w:bCs/>
                <w:sz w:val="16"/>
                <w:szCs w:val="16"/>
              </w:rPr>
            </w:pPr>
            <w:r w:rsidRPr="00FC5566">
              <w:rPr>
                <w:bCs/>
                <w:sz w:val="16"/>
                <w:szCs w:val="16"/>
              </w:rPr>
              <w:t xml:space="preserve">NFPA 1 </w:t>
            </w:r>
          </w:p>
        </w:tc>
        <w:tc>
          <w:tcPr>
            <w:tcW w:w="1086" w:type="dxa"/>
            <w:tcBorders>
              <w:top w:val="double" w:sz="6" w:space="0" w:color="auto"/>
              <w:left w:val="single" w:sz="6" w:space="0" w:color="auto"/>
              <w:bottom w:val="single" w:sz="6" w:space="0" w:color="auto"/>
              <w:right w:val="single" w:sz="6" w:space="0" w:color="auto"/>
            </w:tcBorders>
            <w:vAlign w:val="bottom"/>
            <w:hideMark/>
          </w:tcPr>
          <w:p w14:paraId="64FCDE58" w14:textId="77777777" w:rsidR="00FC5566" w:rsidRPr="00FC5566" w:rsidRDefault="00FC5566" w:rsidP="00FC5566">
            <w:pPr>
              <w:keepNext/>
              <w:autoSpaceDE w:val="0"/>
              <w:autoSpaceDN w:val="0"/>
              <w:adjustRightInd w:val="0"/>
              <w:jc w:val="center"/>
              <w:rPr>
                <w:bCs/>
                <w:sz w:val="16"/>
                <w:szCs w:val="16"/>
              </w:rPr>
            </w:pPr>
            <w:r w:rsidRPr="00FC5566">
              <w:rPr>
                <w:bCs/>
                <w:sz w:val="16"/>
                <w:szCs w:val="16"/>
              </w:rPr>
              <w:t>2021 Edition</w:t>
            </w:r>
          </w:p>
        </w:tc>
        <w:tc>
          <w:tcPr>
            <w:tcW w:w="2726" w:type="dxa"/>
            <w:tcBorders>
              <w:top w:val="double" w:sz="6" w:space="0" w:color="auto"/>
              <w:left w:val="single" w:sz="6" w:space="0" w:color="auto"/>
              <w:bottom w:val="single" w:sz="6" w:space="0" w:color="auto"/>
              <w:right w:val="double" w:sz="6" w:space="0" w:color="auto"/>
            </w:tcBorders>
            <w:vAlign w:val="bottom"/>
            <w:hideMark/>
          </w:tcPr>
          <w:p w14:paraId="53EAC5E9" w14:textId="77777777" w:rsidR="00FC5566" w:rsidRPr="00FC5566" w:rsidRDefault="00FC5566" w:rsidP="00FC5566">
            <w:pPr>
              <w:keepNext/>
              <w:autoSpaceDE w:val="0"/>
              <w:autoSpaceDN w:val="0"/>
              <w:adjustRightInd w:val="0"/>
              <w:rPr>
                <w:bCs/>
                <w:sz w:val="16"/>
                <w:szCs w:val="16"/>
              </w:rPr>
            </w:pPr>
            <w:r w:rsidRPr="00FC5566">
              <w:rPr>
                <w:bCs/>
                <w:sz w:val="16"/>
                <w:szCs w:val="16"/>
              </w:rPr>
              <w:t>Fire Code</w:t>
            </w:r>
          </w:p>
        </w:tc>
      </w:tr>
      <w:tr w:rsidR="00FC5566" w:rsidRPr="00FC5566" w14:paraId="6245D50A" w14:textId="77777777" w:rsidTr="00B247D5">
        <w:trPr>
          <w:cantSplit/>
          <w:jc w:val="center"/>
        </w:trPr>
        <w:tc>
          <w:tcPr>
            <w:tcW w:w="1077" w:type="dxa"/>
            <w:tcBorders>
              <w:top w:val="single" w:sz="6" w:space="0" w:color="auto"/>
              <w:left w:val="double" w:sz="6" w:space="0" w:color="auto"/>
              <w:bottom w:val="single" w:sz="6" w:space="0" w:color="auto"/>
              <w:right w:val="single" w:sz="6" w:space="0" w:color="auto"/>
            </w:tcBorders>
            <w:vAlign w:val="bottom"/>
            <w:hideMark/>
          </w:tcPr>
          <w:p w14:paraId="46796F26" w14:textId="77777777" w:rsidR="00FC5566" w:rsidRPr="00FC5566" w:rsidRDefault="00FC5566" w:rsidP="00FC5566">
            <w:pPr>
              <w:keepNext/>
              <w:autoSpaceDE w:val="0"/>
              <w:autoSpaceDN w:val="0"/>
              <w:adjustRightInd w:val="0"/>
              <w:rPr>
                <w:bCs/>
                <w:sz w:val="16"/>
                <w:szCs w:val="16"/>
              </w:rPr>
            </w:pPr>
            <w:r w:rsidRPr="00FC5566">
              <w:rPr>
                <w:bCs/>
                <w:sz w:val="16"/>
                <w:szCs w:val="16"/>
              </w:rPr>
              <w:t>IFC</w:t>
            </w:r>
          </w:p>
        </w:tc>
        <w:tc>
          <w:tcPr>
            <w:tcW w:w="1086" w:type="dxa"/>
            <w:tcBorders>
              <w:top w:val="single" w:sz="6" w:space="0" w:color="auto"/>
              <w:left w:val="single" w:sz="6" w:space="0" w:color="auto"/>
              <w:bottom w:val="single" w:sz="6" w:space="0" w:color="auto"/>
              <w:right w:val="single" w:sz="6" w:space="0" w:color="auto"/>
            </w:tcBorders>
            <w:vAlign w:val="bottom"/>
            <w:hideMark/>
          </w:tcPr>
          <w:p w14:paraId="3BA9CE76" w14:textId="77777777" w:rsidR="00FC5566" w:rsidRPr="00FC5566" w:rsidRDefault="00FC5566" w:rsidP="00FC5566">
            <w:pPr>
              <w:keepNext/>
              <w:autoSpaceDE w:val="0"/>
              <w:autoSpaceDN w:val="0"/>
              <w:adjustRightInd w:val="0"/>
              <w:jc w:val="center"/>
              <w:rPr>
                <w:bCs/>
                <w:sz w:val="16"/>
                <w:szCs w:val="16"/>
              </w:rPr>
            </w:pPr>
            <w:r w:rsidRPr="00FC5566">
              <w:rPr>
                <w:bCs/>
                <w:sz w:val="16"/>
                <w:szCs w:val="16"/>
              </w:rPr>
              <w:t>2021</w:t>
            </w:r>
          </w:p>
        </w:tc>
        <w:tc>
          <w:tcPr>
            <w:tcW w:w="2726" w:type="dxa"/>
            <w:tcBorders>
              <w:top w:val="single" w:sz="6" w:space="0" w:color="auto"/>
              <w:left w:val="single" w:sz="6" w:space="0" w:color="auto"/>
              <w:bottom w:val="single" w:sz="6" w:space="0" w:color="auto"/>
              <w:right w:val="double" w:sz="6" w:space="0" w:color="auto"/>
            </w:tcBorders>
            <w:vAlign w:val="bottom"/>
            <w:hideMark/>
          </w:tcPr>
          <w:p w14:paraId="7C624D8B" w14:textId="77777777" w:rsidR="00FC5566" w:rsidRPr="00FC5566" w:rsidRDefault="00FC5566" w:rsidP="00FC5566">
            <w:pPr>
              <w:keepNext/>
              <w:autoSpaceDE w:val="0"/>
              <w:autoSpaceDN w:val="0"/>
              <w:adjustRightInd w:val="0"/>
              <w:rPr>
                <w:bCs/>
                <w:sz w:val="16"/>
                <w:szCs w:val="16"/>
              </w:rPr>
            </w:pPr>
            <w:r w:rsidRPr="00FC5566">
              <w:rPr>
                <w:bCs/>
                <w:sz w:val="16"/>
                <w:szCs w:val="16"/>
              </w:rPr>
              <w:t>International Fire Code</w:t>
            </w:r>
          </w:p>
        </w:tc>
      </w:tr>
      <w:tr w:rsidR="00FC5566" w:rsidRPr="00FC5566" w14:paraId="55D30533" w14:textId="77777777" w:rsidTr="00B247D5">
        <w:trPr>
          <w:cantSplit/>
          <w:jc w:val="center"/>
        </w:trPr>
        <w:tc>
          <w:tcPr>
            <w:tcW w:w="1077" w:type="dxa"/>
            <w:tcBorders>
              <w:top w:val="single" w:sz="6" w:space="0" w:color="auto"/>
              <w:left w:val="double" w:sz="6" w:space="0" w:color="auto"/>
              <w:bottom w:val="single" w:sz="6" w:space="0" w:color="auto"/>
              <w:right w:val="single" w:sz="6" w:space="0" w:color="auto"/>
            </w:tcBorders>
            <w:vAlign w:val="bottom"/>
            <w:hideMark/>
          </w:tcPr>
          <w:p w14:paraId="2C0AD11A" w14:textId="77777777" w:rsidR="00FC5566" w:rsidRPr="00FC5566" w:rsidRDefault="00FC5566" w:rsidP="00FC5566">
            <w:pPr>
              <w:keepNext/>
              <w:autoSpaceDE w:val="0"/>
              <w:autoSpaceDN w:val="0"/>
              <w:adjustRightInd w:val="0"/>
              <w:rPr>
                <w:bCs/>
                <w:sz w:val="16"/>
                <w:szCs w:val="16"/>
              </w:rPr>
            </w:pPr>
            <w:r w:rsidRPr="00FC5566">
              <w:rPr>
                <w:bCs/>
                <w:sz w:val="16"/>
                <w:szCs w:val="16"/>
              </w:rPr>
              <w:t>NFPA 18</w:t>
            </w:r>
          </w:p>
        </w:tc>
        <w:tc>
          <w:tcPr>
            <w:tcW w:w="1086" w:type="dxa"/>
            <w:tcBorders>
              <w:top w:val="single" w:sz="6" w:space="0" w:color="auto"/>
              <w:left w:val="single" w:sz="6" w:space="0" w:color="auto"/>
              <w:bottom w:val="single" w:sz="6" w:space="0" w:color="auto"/>
              <w:right w:val="single" w:sz="6" w:space="0" w:color="auto"/>
            </w:tcBorders>
            <w:vAlign w:val="bottom"/>
            <w:hideMark/>
          </w:tcPr>
          <w:p w14:paraId="36049E93" w14:textId="77777777" w:rsidR="00FC5566" w:rsidRPr="00FC5566" w:rsidRDefault="00FC5566" w:rsidP="00FC5566">
            <w:pPr>
              <w:keepNext/>
              <w:autoSpaceDE w:val="0"/>
              <w:autoSpaceDN w:val="0"/>
              <w:adjustRightInd w:val="0"/>
              <w:jc w:val="center"/>
              <w:rPr>
                <w:bCs/>
                <w:sz w:val="16"/>
                <w:szCs w:val="16"/>
              </w:rPr>
            </w:pPr>
            <w:r w:rsidRPr="00FC5566">
              <w:rPr>
                <w:bCs/>
                <w:sz w:val="16"/>
                <w:szCs w:val="16"/>
              </w:rPr>
              <w:t>2011 Edition</w:t>
            </w:r>
          </w:p>
        </w:tc>
        <w:tc>
          <w:tcPr>
            <w:tcW w:w="2726" w:type="dxa"/>
            <w:tcBorders>
              <w:top w:val="single" w:sz="6" w:space="0" w:color="auto"/>
              <w:left w:val="single" w:sz="6" w:space="0" w:color="auto"/>
              <w:bottom w:val="single" w:sz="6" w:space="0" w:color="auto"/>
              <w:right w:val="double" w:sz="6" w:space="0" w:color="auto"/>
            </w:tcBorders>
            <w:vAlign w:val="bottom"/>
            <w:hideMark/>
          </w:tcPr>
          <w:p w14:paraId="6A4435DB" w14:textId="77777777" w:rsidR="00FC5566" w:rsidRPr="00FC5566" w:rsidRDefault="00FC5566" w:rsidP="00FC5566">
            <w:pPr>
              <w:keepNext/>
              <w:autoSpaceDE w:val="0"/>
              <w:autoSpaceDN w:val="0"/>
              <w:adjustRightInd w:val="0"/>
              <w:rPr>
                <w:bCs/>
                <w:sz w:val="16"/>
                <w:szCs w:val="16"/>
              </w:rPr>
            </w:pPr>
            <w:r w:rsidRPr="00FC5566">
              <w:rPr>
                <w:bCs/>
                <w:sz w:val="16"/>
                <w:szCs w:val="16"/>
              </w:rPr>
              <w:t>Standard on Wetting Agents</w:t>
            </w:r>
          </w:p>
        </w:tc>
      </w:tr>
      <w:tr w:rsidR="00FC5566" w:rsidRPr="00FC5566" w14:paraId="705ACF1B" w14:textId="77777777" w:rsidTr="00B247D5">
        <w:trPr>
          <w:cantSplit/>
          <w:jc w:val="center"/>
        </w:trPr>
        <w:tc>
          <w:tcPr>
            <w:tcW w:w="1077" w:type="dxa"/>
            <w:tcBorders>
              <w:top w:val="single" w:sz="6" w:space="0" w:color="auto"/>
              <w:left w:val="double" w:sz="6" w:space="0" w:color="auto"/>
              <w:bottom w:val="single" w:sz="6" w:space="0" w:color="auto"/>
              <w:right w:val="single" w:sz="6" w:space="0" w:color="auto"/>
            </w:tcBorders>
            <w:vAlign w:val="bottom"/>
            <w:hideMark/>
          </w:tcPr>
          <w:p w14:paraId="1B7B4BEC" w14:textId="77777777" w:rsidR="00FC5566" w:rsidRPr="00FC5566" w:rsidRDefault="00FC5566" w:rsidP="00FC5566">
            <w:pPr>
              <w:keepNext/>
              <w:autoSpaceDE w:val="0"/>
              <w:autoSpaceDN w:val="0"/>
              <w:adjustRightInd w:val="0"/>
              <w:rPr>
                <w:bCs/>
                <w:sz w:val="16"/>
                <w:szCs w:val="16"/>
              </w:rPr>
            </w:pPr>
            <w:r w:rsidRPr="00FC5566">
              <w:rPr>
                <w:bCs/>
                <w:sz w:val="16"/>
                <w:szCs w:val="16"/>
              </w:rPr>
              <w:t>NFPA 37</w:t>
            </w:r>
          </w:p>
        </w:tc>
        <w:tc>
          <w:tcPr>
            <w:tcW w:w="1086" w:type="dxa"/>
            <w:tcBorders>
              <w:top w:val="single" w:sz="6" w:space="0" w:color="auto"/>
              <w:left w:val="single" w:sz="6" w:space="0" w:color="auto"/>
              <w:bottom w:val="single" w:sz="6" w:space="0" w:color="auto"/>
              <w:right w:val="single" w:sz="6" w:space="0" w:color="auto"/>
            </w:tcBorders>
            <w:vAlign w:val="bottom"/>
            <w:hideMark/>
          </w:tcPr>
          <w:p w14:paraId="641C60C4" w14:textId="77777777" w:rsidR="00FC5566" w:rsidRPr="00FC5566" w:rsidRDefault="00FC5566" w:rsidP="00FC5566">
            <w:pPr>
              <w:keepNext/>
              <w:autoSpaceDE w:val="0"/>
              <w:autoSpaceDN w:val="0"/>
              <w:adjustRightInd w:val="0"/>
              <w:jc w:val="center"/>
              <w:rPr>
                <w:bCs/>
                <w:sz w:val="16"/>
                <w:szCs w:val="16"/>
              </w:rPr>
            </w:pPr>
            <w:r w:rsidRPr="00FC5566">
              <w:rPr>
                <w:bCs/>
                <w:sz w:val="16"/>
                <w:szCs w:val="16"/>
              </w:rPr>
              <w:t>2015 Edition</w:t>
            </w:r>
          </w:p>
        </w:tc>
        <w:tc>
          <w:tcPr>
            <w:tcW w:w="2726" w:type="dxa"/>
            <w:tcBorders>
              <w:top w:val="single" w:sz="6" w:space="0" w:color="auto"/>
              <w:left w:val="single" w:sz="6" w:space="0" w:color="auto"/>
              <w:bottom w:val="single" w:sz="6" w:space="0" w:color="auto"/>
              <w:right w:val="double" w:sz="6" w:space="0" w:color="auto"/>
            </w:tcBorders>
            <w:vAlign w:val="bottom"/>
            <w:hideMark/>
          </w:tcPr>
          <w:p w14:paraId="2FB93CB6" w14:textId="77777777" w:rsidR="00FC5566" w:rsidRPr="00FC5566" w:rsidRDefault="00FC5566" w:rsidP="00FC5566">
            <w:pPr>
              <w:keepNext/>
              <w:autoSpaceDE w:val="0"/>
              <w:autoSpaceDN w:val="0"/>
              <w:adjustRightInd w:val="0"/>
              <w:rPr>
                <w:bCs/>
                <w:sz w:val="16"/>
                <w:szCs w:val="16"/>
              </w:rPr>
            </w:pPr>
            <w:r w:rsidRPr="00FC5566">
              <w:rPr>
                <w:bCs/>
                <w:sz w:val="16"/>
                <w:szCs w:val="16"/>
              </w:rPr>
              <w:t>Standard for the Installation and Use of Stationary Combustion Engines and Gas Turbines</w:t>
            </w:r>
          </w:p>
        </w:tc>
      </w:tr>
      <w:tr w:rsidR="00FC5566" w:rsidRPr="00FC5566" w14:paraId="5701098B" w14:textId="77777777" w:rsidTr="00B247D5">
        <w:trPr>
          <w:cantSplit/>
          <w:jc w:val="center"/>
        </w:trPr>
        <w:tc>
          <w:tcPr>
            <w:tcW w:w="1077" w:type="dxa"/>
            <w:tcBorders>
              <w:top w:val="single" w:sz="6" w:space="0" w:color="auto"/>
              <w:left w:val="double" w:sz="6" w:space="0" w:color="auto"/>
              <w:bottom w:val="single" w:sz="6" w:space="0" w:color="auto"/>
              <w:right w:val="single" w:sz="6" w:space="0" w:color="auto"/>
            </w:tcBorders>
            <w:vAlign w:val="bottom"/>
            <w:hideMark/>
          </w:tcPr>
          <w:p w14:paraId="66C83977" w14:textId="77777777" w:rsidR="00FC5566" w:rsidRPr="00FC5566" w:rsidRDefault="00FC5566" w:rsidP="00FC5566">
            <w:pPr>
              <w:keepNext/>
              <w:autoSpaceDE w:val="0"/>
              <w:autoSpaceDN w:val="0"/>
              <w:adjustRightInd w:val="0"/>
              <w:rPr>
                <w:bCs/>
                <w:sz w:val="16"/>
                <w:szCs w:val="16"/>
              </w:rPr>
            </w:pPr>
            <w:r w:rsidRPr="00FC5566">
              <w:rPr>
                <w:bCs/>
                <w:sz w:val="16"/>
                <w:szCs w:val="16"/>
              </w:rPr>
              <w:t>NFPA 51</w:t>
            </w:r>
          </w:p>
        </w:tc>
        <w:tc>
          <w:tcPr>
            <w:tcW w:w="1086" w:type="dxa"/>
            <w:tcBorders>
              <w:top w:val="single" w:sz="6" w:space="0" w:color="auto"/>
              <w:left w:val="single" w:sz="6" w:space="0" w:color="auto"/>
              <w:bottom w:val="single" w:sz="6" w:space="0" w:color="auto"/>
              <w:right w:val="single" w:sz="6" w:space="0" w:color="auto"/>
            </w:tcBorders>
            <w:vAlign w:val="bottom"/>
            <w:hideMark/>
          </w:tcPr>
          <w:p w14:paraId="2A517169" w14:textId="77777777" w:rsidR="00FC5566" w:rsidRPr="00FC5566" w:rsidRDefault="00FC5566" w:rsidP="00FC5566">
            <w:pPr>
              <w:keepNext/>
              <w:autoSpaceDE w:val="0"/>
              <w:autoSpaceDN w:val="0"/>
              <w:adjustRightInd w:val="0"/>
              <w:jc w:val="center"/>
              <w:rPr>
                <w:bCs/>
                <w:sz w:val="16"/>
                <w:szCs w:val="16"/>
              </w:rPr>
            </w:pPr>
            <w:r w:rsidRPr="00FC5566">
              <w:rPr>
                <w:bCs/>
                <w:sz w:val="16"/>
                <w:szCs w:val="16"/>
              </w:rPr>
              <w:t>2013 Edition</w:t>
            </w:r>
          </w:p>
        </w:tc>
        <w:tc>
          <w:tcPr>
            <w:tcW w:w="2726" w:type="dxa"/>
            <w:tcBorders>
              <w:top w:val="single" w:sz="6" w:space="0" w:color="auto"/>
              <w:left w:val="single" w:sz="6" w:space="0" w:color="auto"/>
              <w:bottom w:val="single" w:sz="6" w:space="0" w:color="auto"/>
              <w:right w:val="double" w:sz="6" w:space="0" w:color="auto"/>
            </w:tcBorders>
            <w:vAlign w:val="bottom"/>
            <w:hideMark/>
          </w:tcPr>
          <w:p w14:paraId="11788132" w14:textId="77777777" w:rsidR="00FC5566" w:rsidRPr="00FC5566" w:rsidRDefault="00FC5566" w:rsidP="00FC5566">
            <w:pPr>
              <w:keepNext/>
              <w:autoSpaceDE w:val="0"/>
              <w:autoSpaceDN w:val="0"/>
              <w:adjustRightInd w:val="0"/>
              <w:rPr>
                <w:bCs/>
                <w:sz w:val="16"/>
                <w:szCs w:val="16"/>
              </w:rPr>
            </w:pPr>
            <w:r w:rsidRPr="00FC5566">
              <w:rPr>
                <w:bCs/>
                <w:sz w:val="16"/>
                <w:szCs w:val="16"/>
              </w:rPr>
              <w:t>Standard for the Design and Installation of Oxygen-Fuel Gas Systems for Welding, Cutting, and Allied Processes</w:t>
            </w:r>
          </w:p>
        </w:tc>
      </w:tr>
      <w:tr w:rsidR="00FC5566" w:rsidRPr="00FC5566" w14:paraId="58DC097F" w14:textId="77777777" w:rsidTr="00B247D5">
        <w:trPr>
          <w:cantSplit/>
          <w:jc w:val="center"/>
        </w:trPr>
        <w:tc>
          <w:tcPr>
            <w:tcW w:w="1077" w:type="dxa"/>
            <w:tcBorders>
              <w:top w:val="single" w:sz="6" w:space="0" w:color="auto"/>
              <w:left w:val="double" w:sz="6" w:space="0" w:color="auto"/>
              <w:bottom w:val="single" w:sz="6" w:space="0" w:color="auto"/>
              <w:right w:val="single" w:sz="6" w:space="0" w:color="auto"/>
            </w:tcBorders>
            <w:vAlign w:val="bottom"/>
            <w:hideMark/>
          </w:tcPr>
          <w:p w14:paraId="5DD8040B" w14:textId="77777777" w:rsidR="00FC5566" w:rsidRPr="00FC5566" w:rsidRDefault="00FC5566" w:rsidP="00FC5566">
            <w:pPr>
              <w:keepNext/>
              <w:autoSpaceDE w:val="0"/>
              <w:autoSpaceDN w:val="0"/>
              <w:adjustRightInd w:val="0"/>
              <w:rPr>
                <w:bCs/>
                <w:sz w:val="16"/>
                <w:szCs w:val="16"/>
              </w:rPr>
            </w:pPr>
            <w:r w:rsidRPr="00FC5566">
              <w:rPr>
                <w:bCs/>
                <w:sz w:val="16"/>
                <w:szCs w:val="16"/>
              </w:rPr>
              <w:t>NFPA 53</w:t>
            </w:r>
          </w:p>
        </w:tc>
        <w:tc>
          <w:tcPr>
            <w:tcW w:w="1086" w:type="dxa"/>
            <w:tcBorders>
              <w:top w:val="single" w:sz="6" w:space="0" w:color="auto"/>
              <w:left w:val="single" w:sz="6" w:space="0" w:color="auto"/>
              <w:bottom w:val="single" w:sz="6" w:space="0" w:color="auto"/>
              <w:right w:val="single" w:sz="6" w:space="0" w:color="auto"/>
            </w:tcBorders>
            <w:vAlign w:val="bottom"/>
            <w:hideMark/>
          </w:tcPr>
          <w:p w14:paraId="431FFF13" w14:textId="77777777" w:rsidR="00FC5566" w:rsidRPr="00FC5566" w:rsidRDefault="00FC5566" w:rsidP="00FC5566">
            <w:pPr>
              <w:keepNext/>
              <w:autoSpaceDE w:val="0"/>
              <w:autoSpaceDN w:val="0"/>
              <w:adjustRightInd w:val="0"/>
              <w:jc w:val="center"/>
              <w:rPr>
                <w:bCs/>
                <w:sz w:val="16"/>
                <w:szCs w:val="16"/>
              </w:rPr>
            </w:pPr>
            <w:r w:rsidRPr="00FC5566">
              <w:rPr>
                <w:bCs/>
                <w:sz w:val="16"/>
                <w:szCs w:val="16"/>
              </w:rPr>
              <w:t>2016 Edition</w:t>
            </w:r>
          </w:p>
        </w:tc>
        <w:tc>
          <w:tcPr>
            <w:tcW w:w="2726" w:type="dxa"/>
            <w:tcBorders>
              <w:top w:val="single" w:sz="6" w:space="0" w:color="auto"/>
              <w:left w:val="single" w:sz="6" w:space="0" w:color="auto"/>
              <w:bottom w:val="single" w:sz="6" w:space="0" w:color="auto"/>
              <w:right w:val="double" w:sz="6" w:space="0" w:color="auto"/>
            </w:tcBorders>
            <w:vAlign w:val="bottom"/>
            <w:hideMark/>
          </w:tcPr>
          <w:p w14:paraId="3D895704" w14:textId="77777777" w:rsidR="00FC5566" w:rsidRPr="00FC5566" w:rsidRDefault="00FC5566" w:rsidP="00FC5566">
            <w:pPr>
              <w:keepNext/>
              <w:autoSpaceDE w:val="0"/>
              <w:autoSpaceDN w:val="0"/>
              <w:adjustRightInd w:val="0"/>
              <w:rPr>
                <w:bCs/>
                <w:sz w:val="16"/>
                <w:szCs w:val="16"/>
              </w:rPr>
            </w:pPr>
            <w:r w:rsidRPr="00FC5566">
              <w:rPr>
                <w:bCs/>
                <w:sz w:val="16"/>
                <w:szCs w:val="16"/>
              </w:rPr>
              <w:t>Recommended Practice on Materials, Equipment, and Systems Used in Oxygen-Enriched Atmospheres</w:t>
            </w:r>
          </w:p>
        </w:tc>
      </w:tr>
      <w:tr w:rsidR="00FC5566" w:rsidRPr="00FC5566" w14:paraId="04664F51" w14:textId="77777777" w:rsidTr="00B247D5">
        <w:trPr>
          <w:cantSplit/>
          <w:jc w:val="center"/>
        </w:trPr>
        <w:tc>
          <w:tcPr>
            <w:tcW w:w="1077" w:type="dxa"/>
            <w:tcBorders>
              <w:top w:val="single" w:sz="6" w:space="0" w:color="auto"/>
              <w:left w:val="double" w:sz="6" w:space="0" w:color="auto"/>
              <w:bottom w:val="single" w:sz="6" w:space="0" w:color="auto"/>
              <w:right w:val="single" w:sz="6" w:space="0" w:color="auto"/>
            </w:tcBorders>
            <w:vAlign w:val="bottom"/>
            <w:hideMark/>
          </w:tcPr>
          <w:p w14:paraId="0C652D33" w14:textId="77777777" w:rsidR="00FC5566" w:rsidRPr="00FC5566" w:rsidRDefault="00FC5566" w:rsidP="00FC5566">
            <w:pPr>
              <w:keepNext/>
              <w:autoSpaceDE w:val="0"/>
              <w:autoSpaceDN w:val="0"/>
              <w:adjustRightInd w:val="0"/>
              <w:rPr>
                <w:bCs/>
                <w:sz w:val="16"/>
                <w:szCs w:val="16"/>
              </w:rPr>
            </w:pPr>
            <w:r w:rsidRPr="00FC5566">
              <w:rPr>
                <w:bCs/>
                <w:sz w:val="16"/>
                <w:szCs w:val="16"/>
              </w:rPr>
              <w:t>NFPA 99B</w:t>
            </w:r>
          </w:p>
        </w:tc>
        <w:tc>
          <w:tcPr>
            <w:tcW w:w="1086" w:type="dxa"/>
            <w:tcBorders>
              <w:top w:val="single" w:sz="6" w:space="0" w:color="auto"/>
              <w:left w:val="single" w:sz="6" w:space="0" w:color="auto"/>
              <w:bottom w:val="single" w:sz="6" w:space="0" w:color="auto"/>
              <w:right w:val="single" w:sz="6" w:space="0" w:color="auto"/>
            </w:tcBorders>
            <w:vAlign w:val="bottom"/>
            <w:hideMark/>
          </w:tcPr>
          <w:p w14:paraId="2083ABC3" w14:textId="77777777" w:rsidR="00FC5566" w:rsidRPr="00FC5566" w:rsidRDefault="00FC5566" w:rsidP="00FC5566">
            <w:pPr>
              <w:keepNext/>
              <w:autoSpaceDE w:val="0"/>
              <w:autoSpaceDN w:val="0"/>
              <w:adjustRightInd w:val="0"/>
              <w:jc w:val="center"/>
              <w:rPr>
                <w:bCs/>
                <w:sz w:val="16"/>
                <w:szCs w:val="16"/>
              </w:rPr>
            </w:pPr>
            <w:r w:rsidRPr="00FC5566">
              <w:rPr>
                <w:bCs/>
                <w:sz w:val="16"/>
                <w:szCs w:val="16"/>
              </w:rPr>
              <w:t>2015 Edition</w:t>
            </w:r>
          </w:p>
        </w:tc>
        <w:tc>
          <w:tcPr>
            <w:tcW w:w="2726" w:type="dxa"/>
            <w:tcBorders>
              <w:top w:val="single" w:sz="6" w:space="0" w:color="auto"/>
              <w:left w:val="single" w:sz="6" w:space="0" w:color="auto"/>
              <w:bottom w:val="single" w:sz="6" w:space="0" w:color="auto"/>
              <w:right w:val="double" w:sz="6" w:space="0" w:color="auto"/>
            </w:tcBorders>
            <w:vAlign w:val="bottom"/>
            <w:hideMark/>
          </w:tcPr>
          <w:p w14:paraId="76610E16" w14:textId="77777777" w:rsidR="00FC5566" w:rsidRPr="00FC5566" w:rsidRDefault="00FC5566" w:rsidP="00FC5566">
            <w:pPr>
              <w:keepNext/>
              <w:autoSpaceDE w:val="0"/>
              <w:autoSpaceDN w:val="0"/>
              <w:adjustRightInd w:val="0"/>
              <w:rPr>
                <w:bCs/>
                <w:sz w:val="16"/>
                <w:szCs w:val="16"/>
              </w:rPr>
            </w:pPr>
            <w:r w:rsidRPr="00FC5566">
              <w:rPr>
                <w:bCs/>
                <w:sz w:val="16"/>
                <w:szCs w:val="16"/>
              </w:rPr>
              <w:t>Standard for Hypobaric Facilities</w:t>
            </w:r>
          </w:p>
        </w:tc>
      </w:tr>
      <w:tr w:rsidR="00FC5566" w:rsidRPr="00FC5566" w14:paraId="75A4E6BB" w14:textId="77777777" w:rsidTr="00B247D5">
        <w:trPr>
          <w:cantSplit/>
          <w:jc w:val="center"/>
        </w:trPr>
        <w:tc>
          <w:tcPr>
            <w:tcW w:w="1077" w:type="dxa"/>
            <w:tcBorders>
              <w:top w:val="single" w:sz="6" w:space="0" w:color="auto"/>
              <w:left w:val="double" w:sz="6" w:space="0" w:color="auto"/>
              <w:bottom w:val="single" w:sz="6" w:space="0" w:color="auto"/>
              <w:right w:val="single" w:sz="6" w:space="0" w:color="auto"/>
            </w:tcBorders>
            <w:vAlign w:val="bottom"/>
            <w:hideMark/>
          </w:tcPr>
          <w:p w14:paraId="63FD8A80" w14:textId="77777777" w:rsidR="00FC5566" w:rsidRPr="00FC5566" w:rsidRDefault="00FC5566" w:rsidP="00FC5566">
            <w:pPr>
              <w:keepNext/>
              <w:autoSpaceDE w:val="0"/>
              <w:autoSpaceDN w:val="0"/>
              <w:adjustRightInd w:val="0"/>
              <w:rPr>
                <w:bCs/>
                <w:sz w:val="16"/>
                <w:szCs w:val="16"/>
              </w:rPr>
            </w:pPr>
            <w:r w:rsidRPr="00FC5566">
              <w:rPr>
                <w:bCs/>
                <w:sz w:val="16"/>
                <w:szCs w:val="16"/>
              </w:rPr>
              <w:t>NFPA 101</w:t>
            </w:r>
          </w:p>
        </w:tc>
        <w:tc>
          <w:tcPr>
            <w:tcW w:w="1086" w:type="dxa"/>
            <w:tcBorders>
              <w:top w:val="single" w:sz="6" w:space="0" w:color="auto"/>
              <w:left w:val="single" w:sz="6" w:space="0" w:color="auto"/>
              <w:bottom w:val="single" w:sz="6" w:space="0" w:color="auto"/>
              <w:right w:val="single" w:sz="6" w:space="0" w:color="auto"/>
            </w:tcBorders>
            <w:vAlign w:val="bottom"/>
            <w:hideMark/>
          </w:tcPr>
          <w:p w14:paraId="10B7338F" w14:textId="77777777" w:rsidR="00FC5566" w:rsidRPr="00FC5566" w:rsidRDefault="00FC5566" w:rsidP="00FC5566">
            <w:pPr>
              <w:keepNext/>
              <w:autoSpaceDE w:val="0"/>
              <w:autoSpaceDN w:val="0"/>
              <w:adjustRightInd w:val="0"/>
              <w:jc w:val="center"/>
              <w:rPr>
                <w:bCs/>
                <w:sz w:val="16"/>
                <w:szCs w:val="16"/>
              </w:rPr>
            </w:pPr>
            <w:r w:rsidRPr="00FC5566">
              <w:rPr>
                <w:bCs/>
                <w:sz w:val="16"/>
                <w:szCs w:val="16"/>
              </w:rPr>
              <w:t>2015 Edition</w:t>
            </w:r>
          </w:p>
        </w:tc>
        <w:tc>
          <w:tcPr>
            <w:tcW w:w="2726" w:type="dxa"/>
            <w:tcBorders>
              <w:top w:val="single" w:sz="6" w:space="0" w:color="auto"/>
              <w:left w:val="single" w:sz="6" w:space="0" w:color="auto"/>
              <w:bottom w:val="single" w:sz="6" w:space="0" w:color="auto"/>
              <w:right w:val="double" w:sz="6" w:space="0" w:color="auto"/>
            </w:tcBorders>
            <w:vAlign w:val="bottom"/>
            <w:hideMark/>
          </w:tcPr>
          <w:p w14:paraId="5F41AD5E" w14:textId="77777777" w:rsidR="00FC5566" w:rsidRPr="00FC5566" w:rsidRDefault="00FC5566" w:rsidP="00FC5566">
            <w:pPr>
              <w:keepNext/>
              <w:autoSpaceDE w:val="0"/>
              <w:autoSpaceDN w:val="0"/>
              <w:adjustRightInd w:val="0"/>
              <w:rPr>
                <w:bCs/>
                <w:sz w:val="16"/>
                <w:szCs w:val="16"/>
              </w:rPr>
            </w:pPr>
            <w:r w:rsidRPr="00FC5566">
              <w:rPr>
                <w:bCs/>
                <w:sz w:val="16"/>
                <w:szCs w:val="16"/>
              </w:rPr>
              <w:t>Life Safety Code</w:t>
            </w:r>
          </w:p>
        </w:tc>
      </w:tr>
      <w:tr w:rsidR="00FC5566" w:rsidRPr="00FC5566" w14:paraId="048E97A2" w14:textId="77777777" w:rsidTr="00B247D5">
        <w:trPr>
          <w:cantSplit/>
          <w:jc w:val="center"/>
        </w:trPr>
        <w:tc>
          <w:tcPr>
            <w:tcW w:w="1077" w:type="dxa"/>
            <w:tcBorders>
              <w:top w:val="single" w:sz="6" w:space="0" w:color="auto"/>
              <w:left w:val="double" w:sz="6" w:space="0" w:color="auto"/>
              <w:bottom w:val="single" w:sz="6" w:space="0" w:color="auto"/>
              <w:right w:val="single" w:sz="6" w:space="0" w:color="auto"/>
            </w:tcBorders>
            <w:vAlign w:val="bottom"/>
            <w:hideMark/>
          </w:tcPr>
          <w:p w14:paraId="5234903D" w14:textId="77777777" w:rsidR="00FC5566" w:rsidRPr="00FC5566" w:rsidRDefault="00FC5566" w:rsidP="00FC5566">
            <w:pPr>
              <w:keepNext/>
              <w:autoSpaceDE w:val="0"/>
              <w:autoSpaceDN w:val="0"/>
              <w:adjustRightInd w:val="0"/>
              <w:rPr>
                <w:bCs/>
                <w:sz w:val="16"/>
                <w:szCs w:val="16"/>
              </w:rPr>
            </w:pPr>
            <w:r w:rsidRPr="00FC5566">
              <w:rPr>
                <w:bCs/>
                <w:sz w:val="16"/>
                <w:szCs w:val="16"/>
              </w:rPr>
              <w:t>NFPA 495</w:t>
            </w:r>
          </w:p>
        </w:tc>
        <w:tc>
          <w:tcPr>
            <w:tcW w:w="1086" w:type="dxa"/>
            <w:tcBorders>
              <w:top w:val="single" w:sz="6" w:space="0" w:color="auto"/>
              <w:left w:val="single" w:sz="6" w:space="0" w:color="auto"/>
              <w:bottom w:val="single" w:sz="6" w:space="0" w:color="auto"/>
              <w:right w:val="single" w:sz="6" w:space="0" w:color="auto"/>
            </w:tcBorders>
            <w:vAlign w:val="bottom"/>
            <w:hideMark/>
          </w:tcPr>
          <w:p w14:paraId="458E5B30" w14:textId="77777777" w:rsidR="00FC5566" w:rsidRPr="00FC5566" w:rsidRDefault="00FC5566" w:rsidP="00FC5566">
            <w:pPr>
              <w:keepNext/>
              <w:autoSpaceDE w:val="0"/>
              <w:autoSpaceDN w:val="0"/>
              <w:adjustRightInd w:val="0"/>
              <w:jc w:val="center"/>
              <w:rPr>
                <w:bCs/>
                <w:sz w:val="16"/>
                <w:szCs w:val="16"/>
              </w:rPr>
            </w:pPr>
            <w:r w:rsidRPr="00FC5566">
              <w:rPr>
                <w:bCs/>
                <w:sz w:val="16"/>
                <w:szCs w:val="16"/>
              </w:rPr>
              <w:t>2013 Edition</w:t>
            </w:r>
          </w:p>
        </w:tc>
        <w:tc>
          <w:tcPr>
            <w:tcW w:w="2726" w:type="dxa"/>
            <w:tcBorders>
              <w:top w:val="single" w:sz="6" w:space="0" w:color="auto"/>
              <w:left w:val="single" w:sz="6" w:space="0" w:color="auto"/>
              <w:bottom w:val="single" w:sz="6" w:space="0" w:color="auto"/>
              <w:right w:val="double" w:sz="6" w:space="0" w:color="auto"/>
            </w:tcBorders>
            <w:vAlign w:val="bottom"/>
            <w:hideMark/>
          </w:tcPr>
          <w:p w14:paraId="014D10EA" w14:textId="77777777" w:rsidR="00FC5566" w:rsidRPr="00FC5566" w:rsidRDefault="00FC5566" w:rsidP="00FC5566">
            <w:pPr>
              <w:keepNext/>
              <w:autoSpaceDE w:val="0"/>
              <w:autoSpaceDN w:val="0"/>
              <w:adjustRightInd w:val="0"/>
              <w:rPr>
                <w:bCs/>
                <w:sz w:val="16"/>
                <w:szCs w:val="16"/>
              </w:rPr>
            </w:pPr>
            <w:r w:rsidRPr="00FC5566">
              <w:rPr>
                <w:bCs/>
                <w:sz w:val="16"/>
                <w:szCs w:val="16"/>
              </w:rPr>
              <w:t>Explosive Materials Code</w:t>
            </w:r>
          </w:p>
        </w:tc>
      </w:tr>
      <w:tr w:rsidR="00FC5566" w:rsidRPr="00FC5566" w14:paraId="52B49EEF" w14:textId="77777777" w:rsidTr="00B247D5">
        <w:trPr>
          <w:cantSplit/>
          <w:jc w:val="center"/>
        </w:trPr>
        <w:tc>
          <w:tcPr>
            <w:tcW w:w="1077" w:type="dxa"/>
            <w:tcBorders>
              <w:top w:val="single" w:sz="6" w:space="0" w:color="auto"/>
              <w:left w:val="double" w:sz="6" w:space="0" w:color="auto"/>
              <w:bottom w:val="single" w:sz="6" w:space="0" w:color="auto"/>
              <w:right w:val="single" w:sz="6" w:space="0" w:color="auto"/>
            </w:tcBorders>
            <w:vAlign w:val="bottom"/>
            <w:hideMark/>
          </w:tcPr>
          <w:p w14:paraId="6D5BE549" w14:textId="77777777" w:rsidR="00FC5566" w:rsidRPr="00FC5566" w:rsidRDefault="00FC5566" w:rsidP="00FC5566">
            <w:pPr>
              <w:keepNext/>
              <w:autoSpaceDE w:val="0"/>
              <w:autoSpaceDN w:val="0"/>
              <w:adjustRightInd w:val="0"/>
              <w:rPr>
                <w:bCs/>
                <w:sz w:val="16"/>
                <w:szCs w:val="16"/>
              </w:rPr>
            </w:pPr>
            <w:r w:rsidRPr="00FC5566">
              <w:rPr>
                <w:bCs/>
                <w:sz w:val="16"/>
                <w:szCs w:val="16"/>
              </w:rPr>
              <w:t>NFPA 820</w:t>
            </w:r>
          </w:p>
        </w:tc>
        <w:tc>
          <w:tcPr>
            <w:tcW w:w="1086" w:type="dxa"/>
            <w:tcBorders>
              <w:top w:val="single" w:sz="6" w:space="0" w:color="auto"/>
              <w:left w:val="single" w:sz="6" w:space="0" w:color="auto"/>
              <w:bottom w:val="single" w:sz="6" w:space="0" w:color="auto"/>
              <w:right w:val="single" w:sz="6" w:space="0" w:color="auto"/>
            </w:tcBorders>
            <w:vAlign w:val="bottom"/>
            <w:hideMark/>
          </w:tcPr>
          <w:p w14:paraId="79781922" w14:textId="77777777" w:rsidR="00FC5566" w:rsidRPr="00FC5566" w:rsidRDefault="00FC5566" w:rsidP="00FC5566">
            <w:pPr>
              <w:keepNext/>
              <w:autoSpaceDE w:val="0"/>
              <w:autoSpaceDN w:val="0"/>
              <w:adjustRightInd w:val="0"/>
              <w:jc w:val="center"/>
              <w:rPr>
                <w:bCs/>
                <w:sz w:val="16"/>
                <w:szCs w:val="16"/>
              </w:rPr>
            </w:pPr>
            <w:r w:rsidRPr="00FC5566">
              <w:rPr>
                <w:bCs/>
                <w:sz w:val="16"/>
                <w:szCs w:val="16"/>
              </w:rPr>
              <w:t>2016 Edition</w:t>
            </w:r>
          </w:p>
        </w:tc>
        <w:tc>
          <w:tcPr>
            <w:tcW w:w="2726" w:type="dxa"/>
            <w:tcBorders>
              <w:top w:val="single" w:sz="6" w:space="0" w:color="auto"/>
              <w:left w:val="single" w:sz="6" w:space="0" w:color="auto"/>
              <w:bottom w:val="single" w:sz="6" w:space="0" w:color="auto"/>
              <w:right w:val="double" w:sz="6" w:space="0" w:color="auto"/>
            </w:tcBorders>
            <w:vAlign w:val="bottom"/>
            <w:hideMark/>
          </w:tcPr>
          <w:p w14:paraId="0F6938CC" w14:textId="77777777" w:rsidR="00FC5566" w:rsidRPr="00FC5566" w:rsidRDefault="00FC5566" w:rsidP="00FC5566">
            <w:pPr>
              <w:keepNext/>
              <w:autoSpaceDE w:val="0"/>
              <w:autoSpaceDN w:val="0"/>
              <w:adjustRightInd w:val="0"/>
              <w:rPr>
                <w:bCs/>
                <w:sz w:val="16"/>
                <w:szCs w:val="16"/>
              </w:rPr>
            </w:pPr>
            <w:r w:rsidRPr="00FC5566">
              <w:rPr>
                <w:bCs/>
                <w:sz w:val="16"/>
                <w:szCs w:val="16"/>
              </w:rPr>
              <w:t>Standard for Fire Protection in Wastewater Treatment and Collection Facilities</w:t>
            </w:r>
          </w:p>
        </w:tc>
      </w:tr>
      <w:tr w:rsidR="00FC5566" w:rsidRPr="00FC5566" w14:paraId="564254AC" w14:textId="77777777" w:rsidTr="00B247D5">
        <w:trPr>
          <w:cantSplit/>
          <w:jc w:val="center"/>
        </w:trPr>
        <w:tc>
          <w:tcPr>
            <w:tcW w:w="1077" w:type="dxa"/>
            <w:tcBorders>
              <w:top w:val="single" w:sz="6" w:space="0" w:color="auto"/>
              <w:left w:val="double" w:sz="6" w:space="0" w:color="auto"/>
              <w:bottom w:val="single" w:sz="6" w:space="0" w:color="auto"/>
              <w:right w:val="single" w:sz="6" w:space="0" w:color="auto"/>
            </w:tcBorders>
            <w:vAlign w:val="bottom"/>
            <w:hideMark/>
          </w:tcPr>
          <w:p w14:paraId="764212D5" w14:textId="77777777" w:rsidR="00FC5566" w:rsidRPr="00FC5566" w:rsidRDefault="00FC5566" w:rsidP="00FC5566">
            <w:pPr>
              <w:keepNext/>
              <w:autoSpaceDE w:val="0"/>
              <w:autoSpaceDN w:val="0"/>
              <w:adjustRightInd w:val="0"/>
              <w:rPr>
                <w:bCs/>
                <w:sz w:val="16"/>
                <w:szCs w:val="16"/>
              </w:rPr>
            </w:pPr>
            <w:r w:rsidRPr="00FC5566">
              <w:rPr>
                <w:bCs/>
                <w:sz w:val="16"/>
                <w:szCs w:val="16"/>
              </w:rPr>
              <w:t>NFPA 901</w:t>
            </w:r>
          </w:p>
        </w:tc>
        <w:tc>
          <w:tcPr>
            <w:tcW w:w="1086" w:type="dxa"/>
            <w:tcBorders>
              <w:top w:val="single" w:sz="6" w:space="0" w:color="auto"/>
              <w:left w:val="single" w:sz="6" w:space="0" w:color="auto"/>
              <w:bottom w:val="single" w:sz="6" w:space="0" w:color="auto"/>
              <w:right w:val="single" w:sz="6" w:space="0" w:color="auto"/>
            </w:tcBorders>
            <w:vAlign w:val="bottom"/>
            <w:hideMark/>
          </w:tcPr>
          <w:p w14:paraId="5FD977AD" w14:textId="77777777" w:rsidR="00FC5566" w:rsidRPr="00FC5566" w:rsidRDefault="00FC5566" w:rsidP="00FC5566">
            <w:pPr>
              <w:keepNext/>
              <w:autoSpaceDE w:val="0"/>
              <w:autoSpaceDN w:val="0"/>
              <w:adjustRightInd w:val="0"/>
              <w:jc w:val="center"/>
              <w:rPr>
                <w:bCs/>
                <w:sz w:val="16"/>
                <w:szCs w:val="16"/>
              </w:rPr>
            </w:pPr>
            <w:r w:rsidRPr="00FC5566">
              <w:rPr>
                <w:bCs/>
                <w:sz w:val="16"/>
                <w:szCs w:val="16"/>
              </w:rPr>
              <w:t>2016 Edition</w:t>
            </w:r>
          </w:p>
        </w:tc>
        <w:tc>
          <w:tcPr>
            <w:tcW w:w="2726" w:type="dxa"/>
            <w:tcBorders>
              <w:top w:val="single" w:sz="6" w:space="0" w:color="auto"/>
              <w:left w:val="single" w:sz="6" w:space="0" w:color="auto"/>
              <w:bottom w:val="single" w:sz="6" w:space="0" w:color="auto"/>
              <w:right w:val="double" w:sz="6" w:space="0" w:color="auto"/>
            </w:tcBorders>
            <w:vAlign w:val="bottom"/>
            <w:hideMark/>
          </w:tcPr>
          <w:p w14:paraId="34D12341" w14:textId="77777777" w:rsidR="00FC5566" w:rsidRPr="00FC5566" w:rsidRDefault="00FC5566" w:rsidP="00FC5566">
            <w:pPr>
              <w:keepNext/>
              <w:autoSpaceDE w:val="0"/>
              <w:autoSpaceDN w:val="0"/>
              <w:adjustRightInd w:val="0"/>
              <w:rPr>
                <w:bCs/>
                <w:sz w:val="16"/>
                <w:szCs w:val="16"/>
              </w:rPr>
            </w:pPr>
            <w:r w:rsidRPr="00FC5566">
              <w:rPr>
                <w:bCs/>
                <w:sz w:val="16"/>
                <w:szCs w:val="16"/>
              </w:rPr>
              <w:t>Standard Classifications for Incident Reporting and Fire Protection Data</w:t>
            </w:r>
          </w:p>
        </w:tc>
      </w:tr>
      <w:tr w:rsidR="00FC5566" w:rsidRPr="00FC5566" w14:paraId="48ACDB07" w14:textId="77777777" w:rsidTr="00B247D5">
        <w:trPr>
          <w:cantSplit/>
          <w:jc w:val="center"/>
        </w:trPr>
        <w:tc>
          <w:tcPr>
            <w:tcW w:w="1077" w:type="dxa"/>
            <w:tcBorders>
              <w:top w:val="single" w:sz="6" w:space="0" w:color="auto"/>
              <w:left w:val="double" w:sz="6" w:space="0" w:color="auto"/>
              <w:bottom w:val="single" w:sz="6" w:space="0" w:color="auto"/>
              <w:right w:val="single" w:sz="6" w:space="0" w:color="auto"/>
            </w:tcBorders>
            <w:vAlign w:val="bottom"/>
            <w:hideMark/>
          </w:tcPr>
          <w:p w14:paraId="49B71F14" w14:textId="77777777" w:rsidR="00FC5566" w:rsidRPr="00FC5566" w:rsidRDefault="00FC5566" w:rsidP="00FC5566">
            <w:pPr>
              <w:keepNext/>
              <w:autoSpaceDE w:val="0"/>
              <w:autoSpaceDN w:val="0"/>
              <w:adjustRightInd w:val="0"/>
              <w:rPr>
                <w:bCs/>
                <w:sz w:val="16"/>
                <w:szCs w:val="16"/>
              </w:rPr>
            </w:pPr>
            <w:r w:rsidRPr="00FC5566">
              <w:rPr>
                <w:bCs/>
                <w:sz w:val="16"/>
                <w:szCs w:val="16"/>
              </w:rPr>
              <w:t>NFPA 1123</w:t>
            </w:r>
          </w:p>
        </w:tc>
        <w:tc>
          <w:tcPr>
            <w:tcW w:w="1086" w:type="dxa"/>
            <w:tcBorders>
              <w:top w:val="single" w:sz="6" w:space="0" w:color="auto"/>
              <w:left w:val="single" w:sz="6" w:space="0" w:color="auto"/>
              <w:bottom w:val="single" w:sz="6" w:space="0" w:color="auto"/>
              <w:right w:val="single" w:sz="6" w:space="0" w:color="auto"/>
            </w:tcBorders>
            <w:vAlign w:val="bottom"/>
            <w:hideMark/>
          </w:tcPr>
          <w:p w14:paraId="11301EE1" w14:textId="77777777" w:rsidR="00FC5566" w:rsidRPr="00FC5566" w:rsidRDefault="00FC5566" w:rsidP="00FC5566">
            <w:pPr>
              <w:keepNext/>
              <w:autoSpaceDE w:val="0"/>
              <w:autoSpaceDN w:val="0"/>
              <w:adjustRightInd w:val="0"/>
              <w:jc w:val="center"/>
              <w:rPr>
                <w:bCs/>
                <w:sz w:val="16"/>
                <w:szCs w:val="16"/>
              </w:rPr>
            </w:pPr>
            <w:r w:rsidRPr="00FC5566">
              <w:rPr>
                <w:bCs/>
                <w:sz w:val="16"/>
                <w:szCs w:val="16"/>
              </w:rPr>
              <w:t>2018 Edition</w:t>
            </w:r>
          </w:p>
        </w:tc>
        <w:tc>
          <w:tcPr>
            <w:tcW w:w="2726" w:type="dxa"/>
            <w:tcBorders>
              <w:top w:val="single" w:sz="6" w:space="0" w:color="auto"/>
              <w:left w:val="single" w:sz="6" w:space="0" w:color="auto"/>
              <w:bottom w:val="single" w:sz="6" w:space="0" w:color="auto"/>
              <w:right w:val="double" w:sz="6" w:space="0" w:color="auto"/>
            </w:tcBorders>
            <w:vAlign w:val="bottom"/>
            <w:hideMark/>
          </w:tcPr>
          <w:p w14:paraId="7E1D64B1" w14:textId="77777777" w:rsidR="00FC5566" w:rsidRPr="00FC5566" w:rsidRDefault="00FC5566" w:rsidP="00FC5566">
            <w:pPr>
              <w:keepNext/>
              <w:autoSpaceDE w:val="0"/>
              <w:autoSpaceDN w:val="0"/>
              <w:adjustRightInd w:val="0"/>
              <w:rPr>
                <w:bCs/>
                <w:sz w:val="16"/>
                <w:szCs w:val="16"/>
              </w:rPr>
            </w:pPr>
            <w:r w:rsidRPr="00FC5566">
              <w:rPr>
                <w:bCs/>
                <w:sz w:val="16"/>
                <w:szCs w:val="16"/>
              </w:rPr>
              <w:t>Code for Fireworks Display</w:t>
            </w:r>
          </w:p>
        </w:tc>
      </w:tr>
      <w:tr w:rsidR="00FC5566" w:rsidRPr="00FC5566" w14:paraId="5EFB1D00" w14:textId="77777777" w:rsidTr="00B247D5">
        <w:trPr>
          <w:cantSplit/>
          <w:jc w:val="center"/>
        </w:trPr>
        <w:tc>
          <w:tcPr>
            <w:tcW w:w="1077" w:type="dxa"/>
            <w:tcBorders>
              <w:top w:val="single" w:sz="6" w:space="0" w:color="auto"/>
              <w:left w:val="double" w:sz="6" w:space="0" w:color="auto"/>
              <w:bottom w:val="single" w:sz="6" w:space="0" w:color="auto"/>
              <w:right w:val="single" w:sz="6" w:space="0" w:color="auto"/>
            </w:tcBorders>
            <w:vAlign w:val="bottom"/>
            <w:hideMark/>
          </w:tcPr>
          <w:p w14:paraId="2A5B77C8" w14:textId="77777777" w:rsidR="00FC5566" w:rsidRPr="00FC5566" w:rsidRDefault="00FC5566" w:rsidP="00FC5566">
            <w:pPr>
              <w:keepNext/>
              <w:autoSpaceDE w:val="0"/>
              <w:autoSpaceDN w:val="0"/>
              <w:adjustRightInd w:val="0"/>
              <w:rPr>
                <w:bCs/>
                <w:sz w:val="16"/>
                <w:szCs w:val="16"/>
              </w:rPr>
            </w:pPr>
            <w:r w:rsidRPr="00FC5566">
              <w:rPr>
                <w:bCs/>
                <w:sz w:val="16"/>
                <w:szCs w:val="16"/>
              </w:rPr>
              <w:t>NFPA 1124</w:t>
            </w:r>
          </w:p>
        </w:tc>
        <w:tc>
          <w:tcPr>
            <w:tcW w:w="1086" w:type="dxa"/>
            <w:tcBorders>
              <w:top w:val="single" w:sz="6" w:space="0" w:color="auto"/>
              <w:left w:val="single" w:sz="6" w:space="0" w:color="auto"/>
              <w:bottom w:val="single" w:sz="6" w:space="0" w:color="auto"/>
              <w:right w:val="single" w:sz="6" w:space="0" w:color="auto"/>
            </w:tcBorders>
            <w:vAlign w:val="bottom"/>
            <w:hideMark/>
          </w:tcPr>
          <w:p w14:paraId="120EFE23" w14:textId="77777777" w:rsidR="00FC5566" w:rsidRPr="00FC5566" w:rsidRDefault="00FC5566" w:rsidP="00FC5566">
            <w:pPr>
              <w:keepNext/>
              <w:autoSpaceDE w:val="0"/>
              <w:autoSpaceDN w:val="0"/>
              <w:adjustRightInd w:val="0"/>
              <w:jc w:val="center"/>
              <w:rPr>
                <w:bCs/>
                <w:sz w:val="16"/>
                <w:szCs w:val="16"/>
              </w:rPr>
            </w:pPr>
            <w:r w:rsidRPr="00FC5566">
              <w:rPr>
                <w:bCs/>
                <w:sz w:val="16"/>
                <w:szCs w:val="16"/>
              </w:rPr>
              <w:t>2017 Edition</w:t>
            </w:r>
          </w:p>
        </w:tc>
        <w:tc>
          <w:tcPr>
            <w:tcW w:w="2726" w:type="dxa"/>
            <w:tcBorders>
              <w:top w:val="single" w:sz="6" w:space="0" w:color="auto"/>
              <w:left w:val="single" w:sz="6" w:space="0" w:color="auto"/>
              <w:bottom w:val="single" w:sz="6" w:space="0" w:color="auto"/>
              <w:right w:val="double" w:sz="6" w:space="0" w:color="auto"/>
            </w:tcBorders>
            <w:vAlign w:val="bottom"/>
            <w:hideMark/>
          </w:tcPr>
          <w:p w14:paraId="64384D52" w14:textId="77777777" w:rsidR="00FC5566" w:rsidRPr="00FC5566" w:rsidRDefault="00FC5566" w:rsidP="00FC5566">
            <w:pPr>
              <w:keepNext/>
              <w:autoSpaceDE w:val="0"/>
              <w:autoSpaceDN w:val="0"/>
              <w:adjustRightInd w:val="0"/>
              <w:rPr>
                <w:bCs/>
                <w:sz w:val="16"/>
                <w:szCs w:val="16"/>
              </w:rPr>
            </w:pPr>
            <w:r w:rsidRPr="00FC5566">
              <w:rPr>
                <w:bCs/>
                <w:sz w:val="16"/>
                <w:szCs w:val="16"/>
              </w:rPr>
              <w:t>Code for the Manufacture, Transportation, Storage, and Retail Sales of Fireworks and Pyrotechnic Articles</w:t>
            </w:r>
          </w:p>
        </w:tc>
      </w:tr>
      <w:tr w:rsidR="00FC5566" w:rsidRPr="00FC5566" w14:paraId="519FAA0F" w14:textId="77777777" w:rsidTr="00B247D5">
        <w:trPr>
          <w:cantSplit/>
          <w:jc w:val="center"/>
        </w:trPr>
        <w:tc>
          <w:tcPr>
            <w:tcW w:w="1077" w:type="dxa"/>
            <w:tcBorders>
              <w:top w:val="single" w:sz="6" w:space="0" w:color="auto"/>
              <w:left w:val="double" w:sz="6" w:space="0" w:color="auto"/>
              <w:bottom w:val="single" w:sz="6" w:space="0" w:color="auto"/>
              <w:right w:val="single" w:sz="6" w:space="0" w:color="auto"/>
            </w:tcBorders>
            <w:vAlign w:val="bottom"/>
            <w:hideMark/>
          </w:tcPr>
          <w:p w14:paraId="62947D83" w14:textId="77777777" w:rsidR="00FC5566" w:rsidRPr="00FC5566" w:rsidRDefault="00FC5566" w:rsidP="00FC5566">
            <w:pPr>
              <w:keepNext/>
              <w:autoSpaceDE w:val="0"/>
              <w:autoSpaceDN w:val="0"/>
              <w:adjustRightInd w:val="0"/>
              <w:rPr>
                <w:bCs/>
                <w:sz w:val="16"/>
                <w:szCs w:val="16"/>
              </w:rPr>
            </w:pPr>
            <w:r w:rsidRPr="00FC5566">
              <w:rPr>
                <w:bCs/>
                <w:sz w:val="16"/>
                <w:szCs w:val="16"/>
              </w:rPr>
              <w:t>NFPA 1221</w:t>
            </w:r>
          </w:p>
        </w:tc>
        <w:tc>
          <w:tcPr>
            <w:tcW w:w="1086" w:type="dxa"/>
            <w:tcBorders>
              <w:top w:val="single" w:sz="6" w:space="0" w:color="auto"/>
              <w:left w:val="single" w:sz="6" w:space="0" w:color="auto"/>
              <w:bottom w:val="single" w:sz="6" w:space="0" w:color="auto"/>
              <w:right w:val="single" w:sz="6" w:space="0" w:color="auto"/>
            </w:tcBorders>
            <w:vAlign w:val="bottom"/>
            <w:hideMark/>
          </w:tcPr>
          <w:p w14:paraId="759FF5BC" w14:textId="77777777" w:rsidR="00FC5566" w:rsidRPr="00FC5566" w:rsidRDefault="00FC5566" w:rsidP="00FC5566">
            <w:pPr>
              <w:keepNext/>
              <w:autoSpaceDE w:val="0"/>
              <w:autoSpaceDN w:val="0"/>
              <w:adjustRightInd w:val="0"/>
              <w:jc w:val="center"/>
              <w:rPr>
                <w:bCs/>
                <w:sz w:val="16"/>
                <w:szCs w:val="16"/>
              </w:rPr>
            </w:pPr>
            <w:r w:rsidRPr="00FC5566">
              <w:rPr>
                <w:bCs/>
                <w:sz w:val="16"/>
                <w:szCs w:val="16"/>
              </w:rPr>
              <w:t>2013 Edition</w:t>
            </w:r>
          </w:p>
        </w:tc>
        <w:tc>
          <w:tcPr>
            <w:tcW w:w="2726" w:type="dxa"/>
            <w:tcBorders>
              <w:top w:val="single" w:sz="6" w:space="0" w:color="auto"/>
              <w:left w:val="single" w:sz="6" w:space="0" w:color="auto"/>
              <w:bottom w:val="single" w:sz="6" w:space="0" w:color="auto"/>
              <w:right w:val="double" w:sz="6" w:space="0" w:color="auto"/>
            </w:tcBorders>
            <w:vAlign w:val="bottom"/>
            <w:hideMark/>
          </w:tcPr>
          <w:p w14:paraId="14A323C3" w14:textId="77777777" w:rsidR="00FC5566" w:rsidRPr="00FC5566" w:rsidRDefault="00FC5566" w:rsidP="00FC5566">
            <w:pPr>
              <w:keepNext/>
              <w:autoSpaceDE w:val="0"/>
              <w:autoSpaceDN w:val="0"/>
              <w:adjustRightInd w:val="0"/>
              <w:rPr>
                <w:bCs/>
                <w:sz w:val="16"/>
                <w:szCs w:val="16"/>
              </w:rPr>
            </w:pPr>
            <w:r w:rsidRPr="00FC5566">
              <w:rPr>
                <w:bCs/>
                <w:sz w:val="16"/>
                <w:szCs w:val="16"/>
              </w:rPr>
              <w:t>Standard for the Installation, Maintenance, and Use of Emergency Services Communications Systems</w:t>
            </w:r>
          </w:p>
        </w:tc>
      </w:tr>
      <w:tr w:rsidR="00FC5566" w:rsidRPr="00FC5566" w14:paraId="7D8CD1FA" w14:textId="77777777" w:rsidTr="00B247D5">
        <w:trPr>
          <w:cantSplit/>
          <w:jc w:val="center"/>
        </w:trPr>
        <w:tc>
          <w:tcPr>
            <w:tcW w:w="1077" w:type="dxa"/>
            <w:tcBorders>
              <w:top w:val="single" w:sz="6" w:space="0" w:color="auto"/>
              <w:left w:val="double" w:sz="6" w:space="0" w:color="auto"/>
              <w:bottom w:val="single" w:sz="6" w:space="0" w:color="auto"/>
              <w:right w:val="single" w:sz="6" w:space="0" w:color="auto"/>
            </w:tcBorders>
            <w:vAlign w:val="bottom"/>
            <w:hideMark/>
          </w:tcPr>
          <w:p w14:paraId="754BE075" w14:textId="77777777" w:rsidR="00FC5566" w:rsidRPr="00FC5566" w:rsidRDefault="00FC5566" w:rsidP="00FC5566">
            <w:pPr>
              <w:keepNext/>
              <w:autoSpaceDE w:val="0"/>
              <w:autoSpaceDN w:val="0"/>
              <w:adjustRightInd w:val="0"/>
              <w:rPr>
                <w:bCs/>
                <w:sz w:val="16"/>
                <w:szCs w:val="16"/>
              </w:rPr>
            </w:pPr>
            <w:r w:rsidRPr="00FC5566">
              <w:rPr>
                <w:bCs/>
                <w:sz w:val="16"/>
                <w:szCs w:val="16"/>
              </w:rPr>
              <w:t>NFPA 1402</w:t>
            </w:r>
          </w:p>
        </w:tc>
        <w:tc>
          <w:tcPr>
            <w:tcW w:w="1086" w:type="dxa"/>
            <w:tcBorders>
              <w:top w:val="single" w:sz="6" w:space="0" w:color="auto"/>
              <w:left w:val="single" w:sz="6" w:space="0" w:color="auto"/>
              <w:bottom w:val="single" w:sz="6" w:space="0" w:color="auto"/>
              <w:right w:val="single" w:sz="6" w:space="0" w:color="auto"/>
            </w:tcBorders>
            <w:vAlign w:val="bottom"/>
            <w:hideMark/>
          </w:tcPr>
          <w:p w14:paraId="7AEECEA1" w14:textId="77777777" w:rsidR="00FC5566" w:rsidRPr="00FC5566" w:rsidRDefault="00FC5566" w:rsidP="00FC5566">
            <w:pPr>
              <w:keepNext/>
              <w:autoSpaceDE w:val="0"/>
              <w:autoSpaceDN w:val="0"/>
              <w:adjustRightInd w:val="0"/>
              <w:jc w:val="center"/>
              <w:rPr>
                <w:bCs/>
                <w:sz w:val="16"/>
                <w:szCs w:val="16"/>
              </w:rPr>
            </w:pPr>
            <w:r w:rsidRPr="00FC5566">
              <w:rPr>
                <w:bCs/>
                <w:sz w:val="16"/>
                <w:szCs w:val="16"/>
              </w:rPr>
              <w:t>2012 Edition</w:t>
            </w:r>
          </w:p>
        </w:tc>
        <w:tc>
          <w:tcPr>
            <w:tcW w:w="2726" w:type="dxa"/>
            <w:tcBorders>
              <w:top w:val="single" w:sz="6" w:space="0" w:color="auto"/>
              <w:left w:val="single" w:sz="6" w:space="0" w:color="auto"/>
              <w:bottom w:val="single" w:sz="6" w:space="0" w:color="auto"/>
              <w:right w:val="double" w:sz="6" w:space="0" w:color="auto"/>
            </w:tcBorders>
            <w:vAlign w:val="bottom"/>
            <w:hideMark/>
          </w:tcPr>
          <w:p w14:paraId="3679E682" w14:textId="77777777" w:rsidR="00FC5566" w:rsidRPr="00FC5566" w:rsidRDefault="00FC5566" w:rsidP="00FC5566">
            <w:pPr>
              <w:keepNext/>
              <w:autoSpaceDE w:val="0"/>
              <w:autoSpaceDN w:val="0"/>
              <w:adjustRightInd w:val="0"/>
              <w:rPr>
                <w:bCs/>
                <w:sz w:val="16"/>
                <w:szCs w:val="16"/>
              </w:rPr>
            </w:pPr>
            <w:r w:rsidRPr="00FC5566">
              <w:rPr>
                <w:bCs/>
                <w:sz w:val="16"/>
                <w:szCs w:val="16"/>
              </w:rPr>
              <w:t>Guide to Building Fire Service Training Centers</w:t>
            </w:r>
          </w:p>
        </w:tc>
      </w:tr>
      <w:tr w:rsidR="00FC5566" w:rsidRPr="00FC5566" w14:paraId="47A28A60" w14:textId="77777777" w:rsidTr="00B247D5">
        <w:trPr>
          <w:cantSplit/>
          <w:jc w:val="center"/>
        </w:trPr>
        <w:tc>
          <w:tcPr>
            <w:tcW w:w="1077" w:type="dxa"/>
            <w:tcBorders>
              <w:top w:val="single" w:sz="6" w:space="0" w:color="auto"/>
              <w:left w:val="double" w:sz="6" w:space="0" w:color="auto"/>
              <w:bottom w:val="single" w:sz="6" w:space="0" w:color="auto"/>
              <w:right w:val="single" w:sz="6" w:space="0" w:color="auto"/>
            </w:tcBorders>
            <w:vAlign w:val="bottom"/>
            <w:hideMark/>
          </w:tcPr>
          <w:p w14:paraId="1E607256" w14:textId="77777777" w:rsidR="00FC5566" w:rsidRPr="00FC5566" w:rsidRDefault="00FC5566" w:rsidP="00FC5566">
            <w:pPr>
              <w:keepNext/>
              <w:autoSpaceDE w:val="0"/>
              <w:autoSpaceDN w:val="0"/>
              <w:adjustRightInd w:val="0"/>
              <w:rPr>
                <w:bCs/>
                <w:sz w:val="16"/>
                <w:szCs w:val="16"/>
              </w:rPr>
            </w:pPr>
            <w:r w:rsidRPr="00FC5566">
              <w:rPr>
                <w:bCs/>
                <w:sz w:val="16"/>
                <w:szCs w:val="16"/>
              </w:rPr>
              <w:t>NFPA 1403</w:t>
            </w:r>
          </w:p>
        </w:tc>
        <w:tc>
          <w:tcPr>
            <w:tcW w:w="1086" w:type="dxa"/>
            <w:tcBorders>
              <w:top w:val="single" w:sz="6" w:space="0" w:color="auto"/>
              <w:left w:val="single" w:sz="6" w:space="0" w:color="auto"/>
              <w:bottom w:val="single" w:sz="6" w:space="0" w:color="auto"/>
              <w:right w:val="single" w:sz="6" w:space="0" w:color="auto"/>
            </w:tcBorders>
            <w:vAlign w:val="bottom"/>
            <w:hideMark/>
          </w:tcPr>
          <w:p w14:paraId="750F134C" w14:textId="77777777" w:rsidR="00FC5566" w:rsidRPr="00FC5566" w:rsidRDefault="00FC5566" w:rsidP="00FC5566">
            <w:pPr>
              <w:keepNext/>
              <w:autoSpaceDE w:val="0"/>
              <w:autoSpaceDN w:val="0"/>
              <w:adjustRightInd w:val="0"/>
              <w:jc w:val="center"/>
              <w:rPr>
                <w:bCs/>
                <w:sz w:val="16"/>
                <w:szCs w:val="16"/>
              </w:rPr>
            </w:pPr>
            <w:r w:rsidRPr="00FC5566">
              <w:rPr>
                <w:bCs/>
                <w:sz w:val="16"/>
                <w:szCs w:val="16"/>
              </w:rPr>
              <w:t>2012 Edition</w:t>
            </w:r>
          </w:p>
        </w:tc>
        <w:tc>
          <w:tcPr>
            <w:tcW w:w="2726" w:type="dxa"/>
            <w:tcBorders>
              <w:top w:val="single" w:sz="6" w:space="0" w:color="auto"/>
              <w:left w:val="single" w:sz="6" w:space="0" w:color="auto"/>
              <w:bottom w:val="single" w:sz="6" w:space="0" w:color="auto"/>
              <w:right w:val="double" w:sz="6" w:space="0" w:color="auto"/>
            </w:tcBorders>
            <w:vAlign w:val="bottom"/>
            <w:hideMark/>
          </w:tcPr>
          <w:p w14:paraId="5E644471" w14:textId="77777777" w:rsidR="00FC5566" w:rsidRPr="00FC5566" w:rsidRDefault="00FC5566" w:rsidP="00FC5566">
            <w:pPr>
              <w:keepNext/>
              <w:autoSpaceDE w:val="0"/>
              <w:autoSpaceDN w:val="0"/>
              <w:adjustRightInd w:val="0"/>
              <w:rPr>
                <w:bCs/>
                <w:sz w:val="16"/>
                <w:szCs w:val="16"/>
              </w:rPr>
            </w:pPr>
            <w:r w:rsidRPr="00FC5566">
              <w:rPr>
                <w:bCs/>
                <w:sz w:val="16"/>
                <w:szCs w:val="16"/>
              </w:rPr>
              <w:t>Standard on Live Fire Training Evolutions</w:t>
            </w:r>
          </w:p>
        </w:tc>
      </w:tr>
      <w:tr w:rsidR="00FC5566" w:rsidRPr="00FC5566" w14:paraId="13D36F43" w14:textId="77777777" w:rsidTr="00B247D5">
        <w:trPr>
          <w:cantSplit/>
          <w:jc w:val="center"/>
        </w:trPr>
        <w:tc>
          <w:tcPr>
            <w:tcW w:w="1077" w:type="dxa"/>
            <w:tcBorders>
              <w:top w:val="single" w:sz="6" w:space="0" w:color="auto"/>
              <w:left w:val="double" w:sz="6" w:space="0" w:color="auto"/>
              <w:bottom w:val="single" w:sz="6" w:space="0" w:color="auto"/>
              <w:right w:val="single" w:sz="6" w:space="0" w:color="auto"/>
            </w:tcBorders>
            <w:vAlign w:val="bottom"/>
            <w:hideMark/>
          </w:tcPr>
          <w:p w14:paraId="41A37139" w14:textId="77777777" w:rsidR="00FC5566" w:rsidRPr="00FC5566" w:rsidRDefault="00FC5566" w:rsidP="00FC5566">
            <w:pPr>
              <w:keepNext/>
              <w:autoSpaceDE w:val="0"/>
              <w:autoSpaceDN w:val="0"/>
              <w:adjustRightInd w:val="0"/>
              <w:rPr>
                <w:bCs/>
                <w:sz w:val="16"/>
                <w:szCs w:val="16"/>
              </w:rPr>
            </w:pPr>
            <w:r w:rsidRPr="00FC5566">
              <w:rPr>
                <w:bCs/>
                <w:sz w:val="16"/>
                <w:szCs w:val="16"/>
              </w:rPr>
              <w:t>NFPA 1961</w:t>
            </w:r>
          </w:p>
        </w:tc>
        <w:tc>
          <w:tcPr>
            <w:tcW w:w="1086" w:type="dxa"/>
            <w:tcBorders>
              <w:top w:val="single" w:sz="6" w:space="0" w:color="auto"/>
              <w:left w:val="single" w:sz="6" w:space="0" w:color="auto"/>
              <w:bottom w:val="single" w:sz="6" w:space="0" w:color="auto"/>
              <w:right w:val="single" w:sz="6" w:space="0" w:color="auto"/>
            </w:tcBorders>
            <w:vAlign w:val="bottom"/>
            <w:hideMark/>
          </w:tcPr>
          <w:p w14:paraId="363B6436" w14:textId="77777777" w:rsidR="00FC5566" w:rsidRPr="00FC5566" w:rsidRDefault="00FC5566" w:rsidP="00FC5566">
            <w:pPr>
              <w:keepNext/>
              <w:autoSpaceDE w:val="0"/>
              <w:autoSpaceDN w:val="0"/>
              <w:adjustRightInd w:val="0"/>
              <w:jc w:val="center"/>
              <w:rPr>
                <w:bCs/>
                <w:sz w:val="16"/>
                <w:szCs w:val="16"/>
              </w:rPr>
            </w:pPr>
            <w:r w:rsidRPr="00FC5566">
              <w:rPr>
                <w:bCs/>
                <w:sz w:val="16"/>
                <w:szCs w:val="16"/>
              </w:rPr>
              <w:t>2013 Edition</w:t>
            </w:r>
          </w:p>
        </w:tc>
        <w:tc>
          <w:tcPr>
            <w:tcW w:w="2726" w:type="dxa"/>
            <w:tcBorders>
              <w:top w:val="single" w:sz="6" w:space="0" w:color="auto"/>
              <w:left w:val="single" w:sz="6" w:space="0" w:color="auto"/>
              <w:bottom w:val="single" w:sz="6" w:space="0" w:color="auto"/>
              <w:right w:val="double" w:sz="6" w:space="0" w:color="auto"/>
            </w:tcBorders>
            <w:vAlign w:val="bottom"/>
            <w:hideMark/>
          </w:tcPr>
          <w:p w14:paraId="1F80308E" w14:textId="77777777" w:rsidR="00FC5566" w:rsidRPr="00FC5566" w:rsidRDefault="00FC5566" w:rsidP="00FC5566">
            <w:pPr>
              <w:keepNext/>
              <w:autoSpaceDE w:val="0"/>
              <w:autoSpaceDN w:val="0"/>
              <w:adjustRightInd w:val="0"/>
              <w:rPr>
                <w:bCs/>
                <w:sz w:val="16"/>
                <w:szCs w:val="16"/>
              </w:rPr>
            </w:pPr>
            <w:r w:rsidRPr="00FC5566">
              <w:rPr>
                <w:bCs/>
                <w:sz w:val="16"/>
                <w:szCs w:val="16"/>
              </w:rPr>
              <w:t>Standard on Fire Hose</w:t>
            </w:r>
          </w:p>
        </w:tc>
      </w:tr>
      <w:tr w:rsidR="00FC5566" w:rsidRPr="00FC5566" w14:paraId="3D31436D" w14:textId="77777777" w:rsidTr="00B247D5">
        <w:trPr>
          <w:cantSplit/>
          <w:jc w:val="center"/>
        </w:trPr>
        <w:tc>
          <w:tcPr>
            <w:tcW w:w="1077" w:type="dxa"/>
            <w:tcBorders>
              <w:top w:val="single" w:sz="6" w:space="0" w:color="auto"/>
              <w:left w:val="double" w:sz="6" w:space="0" w:color="auto"/>
              <w:bottom w:val="double" w:sz="6" w:space="0" w:color="auto"/>
              <w:right w:val="single" w:sz="6" w:space="0" w:color="auto"/>
            </w:tcBorders>
            <w:vAlign w:val="bottom"/>
            <w:hideMark/>
          </w:tcPr>
          <w:p w14:paraId="31600F3E" w14:textId="77777777" w:rsidR="00FC5566" w:rsidRPr="00FC5566" w:rsidRDefault="00FC5566" w:rsidP="00FC5566">
            <w:pPr>
              <w:autoSpaceDE w:val="0"/>
              <w:autoSpaceDN w:val="0"/>
              <w:adjustRightInd w:val="0"/>
              <w:rPr>
                <w:bCs/>
                <w:sz w:val="16"/>
                <w:szCs w:val="16"/>
              </w:rPr>
            </w:pPr>
            <w:r w:rsidRPr="00FC5566">
              <w:rPr>
                <w:bCs/>
                <w:sz w:val="16"/>
                <w:szCs w:val="16"/>
              </w:rPr>
              <w:t>NFPA 1962</w:t>
            </w:r>
          </w:p>
        </w:tc>
        <w:tc>
          <w:tcPr>
            <w:tcW w:w="1086" w:type="dxa"/>
            <w:tcBorders>
              <w:top w:val="single" w:sz="6" w:space="0" w:color="auto"/>
              <w:left w:val="single" w:sz="6" w:space="0" w:color="auto"/>
              <w:bottom w:val="double" w:sz="6" w:space="0" w:color="auto"/>
              <w:right w:val="single" w:sz="6" w:space="0" w:color="auto"/>
            </w:tcBorders>
            <w:vAlign w:val="bottom"/>
            <w:hideMark/>
          </w:tcPr>
          <w:p w14:paraId="4D359650" w14:textId="77777777" w:rsidR="00FC5566" w:rsidRPr="00FC5566" w:rsidRDefault="00FC5566" w:rsidP="00FC5566">
            <w:pPr>
              <w:autoSpaceDE w:val="0"/>
              <w:autoSpaceDN w:val="0"/>
              <w:adjustRightInd w:val="0"/>
              <w:jc w:val="center"/>
              <w:rPr>
                <w:bCs/>
                <w:sz w:val="16"/>
                <w:szCs w:val="16"/>
              </w:rPr>
            </w:pPr>
            <w:r w:rsidRPr="00FC5566">
              <w:rPr>
                <w:bCs/>
                <w:sz w:val="16"/>
                <w:szCs w:val="16"/>
              </w:rPr>
              <w:t>2013 Edition</w:t>
            </w:r>
          </w:p>
        </w:tc>
        <w:tc>
          <w:tcPr>
            <w:tcW w:w="2726" w:type="dxa"/>
            <w:tcBorders>
              <w:top w:val="single" w:sz="6" w:space="0" w:color="auto"/>
              <w:left w:val="single" w:sz="6" w:space="0" w:color="auto"/>
              <w:bottom w:val="double" w:sz="6" w:space="0" w:color="auto"/>
              <w:right w:val="double" w:sz="6" w:space="0" w:color="auto"/>
            </w:tcBorders>
            <w:vAlign w:val="bottom"/>
            <w:hideMark/>
          </w:tcPr>
          <w:p w14:paraId="1BD45E45" w14:textId="77777777" w:rsidR="00FC5566" w:rsidRPr="00FC5566" w:rsidRDefault="00FC5566" w:rsidP="00FC5566">
            <w:pPr>
              <w:autoSpaceDE w:val="0"/>
              <w:autoSpaceDN w:val="0"/>
              <w:adjustRightInd w:val="0"/>
              <w:rPr>
                <w:bCs/>
                <w:sz w:val="16"/>
                <w:szCs w:val="16"/>
              </w:rPr>
            </w:pPr>
            <w:r w:rsidRPr="00FC5566">
              <w:rPr>
                <w:bCs/>
                <w:sz w:val="16"/>
                <w:szCs w:val="16"/>
              </w:rPr>
              <w:t>Standard for the Inspection, Care, and Use of Fire Hose, Couplings, and Nozzles and the Service Testing of Fire Hose</w:t>
            </w:r>
          </w:p>
        </w:tc>
      </w:tr>
    </w:tbl>
    <w:p w14:paraId="25F4759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p w14:paraId="2E4F857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 xml:space="preserve">All inspections and other evaluations of buildings constructed or remodeled pursuant to plans submitted to the Office of State Fire Marshal for review shall be made utilizing new construction requirements set forth in the </w:t>
      </w:r>
      <w:r w:rsidRPr="00FC5566">
        <w:rPr>
          <w:i/>
          <w:kern w:val="2"/>
        </w:rPr>
        <w:t xml:space="preserve">Life Safety Code </w:t>
      </w:r>
      <w:r w:rsidRPr="00FC5566">
        <w:rPr>
          <w:kern w:val="2"/>
        </w:rPr>
        <w:t xml:space="preserve">published by the National Fire Protection Association where applicable, the </w:t>
      </w:r>
      <w:r w:rsidRPr="00FC5566">
        <w:rPr>
          <w:i/>
          <w:kern w:val="2"/>
        </w:rPr>
        <w:t xml:space="preserve">NFPA 1 Fire Code </w:t>
      </w:r>
      <w:r w:rsidRPr="00FC5566">
        <w:rPr>
          <w:kern w:val="2"/>
        </w:rPr>
        <w:t xml:space="preserve">published by the National Fire Protection Association or the International Fire Code published by the International Code Council, insofar as they do not conflict with the Louisiana State Uniform Construction Code (LSUCC) as amended, the fire protection, egress, and accessibility provisions of the Louisiana State Uniform Construction Code (LSUCC) as adopted and amended by the LSUCC Council, and the </w:t>
      </w:r>
      <w:r w:rsidRPr="00FC5566">
        <w:rPr>
          <w:i/>
          <w:kern w:val="2"/>
        </w:rPr>
        <w:t>FGI Guidelines</w:t>
      </w:r>
      <w:r w:rsidRPr="00FC5566">
        <w:rPr>
          <w:kern w:val="2"/>
        </w:rPr>
        <w:t xml:space="preserve"> published by the Facilities Guidelines Institute for facilities evaluated on behalf of the Department of Health as follows.</w:t>
      </w:r>
    </w:p>
    <w:p w14:paraId="3BBFB96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br w:type="page"/>
      </w:r>
    </w:p>
    <w:p w14:paraId="4538DE2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tbl>
      <w:tblPr>
        <w:tblW w:w="0" w:type="dxa"/>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990"/>
        <w:gridCol w:w="720"/>
        <w:gridCol w:w="630"/>
        <w:gridCol w:w="1013"/>
        <w:gridCol w:w="952"/>
        <w:gridCol w:w="832"/>
      </w:tblGrid>
      <w:tr w:rsidR="00FC5566" w:rsidRPr="00FC5566" w14:paraId="662FEE48" w14:textId="77777777" w:rsidTr="00B247D5">
        <w:trPr>
          <w:trHeight w:val="587"/>
          <w:tblHeader/>
          <w:jc w:val="center"/>
        </w:trPr>
        <w:tc>
          <w:tcPr>
            <w:tcW w:w="990" w:type="dxa"/>
            <w:tcBorders>
              <w:top w:val="double" w:sz="6" w:space="0" w:color="auto"/>
              <w:left w:val="double" w:sz="6" w:space="0" w:color="auto"/>
              <w:bottom w:val="single" w:sz="6" w:space="0" w:color="auto"/>
              <w:right w:val="single" w:sz="6" w:space="0" w:color="auto"/>
            </w:tcBorders>
            <w:shd w:val="pct25" w:color="auto" w:fill="FFFFFF"/>
            <w:vAlign w:val="bottom"/>
            <w:hideMark/>
          </w:tcPr>
          <w:p w14:paraId="31AFD61D" w14:textId="77777777" w:rsidR="00FC5566" w:rsidRPr="00FC5566" w:rsidRDefault="00FC5566" w:rsidP="00FC5566">
            <w:pPr>
              <w:keepNext/>
              <w:autoSpaceDE w:val="0"/>
              <w:autoSpaceDN w:val="0"/>
              <w:adjustRightInd w:val="0"/>
              <w:jc w:val="center"/>
              <w:rPr>
                <w:b/>
                <w:bCs/>
                <w:sz w:val="16"/>
                <w:szCs w:val="16"/>
              </w:rPr>
            </w:pPr>
            <w:r w:rsidRPr="00FC5566">
              <w:rPr>
                <w:b/>
                <w:bCs/>
                <w:sz w:val="16"/>
                <w:szCs w:val="16"/>
              </w:rPr>
              <w:t>Building Constructed or Remodeled</w:t>
            </w:r>
          </w:p>
        </w:tc>
        <w:tc>
          <w:tcPr>
            <w:tcW w:w="720" w:type="dxa"/>
            <w:tcBorders>
              <w:top w:val="double" w:sz="6" w:space="0" w:color="auto"/>
              <w:left w:val="single" w:sz="6" w:space="0" w:color="auto"/>
              <w:bottom w:val="single" w:sz="6" w:space="0" w:color="auto"/>
              <w:right w:val="single" w:sz="6" w:space="0" w:color="auto"/>
            </w:tcBorders>
            <w:shd w:val="pct25" w:color="auto" w:fill="FFFFFF"/>
            <w:vAlign w:val="bottom"/>
            <w:hideMark/>
          </w:tcPr>
          <w:p w14:paraId="41B5DCBE" w14:textId="77777777" w:rsidR="00FC5566" w:rsidRPr="00FC5566" w:rsidRDefault="00FC5566" w:rsidP="00FC5566">
            <w:pPr>
              <w:keepNext/>
              <w:autoSpaceDE w:val="0"/>
              <w:autoSpaceDN w:val="0"/>
              <w:adjustRightInd w:val="0"/>
              <w:jc w:val="center"/>
              <w:rPr>
                <w:b/>
                <w:bCs/>
                <w:sz w:val="16"/>
                <w:szCs w:val="16"/>
              </w:rPr>
            </w:pPr>
            <w:r w:rsidRPr="00FC5566">
              <w:rPr>
                <w:b/>
                <w:bCs/>
                <w:sz w:val="16"/>
                <w:szCs w:val="16"/>
              </w:rPr>
              <w:t>Life Safety Code Edition</w:t>
            </w:r>
          </w:p>
        </w:tc>
        <w:tc>
          <w:tcPr>
            <w:tcW w:w="630" w:type="dxa"/>
            <w:tcBorders>
              <w:top w:val="double" w:sz="6" w:space="0" w:color="auto"/>
              <w:left w:val="single" w:sz="6" w:space="0" w:color="auto"/>
              <w:bottom w:val="single" w:sz="6" w:space="0" w:color="auto"/>
              <w:right w:val="single" w:sz="6" w:space="0" w:color="auto"/>
            </w:tcBorders>
            <w:shd w:val="pct25" w:color="auto" w:fill="FFFFFF"/>
            <w:vAlign w:val="bottom"/>
            <w:hideMark/>
          </w:tcPr>
          <w:p w14:paraId="78E2466D" w14:textId="77777777" w:rsidR="00FC5566" w:rsidRPr="00FC5566" w:rsidRDefault="00FC5566" w:rsidP="00FC5566">
            <w:pPr>
              <w:keepNext/>
              <w:autoSpaceDE w:val="0"/>
              <w:autoSpaceDN w:val="0"/>
              <w:adjustRightInd w:val="0"/>
              <w:jc w:val="center"/>
              <w:rPr>
                <w:b/>
                <w:bCs/>
                <w:sz w:val="16"/>
                <w:szCs w:val="16"/>
              </w:rPr>
            </w:pPr>
            <w:r w:rsidRPr="00FC5566">
              <w:rPr>
                <w:b/>
                <w:bCs/>
                <w:sz w:val="16"/>
                <w:szCs w:val="16"/>
              </w:rPr>
              <w:t>NFPA 1 Fire Code Edition</w:t>
            </w:r>
          </w:p>
        </w:tc>
        <w:tc>
          <w:tcPr>
            <w:tcW w:w="1013" w:type="dxa"/>
            <w:tcBorders>
              <w:top w:val="double" w:sz="6" w:space="0" w:color="auto"/>
              <w:left w:val="single" w:sz="6" w:space="0" w:color="auto"/>
              <w:bottom w:val="single" w:sz="6" w:space="0" w:color="auto"/>
              <w:right w:val="single" w:sz="6" w:space="0" w:color="auto"/>
            </w:tcBorders>
            <w:shd w:val="pct25" w:color="auto" w:fill="FFFFFF"/>
            <w:vAlign w:val="bottom"/>
            <w:hideMark/>
          </w:tcPr>
          <w:p w14:paraId="1BB4C8E6" w14:textId="77777777" w:rsidR="00FC5566" w:rsidRPr="00FC5566" w:rsidRDefault="00FC5566" w:rsidP="00FC5566">
            <w:pPr>
              <w:keepNext/>
              <w:autoSpaceDE w:val="0"/>
              <w:autoSpaceDN w:val="0"/>
              <w:adjustRightInd w:val="0"/>
              <w:jc w:val="center"/>
              <w:rPr>
                <w:b/>
                <w:bCs/>
                <w:sz w:val="16"/>
                <w:szCs w:val="16"/>
              </w:rPr>
            </w:pPr>
            <w:r w:rsidRPr="00FC5566">
              <w:rPr>
                <w:b/>
                <w:bCs/>
                <w:sz w:val="16"/>
                <w:szCs w:val="16"/>
              </w:rPr>
              <w:t>Section/ Building Code Edition</w:t>
            </w:r>
          </w:p>
        </w:tc>
        <w:tc>
          <w:tcPr>
            <w:tcW w:w="952" w:type="dxa"/>
            <w:tcBorders>
              <w:top w:val="double" w:sz="6" w:space="0" w:color="auto"/>
              <w:left w:val="single" w:sz="6" w:space="0" w:color="auto"/>
              <w:bottom w:val="single" w:sz="6" w:space="0" w:color="auto"/>
              <w:right w:val="single" w:sz="6" w:space="0" w:color="auto"/>
            </w:tcBorders>
            <w:shd w:val="pct25" w:color="auto" w:fill="FFFFFF"/>
            <w:vAlign w:val="bottom"/>
            <w:hideMark/>
          </w:tcPr>
          <w:p w14:paraId="018BD86E" w14:textId="77777777" w:rsidR="00FC5566" w:rsidRPr="00FC5566" w:rsidRDefault="00FC5566" w:rsidP="00FC5566">
            <w:pPr>
              <w:keepNext/>
              <w:autoSpaceDE w:val="0"/>
              <w:autoSpaceDN w:val="0"/>
              <w:adjustRightInd w:val="0"/>
              <w:jc w:val="center"/>
              <w:rPr>
                <w:b/>
                <w:bCs/>
                <w:sz w:val="16"/>
                <w:szCs w:val="16"/>
              </w:rPr>
            </w:pPr>
            <w:r w:rsidRPr="00FC5566">
              <w:rPr>
                <w:b/>
                <w:bCs/>
                <w:sz w:val="16"/>
                <w:szCs w:val="16"/>
              </w:rPr>
              <w:t>Sections/ International Building Code Edition</w:t>
            </w:r>
          </w:p>
        </w:tc>
        <w:tc>
          <w:tcPr>
            <w:tcW w:w="832" w:type="dxa"/>
            <w:tcBorders>
              <w:top w:val="double" w:sz="6" w:space="0" w:color="auto"/>
              <w:left w:val="single" w:sz="6" w:space="0" w:color="auto"/>
              <w:bottom w:val="single" w:sz="6" w:space="0" w:color="auto"/>
              <w:right w:val="double" w:sz="6" w:space="0" w:color="auto"/>
            </w:tcBorders>
            <w:shd w:val="pct25" w:color="auto" w:fill="FFFFFF"/>
            <w:vAlign w:val="bottom"/>
            <w:hideMark/>
          </w:tcPr>
          <w:p w14:paraId="6CFAA244" w14:textId="77777777" w:rsidR="00FC5566" w:rsidRPr="00FC5566" w:rsidRDefault="00FC5566" w:rsidP="00FC5566">
            <w:pPr>
              <w:keepNext/>
              <w:autoSpaceDE w:val="0"/>
              <w:autoSpaceDN w:val="0"/>
              <w:adjustRightInd w:val="0"/>
              <w:jc w:val="center"/>
              <w:rPr>
                <w:b/>
                <w:bCs/>
                <w:sz w:val="16"/>
                <w:szCs w:val="16"/>
              </w:rPr>
            </w:pPr>
            <w:r w:rsidRPr="00FC5566">
              <w:rPr>
                <w:b/>
                <w:bCs/>
                <w:sz w:val="16"/>
                <w:szCs w:val="16"/>
              </w:rPr>
              <w:t>FGI Guidelines</w:t>
            </w:r>
          </w:p>
        </w:tc>
      </w:tr>
      <w:tr w:rsidR="00FC5566" w:rsidRPr="00FC5566" w14:paraId="2F6AF9C1" w14:textId="77777777" w:rsidTr="00B247D5">
        <w:trPr>
          <w:cantSplit/>
          <w:jc w:val="center"/>
        </w:trPr>
        <w:tc>
          <w:tcPr>
            <w:tcW w:w="990" w:type="dxa"/>
            <w:tcBorders>
              <w:top w:val="single" w:sz="6" w:space="0" w:color="auto"/>
              <w:left w:val="double" w:sz="6" w:space="0" w:color="auto"/>
              <w:bottom w:val="single" w:sz="6" w:space="0" w:color="auto"/>
              <w:right w:val="single" w:sz="6" w:space="0" w:color="auto"/>
            </w:tcBorders>
            <w:vAlign w:val="bottom"/>
            <w:hideMark/>
          </w:tcPr>
          <w:p w14:paraId="57D534F8" w14:textId="77777777" w:rsidR="00FC5566" w:rsidRPr="00FC5566" w:rsidRDefault="00FC5566" w:rsidP="00FC5566">
            <w:pPr>
              <w:autoSpaceDE w:val="0"/>
              <w:autoSpaceDN w:val="0"/>
              <w:adjustRightInd w:val="0"/>
              <w:ind w:left="61" w:right="19"/>
              <w:rPr>
                <w:bCs/>
                <w:sz w:val="16"/>
                <w:szCs w:val="16"/>
              </w:rPr>
            </w:pPr>
            <w:r w:rsidRPr="00FC5566">
              <w:rPr>
                <w:bCs/>
                <w:sz w:val="16"/>
                <w:szCs w:val="16"/>
              </w:rPr>
              <w:t>prior to 1/1/1975</w:t>
            </w:r>
          </w:p>
        </w:tc>
        <w:tc>
          <w:tcPr>
            <w:tcW w:w="720" w:type="dxa"/>
            <w:tcBorders>
              <w:top w:val="single" w:sz="6" w:space="0" w:color="auto"/>
              <w:left w:val="single" w:sz="6" w:space="0" w:color="auto"/>
              <w:bottom w:val="single" w:sz="6" w:space="0" w:color="auto"/>
              <w:right w:val="single" w:sz="6" w:space="0" w:color="auto"/>
            </w:tcBorders>
            <w:vAlign w:val="bottom"/>
            <w:hideMark/>
          </w:tcPr>
          <w:p w14:paraId="295DEEC1" w14:textId="77777777" w:rsidR="00FC5566" w:rsidRPr="00FC5566" w:rsidRDefault="00FC5566" w:rsidP="00FC5566">
            <w:pPr>
              <w:autoSpaceDE w:val="0"/>
              <w:autoSpaceDN w:val="0"/>
              <w:adjustRightInd w:val="0"/>
              <w:jc w:val="center"/>
              <w:rPr>
                <w:bCs/>
                <w:sz w:val="16"/>
                <w:szCs w:val="16"/>
              </w:rPr>
            </w:pPr>
            <w:r w:rsidRPr="00FC5566">
              <w:rPr>
                <w:bCs/>
                <w:sz w:val="16"/>
                <w:szCs w:val="16"/>
              </w:rPr>
              <w:t>1967</w:t>
            </w:r>
          </w:p>
        </w:tc>
        <w:tc>
          <w:tcPr>
            <w:tcW w:w="630" w:type="dxa"/>
            <w:tcBorders>
              <w:top w:val="single" w:sz="6" w:space="0" w:color="auto"/>
              <w:left w:val="single" w:sz="6" w:space="0" w:color="auto"/>
              <w:bottom w:val="single" w:sz="6" w:space="0" w:color="auto"/>
              <w:right w:val="single" w:sz="6" w:space="0" w:color="auto"/>
            </w:tcBorders>
            <w:vAlign w:val="bottom"/>
          </w:tcPr>
          <w:p w14:paraId="139D21BB" w14:textId="77777777" w:rsidR="00FC5566" w:rsidRPr="00FC5566" w:rsidRDefault="00FC5566" w:rsidP="00FC5566">
            <w:pPr>
              <w:autoSpaceDE w:val="0"/>
              <w:autoSpaceDN w:val="0"/>
              <w:adjustRightInd w:val="0"/>
              <w:jc w:val="center"/>
              <w:rPr>
                <w:bCs/>
                <w:sz w:val="16"/>
                <w:szCs w:val="16"/>
              </w:rPr>
            </w:pPr>
          </w:p>
        </w:tc>
        <w:tc>
          <w:tcPr>
            <w:tcW w:w="1013" w:type="dxa"/>
            <w:tcBorders>
              <w:top w:val="single" w:sz="6" w:space="0" w:color="auto"/>
              <w:left w:val="single" w:sz="6" w:space="0" w:color="auto"/>
              <w:bottom w:val="single" w:sz="6" w:space="0" w:color="auto"/>
              <w:right w:val="single" w:sz="6" w:space="0" w:color="auto"/>
            </w:tcBorders>
            <w:vAlign w:val="bottom"/>
            <w:hideMark/>
          </w:tcPr>
          <w:p w14:paraId="0E23BE94" w14:textId="77777777" w:rsidR="00FC5566" w:rsidRPr="00FC5566" w:rsidRDefault="00FC5566" w:rsidP="00FC5566">
            <w:pPr>
              <w:autoSpaceDE w:val="0"/>
              <w:autoSpaceDN w:val="0"/>
              <w:adjustRightInd w:val="0"/>
              <w:jc w:val="center"/>
              <w:rPr>
                <w:bCs/>
                <w:sz w:val="16"/>
                <w:szCs w:val="16"/>
              </w:rPr>
            </w:pPr>
            <w:r w:rsidRPr="00FC5566">
              <w:rPr>
                <w:bCs/>
                <w:sz w:val="16"/>
                <w:szCs w:val="16"/>
              </w:rPr>
              <w:t>-</w:t>
            </w:r>
          </w:p>
        </w:tc>
        <w:tc>
          <w:tcPr>
            <w:tcW w:w="952" w:type="dxa"/>
            <w:tcBorders>
              <w:top w:val="single" w:sz="6" w:space="0" w:color="auto"/>
              <w:left w:val="single" w:sz="6" w:space="0" w:color="auto"/>
              <w:bottom w:val="single" w:sz="6" w:space="0" w:color="auto"/>
              <w:right w:val="single" w:sz="6" w:space="0" w:color="auto"/>
            </w:tcBorders>
            <w:vAlign w:val="bottom"/>
            <w:hideMark/>
          </w:tcPr>
          <w:p w14:paraId="0C52FDB9" w14:textId="77777777" w:rsidR="00FC5566" w:rsidRPr="00FC5566" w:rsidRDefault="00FC5566" w:rsidP="00FC5566">
            <w:pPr>
              <w:autoSpaceDE w:val="0"/>
              <w:autoSpaceDN w:val="0"/>
              <w:adjustRightInd w:val="0"/>
              <w:jc w:val="center"/>
              <w:rPr>
                <w:bCs/>
                <w:sz w:val="16"/>
                <w:szCs w:val="16"/>
              </w:rPr>
            </w:pPr>
            <w:r w:rsidRPr="00FC5566">
              <w:rPr>
                <w:bCs/>
                <w:sz w:val="16"/>
                <w:szCs w:val="16"/>
              </w:rPr>
              <w:t>-</w:t>
            </w:r>
          </w:p>
        </w:tc>
        <w:tc>
          <w:tcPr>
            <w:tcW w:w="832" w:type="dxa"/>
            <w:tcBorders>
              <w:top w:val="single" w:sz="6" w:space="0" w:color="auto"/>
              <w:left w:val="single" w:sz="6" w:space="0" w:color="auto"/>
              <w:bottom w:val="single" w:sz="6" w:space="0" w:color="auto"/>
              <w:right w:val="double" w:sz="6" w:space="0" w:color="auto"/>
            </w:tcBorders>
            <w:vAlign w:val="bottom"/>
          </w:tcPr>
          <w:p w14:paraId="66DC6065" w14:textId="77777777" w:rsidR="00FC5566" w:rsidRPr="00FC5566" w:rsidRDefault="00FC5566" w:rsidP="00FC5566">
            <w:pPr>
              <w:autoSpaceDE w:val="0"/>
              <w:autoSpaceDN w:val="0"/>
              <w:adjustRightInd w:val="0"/>
              <w:jc w:val="center"/>
              <w:rPr>
                <w:bCs/>
                <w:sz w:val="16"/>
                <w:szCs w:val="16"/>
              </w:rPr>
            </w:pPr>
          </w:p>
        </w:tc>
      </w:tr>
      <w:tr w:rsidR="00FC5566" w:rsidRPr="00FC5566" w14:paraId="1DA3C394" w14:textId="77777777" w:rsidTr="00B247D5">
        <w:trPr>
          <w:cantSplit/>
          <w:jc w:val="center"/>
        </w:trPr>
        <w:tc>
          <w:tcPr>
            <w:tcW w:w="990" w:type="dxa"/>
            <w:tcBorders>
              <w:top w:val="single" w:sz="6" w:space="0" w:color="auto"/>
              <w:left w:val="double" w:sz="6" w:space="0" w:color="auto"/>
              <w:bottom w:val="single" w:sz="6" w:space="0" w:color="auto"/>
              <w:right w:val="single" w:sz="6" w:space="0" w:color="auto"/>
            </w:tcBorders>
            <w:vAlign w:val="bottom"/>
            <w:hideMark/>
          </w:tcPr>
          <w:p w14:paraId="35FC2CA4" w14:textId="77777777" w:rsidR="00FC5566" w:rsidRPr="00FC5566" w:rsidRDefault="00FC5566" w:rsidP="00FC5566">
            <w:pPr>
              <w:autoSpaceDE w:val="0"/>
              <w:autoSpaceDN w:val="0"/>
              <w:adjustRightInd w:val="0"/>
              <w:ind w:left="61" w:right="19"/>
              <w:rPr>
                <w:bCs/>
                <w:sz w:val="16"/>
                <w:szCs w:val="16"/>
              </w:rPr>
            </w:pPr>
            <w:r w:rsidRPr="00FC5566">
              <w:rPr>
                <w:bCs/>
                <w:sz w:val="16"/>
                <w:szCs w:val="16"/>
              </w:rPr>
              <w:t>1/1/1975 to 12/31/1979</w:t>
            </w:r>
          </w:p>
        </w:tc>
        <w:tc>
          <w:tcPr>
            <w:tcW w:w="720" w:type="dxa"/>
            <w:tcBorders>
              <w:top w:val="single" w:sz="6" w:space="0" w:color="auto"/>
              <w:left w:val="single" w:sz="6" w:space="0" w:color="auto"/>
              <w:bottom w:val="single" w:sz="6" w:space="0" w:color="auto"/>
              <w:right w:val="single" w:sz="6" w:space="0" w:color="auto"/>
            </w:tcBorders>
            <w:vAlign w:val="bottom"/>
            <w:hideMark/>
          </w:tcPr>
          <w:p w14:paraId="26496D04" w14:textId="77777777" w:rsidR="00FC5566" w:rsidRPr="00FC5566" w:rsidRDefault="00FC5566" w:rsidP="00FC5566">
            <w:pPr>
              <w:autoSpaceDE w:val="0"/>
              <w:autoSpaceDN w:val="0"/>
              <w:adjustRightInd w:val="0"/>
              <w:jc w:val="center"/>
              <w:rPr>
                <w:bCs/>
                <w:sz w:val="16"/>
                <w:szCs w:val="16"/>
              </w:rPr>
            </w:pPr>
            <w:r w:rsidRPr="00FC5566">
              <w:rPr>
                <w:bCs/>
                <w:sz w:val="16"/>
                <w:szCs w:val="16"/>
              </w:rPr>
              <w:t>1973</w:t>
            </w:r>
          </w:p>
        </w:tc>
        <w:tc>
          <w:tcPr>
            <w:tcW w:w="630" w:type="dxa"/>
            <w:tcBorders>
              <w:top w:val="single" w:sz="6" w:space="0" w:color="auto"/>
              <w:left w:val="single" w:sz="6" w:space="0" w:color="auto"/>
              <w:bottom w:val="single" w:sz="6" w:space="0" w:color="auto"/>
              <w:right w:val="single" w:sz="6" w:space="0" w:color="auto"/>
            </w:tcBorders>
            <w:vAlign w:val="bottom"/>
          </w:tcPr>
          <w:p w14:paraId="69E7F955" w14:textId="77777777" w:rsidR="00FC5566" w:rsidRPr="00FC5566" w:rsidRDefault="00FC5566" w:rsidP="00FC5566">
            <w:pPr>
              <w:autoSpaceDE w:val="0"/>
              <w:autoSpaceDN w:val="0"/>
              <w:adjustRightInd w:val="0"/>
              <w:jc w:val="center"/>
              <w:rPr>
                <w:bCs/>
                <w:sz w:val="16"/>
                <w:szCs w:val="16"/>
              </w:rPr>
            </w:pPr>
          </w:p>
        </w:tc>
        <w:tc>
          <w:tcPr>
            <w:tcW w:w="1013" w:type="dxa"/>
            <w:tcBorders>
              <w:top w:val="single" w:sz="6" w:space="0" w:color="auto"/>
              <w:left w:val="single" w:sz="6" w:space="0" w:color="auto"/>
              <w:bottom w:val="single" w:sz="6" w:space="0" w:color="auto"/>
              <w:right w:val="single" w:sz="6" w:space="0" w:color="auto"/>
            </w:tcBorders>
            <w:vAlign w:val="bottom"/>
            <w:hideMark/>
          </w:tcPr>
          <w:p w14:paraId="03552BA4" w14:textId="77777777" w:rsidR="00FC5566" w:rsidRPr="00FC5566" w:rsidRDefault="00FC5566" w:rsidP="00FC5566">
            <w:pPr>
              <w:autoSpaceDE w:val="0"/>
              <w:autoSpaceDN w:val="0"/>
              <w:adjustRightInd w:val="0"/>
              <w:jc w:val="center"/>
              <w:rPr>
                <w:bCs/>
                <w:sz w:val="16"/>
                <w:szCs w:val="16"/>
              </w:rPr>
            </w:pPr>
            <w:r w:rsidRPr="00FC5566">
              <w:rPr>
                <w:bCs/>
                <w:sz w:val="16"/>
                <w:szCs w:val="16"/>
              </w:rPr>
              <w:t>518 / 1974 Chapter 4 revisions to 1973</w:t>
            </w:r>
          </w:p>
        </w:tc>
        <w:tc>
          <w:tcPr>
            <w:tcW w:w="952" w:type="dxa"/>
            <w:tcBorders>
              <w:top w:val="single" w:sz="6" w:space="0" w:color="auto"/>
              <w:left w:val="single" w:sz="6" w:space="0" w:color="auto"/>
              <w:bottom w:val="single" w:sz="6" w:space="0" w:color="auto"/>
              <w:right w:val="single" w:sz="6" w:space="0" w:color="auto"/>
            </w:tcBorders>
            <w:vAlign w:val="bottom"/>
            <w:hideMark/>
          </w:tcPr>
          <w:p w14:paraId="7577EC6B" w14:textId="77777777" w:rsidR="00FC5566" w:rsidRPr="00FC5566" w:rsidRDefault="00FC5566" w:rsidP="00FC5566">
            <w:pPr>
              <w:autoSpaceDE w:val="0"/>
              <w:autoSpaceDN w:val="0"/>
              <w:adjustRightInd w:val="0"/>
              <w:jc w:val="center"/>
              <w:rPr>
                <w:bCs/>
                <w:sz w:val="16"/>
                <w:szCs w:val="16"/>
              </w:rPr>
            </w:pPr>
            <w:r w:rsidRPr="00FC5566">
              <w:rPr>
                <w:bCs/>
                <w:sz w:val="16"/>
                <w:szCs w:val="16"/>
              </w:rPr>
              <w:t>-</w:t>
            </w:r>
          </w:p>
        </w:tc>
        <w:tc>
          <w:tcPr>
            <w:tcW w:w="832" w:type="dxa"/>
            <w:tcBorders>
              <w:top w:val="single" w:sz="6" w:space="0" w:color="auto"/>
              <w:left w:val="single" w:sz="6" w:space="0" w:color="auto"/>
              <w:bottom w:val="single" w:sz="6" w:space="0" w:color="auto"/>
              <w:right w:val="double" w:sz="6" w:space="0" w:color="auto"/>
            </w:tcBorders>
            <w:vAlign w:val="bottom"/>
          </w:tcPr>
          <w:p w14:paraId="14B5CDC5" w14:textId="77777777" w:rsidR="00FC5566" w:rsidRPr="00FC5566" w:rsidRDefault="00FC5566" w:rsidP="00FC5566">
            <w:pPr>
              <w:autoSpaceDE w:val="0"/>
              <w:autoSpaceDN w:val="0"/>
              <w:adjustRightInd w:val="0"/>
              <w:jc w:val="center"/>
              <w:rPr>
                <w:bCs/>
                <w:sz w:val="16"/>
                <w:szCs w:val="16"/>
              </w:rPr>
            </w:pPr>
          </w:p>
        </w:tc>
      </w:tr>
      <w:tr w:rsidR="00FC5566" w:rsidRPr="00FC5566" w14:paraId="31233D51" w14:textId="77777777" w:rsidTr="00B247D5">
        <w:trPr>
          <w:cantSplit/>
          <w:jc w:val="center"/>
        </w:trPr>
        <w:tc>
          <w:tcPr>
            <w:tcW w:w="990" w:type="dxa"/>
            <w:tcBorders>
              <w:top w:val="single" w:sz="6" w:space="0" w:color="auto"/>
              <w:left w:val="double" w:sz="6" w:space="0" w:color="auto"/>
              <w:bottom w:val="single" w:sz="6" w:space="0" w:color="auto"/>
              <w:right w:val="single" w:sz="6" w:space="0" w:color="auto"/>
            </w:tcBorders>
            <w:vAlign w:val="bottom"/>
            <w:hideMark/>
          </w:tcPr>
          <w:p w14:paraId="2E92C368" w14:textId="77777777" w:rsidR="00FC5566" w:rsidRPr="00FC5566" w:rsidRDefault="00FC5566" w:rsidP="00FC5566">
            <w:pPr>
              <w:autoSpaceDE w:val="0"/>
              <w:autoSpaceDN w:val="0"/>
              <w:adjustRightInd w:val="0"/>
              <w:ind w:left="61" w:right="19"/>
              <w:rPr>
                <w:bCs/>
                <w:sz w:val="16"/>
                <w:szCs w:val="16"/>
              </w:rPr>
            </w:pPr>
            <w:r w:rsidRPr="00FC5566">
              <w:rPr>
                <w:bCs/>
                <w:sz w:val="16"/>
                <w:szCs w:val="16"/>
              </w:rPr>
              <w:t>1/1/1980 to 8/31/1981</w:t>
            </w:r>
          </w:p>
        </w:tc>
        <w:tc>
          <w:tcPr>
            <w:tcW w:w="720" w:type="dxa"/>
            <w:tcBorders>
              <w:top w:val="single" w:sz="6" w:space="0" w:color="auto"/>
              <w:left w:val="single" w:sz="6" w:space="0" w:color="auto"/>
              <w:bottom w:val="single" w:sz="6" w:space="0" w:color="auto"/>
              <w:right w:val="single" w:sz="6" w:space="0" w:color="auto"/>
            </w:tcBorders>
            <w:vAlign w:val="bottom"/>
            <w:hideMark/>
          </w:tcPr>
          <w:p w14:paraId="4F5F40ED" w14:textId="77777777" w:rsidR="00FC5566" w:rsidRPr="00FC5566" w:rsidRDefault="00FC5566" w:rsidP="00FC5566">
            <w:pPr>
              <w:autoSpaceDE w:val="0"/>
              <w:autoSpaceDN w:val="0"/>
              <w:adjustRightInd w:val="0"/>
              <w:jc w:val="center"/>
              <w:rPr>
                <w:bCs/>
                <w:sz w:val="16"/>
                <w:szCs w:val="16"/>
              </w:rPr>
            </w:pPr>
            <w:r w:rsidRPr="00FC5566">
              <w:rPr>
                <w:bCs/>
                <w:sz w:val="16"/>
                <w:szCs w:val="16"/>
              </w:rPr>
              <w:t>1976</w:t>
            </w:r>
          </w:p>
        </w:tc>
        <w:tc>
          <w:tcPr>
            <w:tcW w:w="630" w:type="dxa"/>
            <w:tcBorders>
              <w:top w:val="single" w:sz="6" w:space="0" w:color="auto"/>
              <w:left w:val="single" w:sz="6" w:space="0" w:color="auto"/>
              <w:bottom w:val="single" w:sz="6" w:space="0" w:color="auto"/>
              <w:right w:val="single" w:sz="6" w:space="0" w:color="auto"/>
            </w:tcBorders>
            <w:vAlign w:val="bottom"/>
          </w:tcPr>
          <w:p w14:paraId="144A9D44" w14:textId="77777777" w:rsidR="00FC5566" w:rsidRPr="00FC5566" w:rsidRDefault="00FC5566" w:rsidP="00FC5566">
            <w:pPr>
              <w:autoSpaceDE w:val="0"/>
              <w:autoSpaceDN w:val="0"/>
              <w:adjustRightInd w:val="0"/>
              <w:jc w:val="center"/>
              <w:rPr>
                <w:bCs/>
                <w:sz w:val="16"/>
                <w:szCs w:val="16"/>
              </w:rPr>
            </w:pPr>
          </w:p>
        </w:tc>
        <w:tc>
          <w:tcPr>
            <w:tcW w:w="1013" w:type="dxa"/>
            <w:tcBorders>
              <w:top w:val="single" w:sz="6" w:space="0" w:color="auto"/>
              <w:left w:val="single" w:sz="6" w:space="0" w:color="auto"/>
              <w:bottom w:val="single" w:sz="6" w:space="0" w:color="auto"/>
              <w:right w:val="single" w:sz="6" w:space="0" w:color="auto"/>
            </w:tcBorders>
            <w:vAlign w:val="bottom"/>
            <w:hideMark/>
          </w:tcPr>
          <w:p w14:paraId="0D7FF307" w14:textId="77777777" w:rsidR="00FC5566" w:rsidRPr="00FC5566" w:rsidRDefault="00FC5566" w:rsidP="00FC5566">
            <w:pPr>
              <w:autoSpaceDE w:val="0"/>
              <w:autoSpaceDN w:val="0"/>
              <w:adjustRightInd w:val="0"/>
              <w:jc w:val="center"/>
              <w:rPr>
                <w:bCs/>
                <w:sz w:val="16"/>
                <w:szCs w:val="16"/>
              </w:rPr>
            </w:pPr>
            <w:r w:rsidRPr="00FC5566">
              <w:rPr>
                <w:bCs/>
                <w:sz w:val="16"/>
                <w:szCs w:val="16"/>
              </w:rPr>
              <w:t>518 / 1974 Chapter 4 revisions to 1973</w:t>
            </w:r>
          </w:p>
        </w:tc>
        <w:tc>
          <w:tcPr>
            <w:tcW w:w="952" w:type="dxa"/>
            <w:tcBorders>
              <w:top w:val="single" w:sz="6" w:space="0" w:color="auto"/>
              <w:left w:val="single" w:sz="6" w:space="0" w:color="auto"/>
              <w:bottom w:val="single" w:sz="6" w:space="0" w:color="auto"/>
              <w:right w:val="single" w:sz="6" w:space="0" w:color="auto"/>
            </w:tcBorders>
            <w:vAlign w:val="bottom"/>
            <w:hideMark/>
          </w:tcPr>
          <w:p w14:paraId="009B054D" w14:textId="77777777" w:rsidR="00FC5566" w:rsidRPr="00FC5566" w:rsidRDefault="00FC5566" w:rsidP="00FC5566">
            <w:pPr>
              <w:autoSpaceDE w:val="0"/>
              <w:autoSpaceDN w:val="0"/>
              <w:adjustRightInd w:val="0"/>
              <w:jc w:val="center"/>
              <w:rPr>
                <w:bCs/>
                <w:sz w:val="16"/>
                <w:szCs w:val="16"/>
              </w:rPr>
            </w:pPr>
            <w:r w:rsidRPr="00FC5566">
              <w:rPr>
                <w:bCs/>
                <w:sz w:val="16"/>
                <w:szCs w:val="16"/>
              </w:rPr>
              <w:t>-</w:t>
            </w:r>
          </w:p>
        </w:tc>
        <w:tc>
          <w:tcPr>
            <w:tcW w:w="832" w:type="dxa"/>
            <w:tcBorders>
              <w:top w:val="single" w:sz="6" w:space="0" w:color="auto"/>
              <w:left w:val="single" w:sz="6" w:space="0" w:color="auto"/>
              <w:bottom w:val="single" w:sz="6" w:space="0" w:color="auto"/>
              <w:right w:val="double" w:sz="6" w:space="0" w:color="auto"/>
            </w:tcBorders>
            <w:vAlign w:val="bottom"/>
          </w:tcPr>
          <w:p w14:paraId="5626FF76" w14:textId="77777777" w:rsidR="00FC5566" w:rsidRPr="00FC5566" w:rsidRDefault="00FC5566" w:rsidP="00FC5566">
            <w:pPr>
              <w:autoSpaceDE w:val="0"/>
              <w:autoSpaceDN w:val="0"/>
              <w:adjustRightInd w:val="0"/>
              <w:jc w:val="center"/>
              <w:rPr>
                <w:bCs/>
                <w:sz w:val="16"/>
                <w:szCs w:val="16"/>
              </w:rPr>
            </w:pPr>
          </w:p>
        </w:tc>
      </w:tr>
      <w:tr w:rsidR="00FC5566" w:rsidRPr="00FC5566" w14:paraId="0A9A32D1" w14:textId="77777777" w:rsidTr="00B247D5">
        <w:trPr>
          <w:cantSplit/>
          <w:jc w:val="center"/>
        </w:trPr>
        <w:tc>
          <w:tcPr>
            <w:tcW w:w="990" w:type="dxa"/>
            <w:tcBorders>
              <w:top w:val="single" w:sz="6" w:space="0" w:color="auto"/>
              <w:left w:val="double" w:sz="6" w:space="0" w:color="auto"/>
              <w:bottom w:val="single" w:sz="6" w:space="0" w:color="auto"/>
              <w:right w:val="single" w:sz="6" w:space="0" w:color="auto"/>
            </w:tcBorders>
            <w:vAlign w:val="bottom"/>
            <w:hideMark/>
          </w:tcPr>
          <w:p w14:paraId="2FF41D80" w14:textId="77777777" w:rsidR="00FC5566" w:rsidRPr="00FC5566" w:rsidRDefault="00FC5566" w:rsidP="00FC5566">
            <w:pPr>
              <w:autoSpaceDE w:val="0"/>
              <w:autoSpaceDN w:val="0"/>
              <w:adjustRightInd w:val="0"/>
              <w:ind w:left="61" w:right="19"/>
              <w:rPr>
                <w:bCs/>
                <w:sz w:val="16"/>
                <w:szCs w:val="16"/>
              </w:rPr>
            </w:pPr>
            <w:r w:rsidRPr="00FC5566">
              <w:rPr>
                <w:bCs/>
                <w:sz w:val="16"/>
                <w:szCs w:val="16"/>
              </w:rPr>
              <w:t>9/1/1981 to 8/31/1986</w:t>
            </w:r>
          </w:p>
        </w:tc>
        <w:tc>
          <w:tcPr>
            <w:tcW w:w="720" w:type="dxa"/>
            <w:tcBorders>
              <w:top w:val="single" w:sz="6" w:space="0" w:color="auto"/>
              <w:left w:val="single" w:sz="6" w:space="0" w:color="auto"/>
              <w:bottom w:val="single" w:sz="6" w:space="0" w:color="auto"/>
              <w:right w:val="single" w:sz="6" w:space="0" w:color="auto"/>
            </w:tcBorders>
            <w:vAlign w:val="bottom"/>
            <w:hideMark/>
          </w:tcPr>
          <w:p w14:paraId="431C7F82" w14:textId="77777777" w:rsidR="00FC5566" w:rsidRPr="00FC5566" w:rsidRDefault="00FC5566" w:rsidP="00FC5566">
            <w:pPr>
              <w:autoSpaceDE w:val="0"/>
              <w:autoSpaceDN w:val="0"/>
              <w:adjustRightInd w:val="0"/>
              <w:jc w:val="center"/>
              <w:rPr>
                <w:bCs/>
                <w:sz w:val="16"/>
                <w:szCs w:val="16"/>
              </w:rPr>
            </w:pPr>
            <w:r w:rsidRPr="00FC5566">
              <w:rPr>
                <w:bCs/>
                <w:sz w:val="16"/>
                <w:szCs w:val="16"/>
              </w:rPr>
              <w:t>1981</w:t>
            </w:r>
          </w:p>
        </w:tc>
        <w:tc>
          <w:tcPr>
            <w:tcW w:w="630" w:type="dxa"/>
            <w:tcBorders>
              <w:top w:val="single" w:sz="6" w:space="0" w:color="auto"/>
              <w:left w:val="single" w:sz="6" w:space="0" w:color="auto"/>
              <w:bottom w:val="single" w:sz="6" w:space="0" w:color="auto"/>
              <w:right w:val="single" w:sz="6" w:space="0" w:color="auto"/>
            </w:tcBorders>
            <w:vAlign w:val="bottom"/>
          </w:tcPr>
          <w:p w14:paraId="3754670F" w14:textId="77777777" w:rsidR="00FC5566" w:rsidRPr="00FC5566" w:rsidRDefault="00FC5566" w:rsidP="00FC5566">
            <w:pPr>
              <w:autoSpaceDE w:val="0"/>
              <w:autoSpaceDN w:val="0"/>
              <w:adjustRightInd w:val="0"/>
              <w:jc w:val="center"/>
              <w:rPr>
                <w:bCs/>
                <w:sz w:val="16"/>
                <w:szCs w:val="16"/>
              </w:rPr>
            </w:pPr>
          </w:p>
        </w:tc>
        <w:tc>
          <w:tcPr>
            <w:tcW w:w="1013" w:type="dxa"/>
            <w:tcBorders>
              <w:top w:val="single" w:sz="6" w:space="0" w:color="auto"/>
              <w:left w:val="single" w:sz="6" w:space="0" w:color="auto"/>
              <w:bottom w:val="single" w:sz="6" w:space="0" w:color="auto"/>
              <w:right w:val="single" w:sz="6" w:space="0" w:color="auto"/>
            </w:tcBorders>
            <w:vAlign w:val="bottom"/>
            <w:hideMark/>
          </w:tcPr>
          <w:p w14:paraId="3C027335" w14:textId="77777777" w:rsidR="00FC5566" w:rsidRPr="00FC5566" w:rsidRDefault="00FC5566" w:rsidP="00FC5566">
            <w:pPr>
              <w:autoSpaceDE w:val="0"/>
              <w:autoSpaceDN w:val="0"/>
              <w:adjustRightInd w:val="0"/>
              <w:jc w:val="center"/>
              <w:rPr>
                <w:bCs/>
                <w:sz w:val="16"/>
                <w:szCs w:val="16"/>
              </w:rPr>
            </w:pPr>
            <w:r w:rsidRPr="00FC5566">
              <w:rPr>
                <w:bCs/>
                <w:sz w:val="16"/>
                <w:szCs w:val="16"/>
              </w:rPr>
              <w:t>506 / 1979</w:t>
            </w:r>
          </w:p>
        </w:tc>
        <w:tc>
          <w:tcPr>
            <w:tcW w:w="952" w:type="dxa"/>
            <w:tcBorders>
              <w:top w:val="single" w:sz="6" w:space="0" w:color="auto"/>
              <w:left w:val="single" w:sz="6" w:space="0" w:color="auto"/>
              <w:bottom w:val="single" w:sz="6" w:space="0" w:color="auto"/>
              <w:right w:val="single" w:sz="6" w:space="0" w:color="auto"/>
            </w:tcBorders>
            <w:vAlign w:val="bottom"/>
            <w:hideMark/>
          </w:tcPr>
          <w:p w14:paraId="450A7A0A" w14:textId="77777777" w:rsidR="00FC5566" w:rsidRPr="00FC5566" w:rsidRDefault="00FC5566" w:rsidP="00FC5566">
            <w:pPr>
              <w:autoSpaceDE w:val="0"/>
              <w:autoSpaceDN w:val="0"/>
              <w:adjustRightInd w:val="0"/>
              <w:jc w:val="center"/>
              <w:rPr>
                <w:bCs/>
                <w:sz w:val="16"/>
                <w:szCs w:val="16"/>
              </w:rPr>
            </w:pPr>
            <w:r w:rsidRPr="00FC5566">
              <w:rPr>
                <w:bCs/>
                <w:sz w:val="16"/>
                <w:szCs w:val="16"/>
              </w:rPr>
              <w:t>-</w:t>
            </w:r>
          </w:p>
        </w:tc>
        <w:tc>
          <w:tcPr>
            <w:tcW w:w="832" w:type="dxa"/>
            <w:tcBorders>
              <w:top w:val="single" w:sz="6" w:space="0" w:color="auto"/>
              <w:left w:val="single" w:sz="6" w:space="0" w:color="auto"/>
              <w:bottom w:val="single" w:sz="6" w:space="0" w:color="auto"/>
              <w:right w:val="double" w:sz="6" w:space="0" w:color="auto"/>
            </w:tcBorders>
            <w:vAlign w:val="bottom"/>
          </w:tcPr>
          <w:p w14:paraId="3DF8BDE8" w14:textId="77777777" w:rsidR="00FC5566" w:rsidRPr="00FC5566" w:rsidRDefault="00FC5566" w:rsidP="00FC5566">
            <w:pPr>
              <w:autoSpaceDE w:val="0"/>
              <w:autoSpaceDN w:val="0"/>
              <w:adjustRightInd w:val="0"/>
              <w:jc w:val="center"/>
              <w:rPr>
                <w:bCs/>
                <w:sz w:val="16"/>
                <w:szCs w:val="16"/>
              </w:rPr>
            </w:pPr>
          </w:p>
        </w:tc>
      </w:tr>
      <w:tr w:rsidR="00FC5566" w:rsidRPr="00FC5566" w14:paraId="68BED5FD" w14:textId="77777777" w:rsidTr="00B247D5">
        <w:trPr>
          <w:cantSplit/>
          <w:jc w:val="center"/>
        </w:trPr>
        <w:tc>
          <w:tcPr>
            <w:tcW w:w="990" w:type="dxa"/>
            <w:tcBorders>
              <w:top w:val="single" w:sz="6" w:space="0" w:color="auto"/>
              <w:left w:val="double" w:sz="6" w:space="0" w:color="auto"/>
              <w:bottom w:val="single" w:sz="6" w:space="0" w:color="auto"/>
              <w:right w:val="single" w:sz="6" w:space="0" w:color="auto"/>
            </w:tcBorders>
            <w:vAlign w:val="bottom"/>
            <w:hideMark/>
          </w:tcPr>
          <w:p w14:paraId="589C44FB" w14:textId="77777777" w:rsidR="00FC5566" w:rsidRPr="00FC5566" w:rsidRDefault="00FC5566" w:rsidP="00FC5566">
            <w:pPr>
              <w:autoSpaceDE w:val="0"/>
              <w:autoSpaceDN w:val="0"/>
              <w:adjustRightInd w:val="0"/>
              <w:ind w:left="61" w:right="19"/>
              <w:rPr>
                <w:bCs/>
                <w:sz w:val="16"/>
                <w:szCs w:val="16"/>
              </w:rPr>
            </w:pPr>
            <w:r w:rsidRPr="00FC5566">
              <w:rPr>
                <w:bCs/>
                <w:sz w:val="16"/>
                <w:szCs w:val="16"/>
              </w:rPr>
              <w:t>9/1/1986 to 2/18/1989</w:t>
            </w:r>
          </w:p>
        </w:tc>
        <w:tc>
          <w:tcPr>
            <w:tcW w:w="720" w:type="dxa"/>
            <w:tcBorders>
              <w:top w:val="single" w:sz="6" w:space="0" w:color="auto"/>
              <w:left w:val="single" w:sz="6" w:space="0" w:color="auto"/>
              <w:bottom w:val="single" w:sz="6" w:space="0" w:color="auto"/>
              <w:right w:val="single" w:sz="6" w:space="0" w:color="auto"/>
            </w:tcBorders>
            <w:vAlign w:val="bottom"/>
            <w:hideMark/>
          </w:tcPr>
          <w:p w14:paraId="7E0F2ED7" w14:textId="77777777" w:rsidR="00FC5566" w:rsidRPr="00FC5566" w:rsidRDefault="00FC5566" w:rsidP="00FC5566">
            <w:pPr>
              <w:autoSpaceDE w:val="0"/>
              <w:autoSpaceDN w:val="0"/>
              <w:adjustRightInd w:val="0"/>
              <w:jc w:val="center"/>
              <w:rPr>
                <w:bCs/>
                <w:sz w:val="16"/>
                <w:szCs w:val="16"/>
              </w:rPr>
            </w:pPr>
            <w:r w:rsidRPr="00FC5566">
              <w:rPr>
                <w:bCs/>
                <w:sz w:val="16"/>
                <w:szCs w:val="16"/>
              </w:rPr>
              <w:t>1985</w:t>
            </w:r>
          </w:p>
        </w:tc>
        <w:tc>
          <w:tcPr>
            <w:tcW w:w="630" w:type="dxa"/>
            <w:tcBorders>
              <w:top w:val="single" w:sz="6" w:space="0" w:color="auto"/>
              <w:left w:val="single" w:sz="6" w:space="0" w:color="auto"/>
              <w:bottom w:val="single" w:sz="6" w:space="0" w:color="auto"/>
              <w:right w:val="single" w:sz="6" w:space="0" w:color="auto"/>
            </w:tcBorders>
            <w:vAlign w:val="bottom"/>
          </w:tcPr>
          <w:p w14:paraId="2784F042" w14:textId="77777777" w:rsidR="00FC5566" w:rsidRPr="00FC5566" w:rsidRDefault="00FC5566" w:rsidP="00FC5566">
            <w:pPr>
              <w:autoSpaceDE w:val="0"/>
              <w:autoSpaceDN w:val="0"/>
              <w:adjustRightInd w:val="0"/>
              <w:jc w:val="center"/>
              <w:rPr>
                <w:bCs/>
                <w:sz w:val="16"/>
                <w:szCs w:val="16"/>
              </w:rPr>
            </w:pPr>
          </w:p>
        </w:tc>
        <w:tc>
          <w:tcPr>
            <w:tcW w:w="1013" w:type="dxa"/>
            <w:tcBorders>
              <w:top w:val="single" w:sz="6" w:space="0" w:color="auto"/>
              <w:left w:val="single" w:sz="6" w:space="0" w:color="auto"/>
              <w:bottom w:val="single" w:sz="6" w:space="0" w:color="auto"/>
              <w:right w:val="single" w:sz="6" w:space="0" w:color="auto"/>
            </w:tcBorders>
            <w:vAlign w:val="bottom"/>
            <w:hideMark/>
          </w:tcPr>
          <w:p w14:paraId="3201DB16" w14:textId="77777777" w:rsidR="00FC5566" w:rsidRPr="00FC5566" w:rsidRDefault="00FC5566" w:rsidP="00FC5566">
            <w:pPr>
              <w:autoSpaceDE w:val="0"/>
              <w:autoSpaceDN w:val="0"/>
              <w:adjustRightInd w:val="0"/>
              <w:jc w:val="center"/>
              <w:rPr>
                <w:bCs/>
                <w:sz w:val="16"/>
                <w:szCs w:val="16"/>
              </w:rPr>
            </w:pPr>
            <w:r w:rsidRPr="00FC5566">
              <w:rPr>
                <w:bCs/>
                <w:sz w:val="16"/>
                <w:szCs w:val="16"/>
              </w:rPr>
              <w:t>506 / 1985</w:t>
            </w:r>
          </w:p>
        </w:tc>
        <w:tc>
          <w:tcPr>
            <w:tcW w:w="952" w:type="dxa"/>
            <w:tcBorders>
              <w:top w:val="single" w:sz="6" w:space="0" w:color="auto"/>
              <w:left w:val="single" w:sz="6" w:space="0" w:color="auto"/>
              <w:bottom w:val="single" w:sz="6" w:space="0" w:color="auto"/>
              <w:right w:val="single" w:sz="6" w:space="0" w:color="auto"/>
            </w:tcBorders>
            <w:vAlign w:val="bottom"/>
            <w:hideMark/>
          </w:tcPr>
          <w:p w14:paraId="0C3E9CEF" w14:textId="77777777" w:rsidR="00FC5566" w:rsidRPr="00FC5566" w:rsidRDefault="00FC5566" w:rsidP="00FC5566">
            <w:pPr>
              <w:autoSpaceDE w:val="0"/>
              <w:autoSpaceDN w:val="0"/>
              <w:adjustRightInd w:val="0"/>
              <w:jc w:val="center"/>
              <w:rPr>
                <w:bCs/>
                <w:sz w:val="16"/>
                <w:szCs w:val="16"/>
              </w:rPr>
            </w:pPr>
            <w:r w:rsidRPr="00FC5566">
              <w:rPr>
                <w:bCs/>
                <w:sz w:val="16"/>
                <w:szCs w:val="16"/>
              </w:rPr>
              <w:t>-</w:t>
            </w:r>
          </w:p>
        </w:tc>
        <w:tc>
          <w:tcPr>
            <w:tcW w:w="832" w:type="dxa"/>
            <w:tcBorders>
              <w:top w:val="single" w:sz="6" w:space="0" w:color="auto"/>
              <w:left w:val="single" w:sz="6" w:space="0" w:color="auto"/>
              <w:bottom w:val="single" w:sz="6" w:space="0" w:color="auto"/>
              <w:right w:val="double" w:sz="6" w:space="0" w:color="auto"/>
            </w:tcBorders>
            <w:vAlign w:val="bottom"/>
          </w:tcPr>
          <w:p w14:paraId="59172A4E" w14:textId="77777777" w:rsidR="00FC5566" w:rsidRPr="00FC5566" w:rsidRDefault="00FC5566" w:rsidP="00FC5566">
            <w:pPr>
              <w:autoSpaceDE w:val="0"/>
              <w:autoSpaceDN w:val="0"/>
              <w:adjustRightInd w:val="0"/>
              <w:jc w:val="center"/>
              <w:rPr>
                <w:bCs/>
                <w:sz w:val="16"/>
                <w:szCs w:val="16"/>
              </w:rPr>
            </w:pPr>
          </w:p>
        </w:tc>
      </w:tr>
      <w:tr w:rsidR="00FC5566" w:rsidRPr="00FC5566" w14:paraId="071E4D07" w14:textId="77777777" w:rsidTr="00B247D5">
        <w:trPr>
          <w:cantSplit/>
          <w:jc w:val="center"/>
        </w:trPr>
        <w:tc>
          <w:tcPr>
            <w:tcW w:w="990" w:type="dxa"/>
            <w:tcBorders>
              <w:top w:val="single" w:sz="6" w:space="0" w:color="auto"/>
              <w:left w:val="double" w:sz="6" w:space="0" w:color="auto"/>
              <w:bottom w:val="single" w:sz="6" w:space="0" w:color="auto"/>
              <w:right w:val="single" w:sz="6" w:space="0" w:color="auto"/>
            </w:tcBorders>
            <w:vAlign w:val="bottom"/>
            <w:hideMark/>
          </w:tcPr>
          <w:p w14:paraId="7C243B13" w14:textId="77777777" w:rsidR="00FC5566" w:rsidRPr="00FC5566" w:rsidRDefault="00FC5566" w:rsidP="00FC5566">
            <w:pPr>
              <w:autoSpaceDE w:val="0"/>
              <w:autoSpaceDN w:val="0"/>
              <w:adjustRightInd w:val="0"/>
              <w:ind w:left="61" w:right="19"/>
              <w:rPr>
                <w:bCs/>
                <w:sz w:val="16"/>
                <w:szCs w:val="16"/>
              </w:rPr>
            </w:pPr>
            <w:r w:rsidRPr="00FC5566">
              <w:rPr>
                <w:bCs/>
                <w:sz w:val="16"/>
                <w:szCs w:val="16"/>
              </w:rPr>
              <w:t>2/19/1989 to 5/31/1992</w:t>
            </w:r>
          </w:p>
        </w:tc>
        <w:tc>
          <w:tcPr>
            <w:tcW w:w="720" w:type="dxa"/>
            <w:tcBorders>
              <w:top w:val="single" w:sz="6" w:space="0" w:color="auto"/>
              <w:left w:val="single" w:sz="6" w:space="0" w:color="auto"/>
              <w:bottom w:val="single" w:sz="6" w:space="0" w:color="auto"/>
              <w:right w:val="single" w:sz="6" w:space="0" w:color="auto"/>
            </w:tcBorders>
            <w:vAlign w:val="bottom"/>
            <w:hideMark/>
          </w:tcPr>
          <w:p w14:paraId="14FB44E3" w14:textId="77777777" w:rsidR="00FC5566" w:rsidRPr="00FC5566" w:rsidRDefault="00FC5566" w:rsidP="00FC5566">
            <w:pPr>
              <w:autoSpaceDE w:val="0"/>
              <w:autoSpaceDN w:val="0"/>
              <w:adjustRightInd w:val="0"/>
              <w:jc w:val="center"/>
              <w:rPr>
                <w:bCs/>
                <w:sz w:val="16"/>
                <w:szCs w:val="16"/>
              </w:rPr>
            </w:pPr>
            <w:r w:rsidRPr="00FC5566">
              <w:rPr>
                <w:bCs/>
                <w:sz w:val="16"/>
                <w:szCs w:val="16"/>
              </w:rPr>
              <w:t>1988</w:t>
            </w:r>
          </w:p>
        </w:tc>
        <w:tc>
          <w:tcPr>
            <w:tcW w:w="630" w:type="dxa"/>
            <w:tcBorders>
              <w:top w:val="single" w:sz="6" w:space="0" w:color="auto"/>
              <w:left w:val="single" w:sz="6" w:space="0" w:color="auto"/>
              <w:bottom w:val="single" w:sz="6" w:space="0" w:color="auto"/>
              <w:right w:val="single" w:sz="6" w:space="0" w:color="auto"/>
            </w:tcBorders>
            <w:vAlign w:val="bottom"/>
          </w:tcPr>
          <w:p w14:paraId="068E6B0C" w14:textId="77777777" w:rsidR="00FC5566" w:rsidRPr="00FC5566" w:rsidRDefault="00FC5566" w:rsidP="00FC5566">
            <w:pPr>
              <w:autoSpaceDE w:val="0"/>
              <w:autoSpaceDN w:val="0"/>
              <w:adjustRightInd w:val="0"/>
              <w:jc w:val="center"/>
              <w:rPr>
                <w:bCs/>
                <w:sz w:val="16"/>
                <w:szCs w:val="16"/>
              </w:rPr>
            </w:pPr>
          </w:p>
        </w:tc>
        <w:tc>
          <w:tcPr>
            <w:tcW w:w="1013" w:type="dxa"/>
            <w:tcBorders>
              <w:top w:val="single" w:sz="6" w:space="0" w:color="auto"/>
              <w:left w:val="single" w:sz="6" w:space="0" w:color="auto"/>
              <w:bottom w:val="single" w:sz="6" w:space="0" w:color="auto"/>
              <w:right w:val="single" w:sz="6" w:space="0" w:color="auto"/>
            </w:tcBorders>
            <w:vAlign w:val="bottom"/>
            <w:hideMark/>
          </w:tcPr>
          <w:p w14:paraId="20AD4FC7" w14:textId="77777777" w:rsidR="00FC5566" w:rsidRPr="00FC5566" w:rsidRDefault="00FC5566" w:rsidP="00FC5566">
            <w:pPr>
              <w:autoSpaceDE w:val="0"/>
              <w:autoSpaceDN w:val="0"/>
              <w:adjustRightInd w:val="0"/>
              <w:jc w:val="center"/>
              <w:rPr>
                <w:bCs/>
                <w:sz w:val="16"/>
                <w:szCs w:val="16"/>
              </w:rPr>
            </w:pPr>
            <w:r w:rsidRPr="00FC5566">
              <w:rPr>
                <w:bCs/>
                <w:sz w:val="16"/>
                <w:szCs w:val="16"/>
              </w:rPr>
              <w:t>506 / 1985</w:t>
            </w:r>
          </w:p>
        </w:tc>
        <w:tc>
          <w:tcPr>
            <w:tcW w:w="952" w:type="dxa"/>
            <w:tcBorders>
              <w:top w:val="single" w:sz="6" w:space="0" w:color="auto"/>
              <w:left w:val="single" w:sz="6" w:space="0" w:color="auto"/>
              <w:bottom w:val="single" w:sz="6" w:space="0" w:color="auto"/>
              <w:right w:val="single" w:sz="6" w:space="0" w:color="auto"/>
            </w:tcBorders>
            <w:vAlign w:val="bottom"/>
            <w:hideMark/>
          </w:tcPr>
          <w:p w14:paraId="33DA4369" w14:textId="77777777" w:rsidR="00FC5566" w:rsidRPr="00FC5566" w:rsidRDefault="00FC5566" w:rsidP="00FC5566">
            <w:pPr>
              <w:autoSpaceDE w:val="0"/>
              <w:autoSpaceDN w:val="0"/>
              <w:adjustRightInd w:val="0"/>
              <w:jc w:val="center"/>
              <w:rPr>
                <w:bCs/>
                <w:sz w:val="16"/>
                <w:szCs w:val="16"/>
              </w:rPr>
            </w:pPr>
            <w:r w:rsidRPr="00FC5566">
              <w:rPr>
                <w:bCs/>
                <w:sz w:val="16"/>
                <w:szCs w:val="16"/>
              </w:rPr>
              <w:t>-</w:t>
            </w:r>
          </w:p>
        </w:tc>
        <w:tc>
          <w:tcPr>
            <w:tcW w:w="832" w:type="dxa"/>
            <w:tcBorders>
              <w:top w:val="single" w:sz="6" w:space="0" w:color="auto"/>
              <w:left w:val="single" w:sz="6" w:space="0" w:color="auto"/>
              <w:bottom w:val="single" w:sz="6" w:space="0" w:color="auto"/>
              <w:right w:val="double" w:sz="6" w:space="0" w:color="auto"/>
            </w:tcBorders>
            <w:vAlign w:val="bottom"/>
          </w:tcPr>
          <w:p w14:paraId="5758DCDF" w14:textId="77777777" w:rsidR="00FC5566" w:rsidRPr="00FC5566" w:rsidRDefault="00FC5566" w:rsidP="00FC5566">
            <w:pPr>
              <w:autoSpaceDE w:val="0"/>
              <w:autoSpaceDN w:val="0"/>
              <w:adjustRightInd w:val="0"/>
              <w:jc w:val="center"/>
              <w:rPr>
                <w:bCs/>
                <w:sz w:val="16"/>
                <w:szCs w:val="16"/>
              </w:rPr>
            </w:pPr>
          </w:p>
        </w:tc>
      </w:tr>
      <w:tr w:rsidR="00FC5566" w:rsidRPr="00FC5566" w14:paraId="56837060" w14:textId="77777777" w:rsidTr="00B247D5">
        <w:trPr>
          <w:cantSplit/>
          <w:jc w:val="center"/>
        </w:trPr>
        <w:tc>
          <w:tcPr>
            <w:tcW w:w="990" w:type="dxa"/>
            <w:tcBorders>
              <w:top w:val="single" w:sz="6" w:space="0" w:color="auto"/>
              <w:left w:val="double" w:sz="6" w:space="0" w:color="auto"/>
              <w:bottom w:val="single" w:sz="6" w:space="0" w:color="auto"/>
              <w:right w:val="single" w:sz="6" w:space="0" w:color="auto"/>
            </w:tcBorders>
            <w:vAlign w:val="bottom"/>
            <w:hideMark/>
          </w:tcPr>
          <w:p w14:paraId="307DBC3E" w14:textId="77777777" w:rsidR="00FC5566" w:rsidRPr="00FC5566" w:rsidRDefault="00FC5566" w:rsidP="00FC5566">
            <w:pPr>
              <w:autoSpaceDE w:val="0"/>
              <w:autoSpaceDN w:val="0"/>
              <w:adjustRightInd w:val="0"/>
              <w:ind w:left="61" w:right="19"/>
              <w:rPr>
                <w:bCs/>
                <w:sz w:val="16"/>
                <w:szCs w:val="16"/>
              </w:rPr>
            </w:pPr>
            <w:r w:rsidRPr="00FC5566">
              <w:rPr>
                <w:bCs/>
                <w:sz w:val="16"/>
                <w:szCs w:val="16"/>
              </w:rPr>
              <w:t>6/1/1992 to 1/4/1995</w:t>
            </w:r>
          </w:p>
        </w:tc>
        <w:tc>
          <w:tcPr>
            <w:tcW w:w="720" w:type="dxa"/>
            <w:tcBorders>
              <w:top w:val="single" w:sz="6" w:space="0" w:color="auto"/>
              <w:left w:val="single" w:sz="6" w:space="0" w:color="auto"/>
              <w:bottom w:val="single" w:sz="6" w:space="0" w:color="auto"/>
              <w:right w:val="single" w:sz="6" w:space="0" w:color="auto"/>
            </w:tcBorders>
            <w:vAlign w:val="bottom"/>
            <w:hideMark/>
          </w:tcPr>
          <w:p w14:paraId="62AB60ED" w14:textId="77777777" w:rsidR="00FC5566" w:rsidRPr="00FC5566" w:rsidRDefault="00FC5566" w:rsidP="00FC5566">
            <w:pPr>
              <w:autoSpaceDE w:val="0"/>
              <w:autoSpaceDN w:val="0"/>
              <w:adjustRightInd w:val="0"/>
              <w:jc w:val="center"/>
              <w:rPr>
                <w:bCs/>
                <w:sz w:val="16"/>
                <w:szCs w:val="16"/>
              </w:rPr>
            </w:pPr>
            <w:r w:rsidRPr="00FC5566">
              <w:rPr>
                <w:bCs/>
                <w:sz w:val="16"/>
                <w:szCs w:val="16"/>
              </w:rPr>
              <w:t>1991</w:t>
            </w:r>
          </w:p>
        </w:tc>
        <w:tc>
          <w:tcPr>
            <w:tcW w:w="630" w:type="dxa"/>
            <w:tcBorders>
              <w:top w:val="single" w:sz="6" w:space="0" w:color="auto"/>
              <w:left w:val="single" w:sz="6" w:space="0" w:color="auto"/>
              <w:bottom w:val="single" w:sz="6" w:space="0" w:color="auto"/>
              <w:right w:val="single" w:sz="6" w:space="0" w:color="auto"/>
            </w:tcBorders>
            <w:vAlign w:val="bottom"/>
          </w:tcPr>
          <w:p w14:paraId="63B24C19" w14:textId="77777777" w:rsidR="00FC5566" w:rsidRPr="00FC5566" w:rsidRDefault="00FC5566" w:rsidP="00FC5566">
            <w:pPr>
              <w:autoSpaceDE w:val="0"/>
              <w:autoSpaceDN w:val="0"/>
              <w:adjustRightInd w:val="0"/>
              <w:jc w:val="center"/>
              <w:rPr>
                <w:bCs/>
                <w:sz w:val="16"/>
                <w:szCs w:val="16"/>
              </w:rPr>
            </w:pPr>
          </w:p>
        </w:tc>
        <w:tc>
          <w:tcPr>
            <w:tcW w:w="1013" w:type="dxa"/>
            <w:tcBorders>
              <w:top w:val="single" w:sz="6" w:space="0" w:color="auto"/>
              <w:left w:val="single" w:sz="6" w:space="0" w:color="auto"/>
              <w:bottom w:val="single" w:sz="6" w:space="0" w:color="auto"/>
              <w:right w:val="single" w:sz="6" w:space="0" w:color="auto"/>
            </w:tcBorders>
            <w:vAlign w:val="bottom"/>
            <w:hideMark/>
          </w:tcPr>
          <w:p w14:paraId="4A1E396B" w14:textId="77777777" w:rsidR="00FC5566" w:rsidRPr="00FC5566" w:rsidRDefault="00FC5566" w:rsidP="00FC5566">
            <w:pPr>
              <w:autoSpaceDE w:val="0"/>
              <w:autoSpaceDN w:val="0"/>
              <w:adjustRightInd w:val="0"/>
              <w:jc w:val="center"/>
              <w:rPr>
                <w:bCs/>
                <w:sz w:val="16"/>
                <w:szCs w:val="16"/>
              </w:rPr>
            </w:pPr>
            <w:r w:rsidRPr="00FC5566">
              <w:rPr>
                <w:bCs/>
                <w:sz w:val="16"/>
                <w:szCs w:val="16"/>
              </w:rPr>
              <w:t>506 / 1988</w:t>
            </w:r>
          </w:p>
        </w:tc>
        <w:tc>
          <w:tcPr>
            <w:tcW w:w="952" w:type="dxa"/>
            <w:tcBorders>
              <w:top w:val="single" w:sz="6" w:space="0" w:color="auto"/>
              <w:left w:val="single" w:sz="6" w:space="0" w:color="auto"/>
              <w:bottom w:val="single" w:sz="6" w:space="0" w:color="auto"/>
              <w:right w:val="single" w:sz="6" w:space="0" w:color="auto"/>
            </w:tcBorders>
            <w:vAlign w:val="bottom"/>
            <w:hideMark/>
          </w:tcPr>
          <w:p w14:paraId="048D8BA7" w14:textId="77777777" w:rsidR="00FC5566" w:rsidRPr="00FC5566" w:rsidRDefault="00FC5566" w:rsidP="00FC5566">
            <w:pPr>
              <w:autoSpaceDE w:val="0"/>
              <w:autoSpaceDN w:val="0"/>
              <w:adjustRightInd w:val="0"/>
              <w:jc w:val="center"/>
              <w:rPr>
                <w:bCs/>
                <w:sz w:val="16"/>
                <w:szCs w:val="16"/>
              </w:rPr>
            </w:pPr>
            <w:r w:rsidRPr="00FC5566">
              <w:rPr>
                <w:bCs/>
                <w:sz w:val="16"/>
                <w:szCs w:val="16"/>
              </w:rPr>
              <w:t>-</w:t>
            </w:r>
          </w:p>
        </w:tc>
        <w:tc>
          <w:tcPr>
            <w:tcW w:w="832" w:type="dxa"/>
            <w:tcBorders>
              <w:top w:val="single" w:sz="6" w:space="0" w:color="auto"/>
              <w:left w:val="single" w:sz="6" w:space="0" w:color="auto"/>
              <w:bottom w:val="single" w:sz="6" w:space="0" w:color="auto"/>
              <w:right w:val="double" w:sz="6" w:space="0" w:color="auto"/>
            </w:tcBorders>
            <w:vAlign w:val="bottom"/>
          </w:tcPr>
          <w:p w14:paraId="4533279C" w14:textId="77777777" w:rsidR="00FC5566" w:rsidRPr="00FC5566" w:rsidRDefault="00FC5566" w:rsidP="00FC5566">
            <w:pPr>
              <w:autoSpaceDE w:val="0"/>
              <w:autoSpaceDN w:val="0"/>
              <w:adjustRightInd w:val="0"/>
              <w:jc w:val="center"/>
              <w:rPr>
                <w:bCs/>
                <w:sz w:val="16"/>
                <w:szCs w:val="16"/>
              </w:rPr>
            </w:pPr>
          </w:p>
        </w:tc>
      </w:tr>
      <w:tr w:rsidR="00FC5566" w:rsidRPr="00FC5566" w14:paraId="3F6BE001" w14:textId="77777777" w:rsidTr="00B247D5">
        <w:trPr>
          <w:cantSplit/>
          <w:jc w:val="center"/>
        </w:trPr>
        <w:tc>
          <w:tcPr>
            <w:tcW w:w="990" w:type="dxa"/>
            <w:tcBorders>
              <w:top w:val="single" w:sz="6" w:space="0" w:color="auto"/>
              <w:left w:val="double" w:sz="6" w:space="0" w:color="auto"/>
              <w:bottom w:val="single" w:sz="6" w:space="0" w:color="auto"/>
              <w:right w:val="single" w:sz="6" w:space="0" w:color="auto"/>
            </w:tcBorders>
            <w:vAlign w:val="bottom"/>
            <w:hideMark/>
          </w:tcPr>
          <w:p w14:paraId="0B7AF183" w14:textId="77777777" w:rsidR="00FC5566" w:rsidRPr="00FC5566" w:rsidRDefault="00FC5566" w:rsidP="00FC5566">
            <w:pPr>
              <w:autoSpaceDE w:val="0"/>
              <w:autoSpaceDN w:val="0"/>
              <w:adjustRightInd w:val="0"/>
              <w:ind w:left="61" w:right="19"/>
              <w:rPr>
                <w:bCs/>
                <w:sz w:val="16"/>
                <w:szCs w:val="16"/>
              </w:rPr>
            </w:pPr>
            <w:r w:rsidRPr="00FC5566">
              <w:rPr>
                <w:bCs/>
                <w:sz w:val="16"/>
                <w:szCs w:val="16"/>
              </w:rPr>
              <w:t>1/5/1995 to 5/31/1998</w:t>
            </w:r>
          </w:p>
        </w:tc>
        <w:tc>
          <w:tcPr>
            <w:tcW w:w="720" w:type="dxa"/>
            <w:tcBorders>
              <w:top w:val="single" w:sz="6" w:space="0" w:color="auto"/>
              <w:left w:val="single" w:sz="6" w:space="0" w:color="auto"/>
              <w:bottom w:val="single" w:sz="6" w:space="0" w:color="auto"/>
              <w:right w:val="single" w:sz="6" w:space="0" w:color="auto"/>
            </w:tcBorders>
            <w:vAlign w:val="bottom"/>
            <w:hideMark/>
          </w:tcPr>
          <w:p w14:paraId="068FF1E1" w14:textId="77777777" w:rsidR="00FC5566" w:rsidRPr="00FC5566" w:rsidRDefault="00FC5566" w:rsidP="00FC5566">
            <w:pPr>
              <w:autoSpaceDE w:val="0"/>
              <w:autoSpaceDN w:val="0"/>
              <w:adjustRightInd w:val="0"/>
              <w:jc w:val="center"/>
              <w:rPr>
                <w:bCs/>
                <w:sz w:val="16"/>
                <w:szCs w:val="16"/>
              </w:rPr>
            </w:pPr>
            <w:r w:rsidRPr="00FC5566">
              <w:rPr>
                <w:bCs/>
                <w:sz w:val="16"/>
                <w:szCs w:val="16"/>
              </w:rPr>
              <w:t>1994</w:t>
            </w:r>
          </w:p>
        </w:tc>
        <w:tc>
          <w:tcPr>
            <w:tcW w:w="630" w:type="dxa"/>
            <w:tcBorders>
              <w:top w:val="single" w:sz="6" w:space="0" w:color="auto"/>
              <w:left w:val="single" w:sz="6" w:space="0" w:color="auto"/>
              <w:bottom w:val="single" w:sz="6" w:space="0" w:color="auto"/>
              <w:right w:val="single" w:sz="6" w:space="0" w:color="auto"/>
            </w:tcBorders>
            <w:vAlign w:val="bottom"/>
          </w:tcPr>
          <w:p w14:paraId="5B3EFC8F" w14:textId="77777777" w:rsidR="00FC5566" w:rsidRPr="00FC5566" w:rsidRDefault="00FC5566" w:rsidP="00FC5566">
            <w:pPr>
              <w:autoSpaceDE w:val="0"/>
              <w:autoSpaceDN w:val="0"/>
              <w:adjustRightInd w:val="0"/>
              <w:jc w:val="center"/>
              <w:rPr>
                <w:bCs/>
                <w:sz w:val="16"/>
                <w:szCs w:val="16"/>
              </w:rPr>
            </w:pPr>
          </w:p>
        </w:tc>
        <w:tc>
          <w:tcPr>
            <w:tcW w:w="1013" w:type="dxa"/>
            <w:tcBorders>
              <w:top w:val="single" w:sz="6" w:space="0" w:color="auto"/>
              <w:left w:val="single" w:sz="6" w:space="0" w:color="auto"/>
              <w:bottom w:val="single" w:sz="6" w:space="0" w:color="auto"/>
              <w:right w:val="single" w:sz="6" w:space="0" w:color="auto"/>
            </w:tcBorders>
            <w:vAlign w:val="bottom"/>
            <w:hideMark/>
          </w:tcPr>
          <w:p w14:paraId="1A6BE027" w14:textId="77777777" w:rsidR="00FC5566" w:rsidRPr="00FC5566" w:rsidRDefault="00FC5566" w:rsidP="00FC5566">
            <w:pPr>
              <w:autoSpaceDE w:val="0"/>
              <w:autoSpaceDN w:val="0"/>
              <w:adjustRightInd w:val="0"/>
              <w:jc w:val="center"/>
              <w:rPr>
                <w:bCs/>
                <w:sz w:val="16"/>
                <w:szCs w:val="16"/>
              </w:rPr>
            </w:pPr>
            <w:r w:rsidRPr="00FC5566">
              <w:rPr>
                <w:bCs/>
                <w:sz w:val="16"/>
                <w:szCs w:val="16"/>
              </w:rPr>
              <w:t>506 / 1991</w:t>
            </w:r>
          </w:p>
        </w:tc>
        <w:tc>
          <w:tcPr>
            <w:tcW w:w="952" w:type="dxa"/>
            <w:tcBorders>
              <w:top w:val="single" w:sz="6" w:space="0" w:color="auto"/>
              <w:left w:val="single" w:sz="6" w:space="0" w:color="auto"/>
              <w:bottom w:val="single" w:sz="6" w:space="0" w:color="auto"/>
              <w:right w:val="single" w:sz="6" w:space="0" w:color="auto"/>
            </w:tcBorders>
            <w:vAlign w:val="bottom"/>
            <w:hideMark/>
          </w:tcPr>
          <w:p w14:paraId="378308B7" w14:textId="77777777" w:rsidR="00FC5566" w:rsidRPr="00FC5566" w:rsidRDefault="00FC5566" w:rsidP="00FC5566">
            <w:pPr>
              <w:autoSpaceDE w:val="0"/>
              <w:autoSpaceDN w:val="0"/>
              <w:adjustRightInd w:val="0"/>
              <w:jc w:val="center"/>
              <w:rPr>
                <w:bCs/>
                <w:sz w:val="16"/>
                <w:szCs w:val="16"/>
              </w:rPr>
            </w:pPr>
            <w:r w:rsidRPr="00FC5566">
              <w:rPr>
                <w:bCs/>
                <w:sz w:val="16"/>
                <w:szCs w:val="16"/>
              </w:rPr>
              <w:t>-</w:t>
            </w:r>
          </w:p>
        </w:tc>
        <w:tc>
          <w:tcPr>
            <w:tcW w:w="832" w:type="dxa"/>
            <w:tcBorders>
              <w:top w:val="single" w:sz="6" w:space="0" w:color="auto"/>
              <w:left w:val="single" w:sz="6" w:space="0" w:color="auto"/>
              <w:bottom w:val="single" w:sz="6" w:space="0" w:color="auto"/>
              <w:right w:val="double" w:sz="6" w:space="0" w:color="auto"/>
            </w:tcBorders>
            <w:vAlign w:val="bottom"/>
          </w:tcPr>
          <w:p w14:paraId="38F23870" w14:textId="77777777" w:rsidR="00FC5566" w:rsidRPr="00FC5566" w:rsidRDefault="00FC5566" w:rsidP="00FC5566">
            <w:pPr>
              <w:autoSpaceDE w:val="0"/>
              <w:autoSpaceDN w:val="0"/>
              <w:adjustRightInd w:val="0"/>
              <w:jc w:val="center"/>
              <w:rPr>
                <w:bCs/>
                <w:sz w:val="16"/>
                <w:szCs w:val="16"/>
              </w:rPr>
            </w:pPr>
          </w:p>
        </w:tc>
      </w:tr>
      <w:tr w:rsidR="00FC5566" w:rsidRPr="00FC5566" w14:paraId="76EE44B3" w14:textId="77777777" w:rsidTr="00B247D5">
        <w:trPr>
          <w:cantSplit/>
          <w:jc w:val="center"/>
        </w:trPr>
        <w:tc>
          <w:tcPr>
            <w:tcW w:w="990" w:type="dxa"/>
            <w:tcBorders>
              <w:top w:val="single" w:sz="6" w:space="0" w:color="auto"/>
              <w:left w:val="double" w:sz="6" w:space="0" w:color="auto"/>
              <w:bottom w:val="single" w:sz="6" w:space="0" w:color="auto"/>
              <w:right w:val="single" w:sz="6" w:space="0" w:color="auto"/>
            </w:tcBorders>
            <w:vAlign w:val="bottom"/>
            <w:hideMark/>
          </w:tcPr>
          <w:p w14:paraId="287D4C7F" w14:textId="77777777" w:rsidR="00FC5566" w:rsidRPr="00FC5566" w:rsidRDefault="00FC5566" w:rsidP="00FC5566">
            <w:pPr>
              <w:autoSpaceDE w:val="0"/>
              <w:autoSpaceDN w:val="0"/>
              <w:adjustRightInd w:val="0"/>
              <w:ind w:left="61" w:right="19"/>
              <w:rPr>
                <w:bCs/>
                <w:sz w:val="16"/>
                <w:szCs w:val="16"/>
              </w:rPr>
            </w:pPr>
            <w:r w:rsidRPr="00FC5566">
              <w:rPr>
                <w:bCs/>
                <w:sz w:val="16"/>
                <w:szCs w:val="16"/>
              </w:rPr>
              <w:t>6/1/1998 to 6/30/2001</w:t>
            </w:r>
          </w:p>
        </w:tc>
        <w:tc>
          <w:tcPr>
            <w:tcW w:w="720" w:type="dxa"/>
            <w:tcBorders>
              <w:top w:val="single" w:sz="6" w:space="0" w:color="auto"/>
              <w:left w:val="single" w:sz="6" w:space="0" w:color="auto"/>
              <w:bottom w:val="single" w:sz="6" w:space="0" w:color="auto"/>
              <w:right w:val="single" w:sz="6" w:space="0" w:color="auto"/>
            </w:tcBorders>
            <w:vAlign w:val="bottom"/>
            <w:hideMark/>
          </w:tcPr>
          <w:p w14:paraId="69EC7E93" w14:textId="77777777" w:rsidR="00FC5566" w:rsidRPr="00FC5566" w:rsidRDefault="00FC5566" w:rsidP="00FC5566">
            <w:pPr>
              <w:autoSpaceDE w:val="0"/>
              <w:autoSpaceDN w:val="0"/>
              <w:adjustRightInd w:val="0"/>
              <w:jc w:val="center"/>
              <w:rPr>
                <w:bCs/>
                <w:sz w:val="16"/>
                <w:szCs w:val="16"/>
              </w:rPr>
            </w:pPr>
            <w:r w:rsidRPr="00FC5566">
              <w:rPr>
                <w:bCs/>
                <w:sz w:val="16"/>
                <w:szCs w:val="16"/>
              </w:rPr>
              <w:t>1997</w:t>
            </w:r>
          </w:p>
        </w:tc>
        <w:tc>
          <w:tcPr>
            <w:tcW w:w="630" w:type="dxa"/>
            <w:tcBorders>
              <w:top w:val="single" w:sz="6" w:space="0" w:color="auto"/>
              <w:left w:val="single" w:sz="6" w:space="0" w:color="auto"/>
              <w:bottom w:val="single" w:sz="6" w:space="0" w:color="auto"/>
              <w:right w:val="single" w:sz="6" w:space="0" w:color="auto"/>
            </w:tcBorders>
            <w:vAlign w:val="bottom"/>
          </w:tcPr>
          <w:p w14:paraId="30C0B075" w14:textId="77777777" w:rsidR="00FC5566" w:rsidRPr="00FC5566" w:rsidRDefault="00FC5566" w:rsidP="00FC5566">
            <w:pPr>
              <w:autoSpaceDE w:val="0"/>
              <w:autoSpaceDN w:val="0"/>
              <w:adjustRightInd w:val="0"/>
              <w:jc w:val="center"/>
              <w:rPr>
                <w:bCs/>
                <w:sz w:val="16"/>
                <w:szCs w:val="16"/>
              </w:rPr>
            </w:pPr>
          </w:p>
        </w:tc>
        <w:tc>
          <w:tcPr>
            <w:tcW w:w="1013" w:type="dxa"/>
            <w:tcBorders>
              <w:top w:val="single" w:sz="6" w:space="0" w:color="auto"/>
              <w:left w:val="single" w:sz="6" w:space="0" w:color="auto"/>
              <w:bottom w:val="single" w:sz="6" w:space="0" w:color="auto"/>
              <w:right w:val="single" w:sz="6" w:space="0" w:color="auto"/>
            </w:tcBorders>
            <w:vAlign w:val="bottom"/>
            <w:hideMark/>
          </w:tcPr>
          <w:p w14:paraId="6B3E5749" w14:textId="77777777" w:rsidR="00FC5566" w:rsidRPr="00FC5566" w:rsidRDefault="00FC5566" w:rsidP="00FC5566">
            <w:pPr>
              <w:autoSpaceDE w:val="0"/>
              <w:autoSpaceDN w:val="0"/>
              <w:adjustRightInd w:val="0"/>
              <w:jc w:val="center"/>
              <w:rPr>
                <w:bCs/>
                <w:sz w:val="16"/>
                <w:szCs w:val="16"/>
              </w:rPr>
            </w:pPr>
            <w:r w:rsidRPr="00FC5566">
              <w:rPr>
                <w:bCs/>
                <w:sz w:val="16"/>
                <w:szCs w:val="16"/>
              </w:rPr>
              <w:t>412 / 1994</w:t>
            </w:r>
          </w:p>
        </w:tc>
        <w:tc>
          <w:tcPr>
            <w:tcW w:w="952" w:type="dxa"/>
            <w:tcBorders>
              <w:top w:val="single" w:sz="6" w:space="0" w:color="auto"/>
              <w:left w:val="single" w:sz="6" w:space="0" w:color="auto"/>
              <w:bottom w:val="single" w:sz="6" w:space="0" w:color="auto"/>
              <w:right w:val="single" w:sz="6" w:space="0" w:color="auto"/>
            </w:tcBorders>
            <w:vAlign w:val="bottom"/>
            <w:hideMark/>
          </w:tcPr>
          <w:p w14:paraId="51A7831B" w14:textId="77777777" w:rsidR="00FC5566" w:rsidRPr="00FC5566" w:rsidRDefault="00FC5566" w:rsidP="00FC5566">
            <w:pPr>
              <w:autoSpaceDE w:val="0"/>
              <w:autoSpaceDN w:val="0"/>
              <w:adjustRightInd w:val="0"/>
              <w:jc w:val="center"/>
              <w:rPr>
                <w:bCs/>
                <w:sz w:val="16"/>
                <w:szCs w:val="16"/>
              </w:rPr>
            </w:pPr>
            <w:r w:rsidRPr="00FC5566">
              <w:rPr>
                <w:bCs/>
                <w:sz w:val="16"/>
                <w:szCs w:val="16"/>
              </w:rPr>
              <w:t>-</w:t>
            </w:r>
          </w:p>
        </w:tc>
        <w:tc>
          <w:tcPr>
            <w:tcW w:w="832" w:type="dxa"/>
            <w:tcBorders>
              <w:top w:val="single" w:sz="6" w:space="0" w:color="auto"/>
              <w:left w:val="single" w:sz="6" w:space="0" w:color="auto"/>
              <w:bottom w:val="single" w:sz="6" w:space="0" w:color="auto"/>
              <w:right w:val="double" w:sz="6" w:space="0" w:color="auto"/>
            </w:tcBorders>
            <w:vAlign w:val="bottom"/>
          </w:tcPr>
          <w:p w14:paraId="225D78C1" w14:textId="77777777" w:rsidR="00FC5566" w:rsidRPr="00FC5566" w:rsidRDefault="00FC5566" w:rsidP="00FC5566">
            <w:pPr>
              <w:autoSpaceDE w:val="0"/>
              <w:autoSpaceDN w:val="0"/>
              <w:adjustRightInd w:val="0"/>
              <w:jc w:val="center"/>
              <w:rPr>
                <w:bCs/>
                <w:sz w:val="16"/>
                <w:szCs w:val="16"/>
              </w:rPr>
            </w:pPr>
          </w:p>
        </w:tc>
      </w:tr>
      <w:tr w:rsidR="00FC5566" w:rsidRPr="00FC5566" w14:paraId="1F891801" w14:textId="77777777" w:rsidTr="00B247D5">
        <w:trPr>
          <w:cantSplit/>
          <w:jc w:val="center"/>
        </w:trPr>
        <w:tc>
          <w:tcPr>
            <w:tcW w:w="990" w:type="dxa"/>
            <w:tcBorders>
              <w:top w:val="single" w:sz="6" w:space="0" w:color="auto"/>
              <w:left w:val="double" w:sz="6" w:space="0" w:color="auto"/>
              <w:bottom w:val="single" w:sz="6" w:space="0" w:color="auto"/>
              <w:right w:val="single" w:sz="6" w:space="0" w:color="auto"/>
            </w:tcBorders>
            <w:vAlign w:val="bottom"/>
            <w:hideMark/>
          </w:tcPr>
          <w:p w14:paraId="2DCE76E6" w14:textId="77777777" w:rsidR="00FC5566" w:rsidRPr="00FC5566" w:rsidRDefault="00FC5566" w:rsidP="00FC5566">
            <w:pPr>
              <w:autoSpaceDE w:val="0"/>
              <w:autoSpaceDN w:val="0"/>
              <w:adjustRightInd w:val="0"/>
              <w:ind w:left="61" w:right="19"/>
              <w:rPr>
                <w:bCs/>
                <w:sz w:val="16"/>
                <w:szCs w:val="16"/>
              </w:rPr>
            </w:pPr>
            <w:r w:rsidRPr="00FC5566">
              <w:rPr>
                <w:bCs/>
                <w:sz w:val="16"/>
                <w:szCs w:val="16"/>
              </w:rPr>
              <w:t>7/1/2001 to 12/31/2001</w:t>
            </w:r>
          </w:p>
        </w:tc>
        <w:tc>
          <w:tcPr>
            <w:tcW w:w="720" w:type="dxa"/>
            <w:tcBorders>
              <w:top w:val="single" w:sz="6" w:space="0" w:color="auto"/>
              <w:left w:val="single" w:sz="6" w:space="0" w:color="auto"/>
              <w:bottom w:val="single" w:sz="6" w:space="0" w:color="auto"/>
              <w:right w:val="single" w:sz="6" w:space="0" w:color="auto"/>
            </w:tcBorders>
            <w:vAlign w:val="bottom"/>
            <w:hideMark/>
          </w:tcPr>
          <w:p w14:paraId="64B4105F" w14:textId="77777777" w:rsidR="00FC5566" w:rsidRPr="00FC5566" w:rsidRDefault="00FC5566" w:rsidP="00FC5566">
            <w:pPr>
              <w:autoSpaceDE w:val="0"/>
              <w:autoSpaceDN w:val="0"/>
              <w:adjustRightInd w:val="0"/>
              <w:jc w:val="center"/>
              <w:rPr>
                <w:bCs/>
                <w:sz w:val="16"/>
                <w:szCs w:val="16"/>
              </w:rPr>
            </w:pPr>
            <w:r w:rsidRPr="00FC5566">
              <w:rPr>
                <w:bCs/>
                <w:sz w:val="16"/>
                <w:szCs w:val="16"/>
              </w:rPr>
              <w:t>2000</w:t>
            </w:r>
          </w:p>
        </w:tc>
        <w:tc>
          <w:tcPr>
            <w:tcW w:w="630" w:type="dxa"/>
            <w:tcBorders>
              <w:top w:val="single" w:sz="6" w:space="0" w:color="auto"/>
              <w:left w:val="single" w:sz="6" w:space="0" w:color="auto"/>
              <w:bottom w:val="single" w:sz="6" w:space="0" w:color="auto"/>
              <w:right w:val="single" w:sz="6" w:space="0" w:color="auto"/>
            </w:tcBorders>
            <w:vAlign w:val="bottom"/>
          </w:tcPr>
          <w:p w14:paraId="6AE4FCE7" w14:textId="77777777" w:rsidR="00FC5566" w:rsidRPr="00FC5566" w:rsidRDefault="00FC5566" w:rsidP="00FC5566">
            <w:pPr>
              <w:autoSpaceDE w:val="0"/>
              <w:autoSpaceDN w:val="0"/>
              <w:adjustRightInd w:val="0"/>
              <w:jc w:val="center"/>
              <w:rPr>
                <w:bCs/>
                <w:sz w:val="16"/>
                <w:szCs w:val="16"/>
              </w:rPr>
            </w:pPr>
          </w:p>
        </w:tc>
        <w:tc>
          <w:tcPr>
            <w:tcW w:w="1013" w:type="dxa"/>
            <w:tcBorders>
              <w:top w:val="single" w:sz="6" w:space="0" w:color="auto"/>
              <w:left w:val="single" w:sz="6" w:space="0" w:color="auto"/>
              <w:bottom w:val="single" w:sz="6" w:space="0" w:color="auto"/>
              <w:right w:val="single" w:sz="6" w:space="0" w:color="auto"/>
            </w:tcBorders>
            <w:vAlign w:val="bottom"/>
            <w:hideMark/>
          </w:tcPr>
          <w:p w14:paraId="6DC71570" w14:textId="77777777" w:rsidR="00FC5566" w:rsidRPr="00FC5566" w:rsidRDefault="00FC5566" w:rsidP="00FC5566">
            <w:pPr>
              <w:autoSpaceDE w:val="0"/>
              <w:autoSpaceDN w:val="0"/>
              <w:adjustRightInd w:val="0"/>
              <w:jc w:val="center"/>
              <w:rPr>
                <w:bCs/>
                <w:sz w:val="16"/>
                <w:szCs w:val="16"/>
              </w:rPr>
            </w:pPr>
            <w:r w:rsidRPr="00FC5566">
              <w:rPr>
                <w:bCs/>
                <w:sz w:val="16"/>
                <w:szCs w:val="16"/>
              </w:rPr>
              <w:t>412 / 1994</w:t>
            </w:r>
          </w:p>
        </w:tc>
        <w:tc>
          <w:tcPr>
            <w:tcW w:w="952" w:type="dxa"/>
            <w:tcBorders>
              <w:top w:val="single" w:sz="6" w:space="0" w:color="auto"/>
              <w:left w:val="single" w:sz="6" w:space="0" w:color="auto"/>
              <w:bottom w:val="single" w:sz="6" w:space="0" w:color="auto"/>
              <w:right w:val="single" w:sz="6" w:space="0" w:color="auto"/>
            </w:tcBorders>
            <w:vAlign w:val="bottom"/>
            <w:hideMark/>
          </w:tcPr>
          <w:p w14:paraId="098E5CB5" w14:textId="77777777" w:rsidR="00FC5566" w:rsidRPr="00FC5566" w:rsidRDefault="00FC5566" w:rsidP="00FC5566">
            <w:pPr>
              <w:autoSpaceDE w:val="0"/>
              <w:autoSpaceDN w:val="0"/>
              <w:adjustRightInd w:val="0"/>
              <w:jc w:val="center"/>
              <w:rPr>
                <w:bCs/>
                <w:sz w:val="16"/>
                <w:szCs w:val="16"/>
              </w:rPr>
            </w:pPr>
            <w:r w:rsidRPr="00FC5566">
              <w:rPr>
                <w:bCs/>
                <w:sz w:val="16"/>
                <w:szCs w:val="16"/>
              </w:rPr>
              <w:t>-</w:t>
            </w:r>
          </w:p>
        </w:tc>
        <w:tc>
          <w:tcPr>
            <w:tcW w:w="832" w:type="dxa"/>
            <w:tcBorders>
              <w:top w:val="single" w:sz="6" w:space="0" w:color="auto"/>
              <w:left w:val="single" w:sz="6" w:space="0" w:color="auto"/>
              <w:bottom w:val="single" w:sz="6" w:space="0" w:color="auto"/>
              <w:right w:val="double" w:sz="6" w:space="0" w:color="auto"/>
            </w:tcBorders>
            <w:vAlign w:val="bottom"/>
          </w:tcPr>
          <w:p w14:paraId="35873856" w14:textId="77777777" w:rsidR="00FC5566" w:rsidRPr="00FC5566" w:rsidRDefault="00FC5566" w:rsidP="00FC5566">
            <w:pPr>
              <w:autoSpaceDE w:val="0"/>
              <w:autoSpaceDN w:val="0"/>
              <w:adjustRightInd w:val="0"/>
              <w:jc w:val="center"/>
              <w:rPr>
                <w:bCs/>
                <w:sz w:val="16"/>
                <w:szCs w:val="16"/>
              </w:rPr>
            </w:pPr>
          </w:p>
        </w:tc>
      </w:tr>
      <w:tr w:rsidR="00FC5566" w:rsidRPr="00FC5566" w14:paraId="1493BB22" w14:textId="77777777" w:rsidTr="00B247D5">
        <w:trPr>
          <w:cantSplit/>
          <w:jc w:val="center"/>
        </w:trPr>
        <w:tc>
          <w:tcPr>
            <w:tcW w:w="990" w:type="dxa"/>
            <w:tcBorders>
              <w:top w:val="single" w:sz="6" w:space="0" w:color="auto"/>
              <w:left w:val="double" w:sz="6" w:space="0" w:color="auto"/>
              <w:bottom w:val="single" w:sz="6" w:space="0" w:color="auto"/>
              <w:right w:val="single" w:sz="6" w:space="0" w:color="auto"/>
            </w:tcBorders>
            <w:vAlign w:val="bottom"/>
            <w:hideMark/>
          </w:tcPr>
          <w:p w14:paraId="696AB341" w14:textId="77777777" w:rsidR="00FC5566" w:rsidRPr="00FC5566" w:rsidRDefault="00FC5566" w:rsidP="00FC5566">
            <w:pPr>
              <w:autoSpaceDE w:val="0"/>
              <w:autoSpaceDN w:val="0"/>
              <w:adjustRightInd w:val="0"/>
              <w:ind w:left="61" w:right="19"/>
              <w:rPr>
                <w:bCs/>
                <w:sz w:val="16"/>
                <w:szCs w:val="16"/>
              </w:rPr>
            </w:pPr>
            <w:r w:rsidRPr="00FC5566">
              <w:rPr>
                <w:bCs/>
                <w:sz w:val="16"/>
                <w:szCs w:val="16"/>
              </w:rPr>
              <w:t>1/1/2002 to 6/30/2004</w:t>
            </w:r>
          </w:p>
        </w:tc>
        <w:tc>
          <w:tcPr>
            <w:tcW w:w="720" w:type="dxa"/>
            <w:tcBorders>
              <w:top w:val="single" w:sz="6" w:space="0" w:color="auto"/>
              <w:left w:val="single" w:sz="6" w:space="0" w:color="auto"/>
              <w:bottom w:val="single" w:sz="6" w:space="0" w:color="auto"/>
              <w:right w:val="single" w:sz="6" w:space="0" w:color="auto"/>
            </w:tcBorders>
            <w:vAlign w:val="bottom"/>
            <w:hideMark/>
          </w:tcPr>
          <w:p w14:paraId="3D6BBD19" w14:textId="77777777" w:rsidR="00FC5566" w:rsidRPr="00FC5566" w:rsidRDefault="00FC5566" w:rsidP="00FC5566">
            <w:pPr>
              <w:autoSpaceDE w:val="0"/>
              <w:autoSpaceDN w:val="0"/>
              <w:adjustRightInd w:val="0"/>
              <w:jc w:val="center"/>
              <w:rPr>
                <w:bCs/>
                <w:sz w:val="16"/>
                <w:szCs w:val="16"/>
              </w:rPr>
            </w:pPr>
            <w:r w:rsidRPr="00FC5566">
              <w:rPr>
                <w:bCs/>
                <w:sz w:val="16"/>
                <w:szCs w:val="16"/>
              </w:rPr>
              <w:t>2000</w:t>
            </w:r>
          </w:p>
        </w:tc>
        <w:tc>
          <w:tcPr>
            <w:tcW w:w="630" w:type="dxa"/>
            <w:tcBorders>
              <w:top w:val="single" w:sz="6" w:space="0" w:color="auto"/>
              <w:left w:val="single" w:sz="6" w:space="0" w:color="auto"/>
              <w:bottom w:val="single" w:sz="6" w:space="0" w:color="auto"/>
              <w:right w:val="single" w:sz="6" w:space="0" w:color="auto"/>
            </w:tcBorders>
            <w:vAlign w:val="bottom"/>
          </w:tcPr>
          <w:p w14:paraId="694244EA" w14:textId="77777777" w:rsidR="00FC5566" w:rsidRPr="00FC5566" w:rsidRDefault="00FC5566" w:rsidP="00FC5566">
            <w:pPr>
              <w:autoSpaceDE w:val="0"/>
              <w:autoSpaceDN w:val="0"/>
              <w:adjustRightInd w:val="0"/>
              <w:jc w:val="center"/>
              <w:rPr>
                <w:bCs/>
                <w:sz w:val="16"/>
                <w:szCs w:val="16"/>
              </w:rPr>
            </w:pPr>
          </w:p>
        </w:tc>
        <w:tc>
          <w:tcPr>
            <w:tcW w:w="1013" w:type="dxa"/>
            <w:tcBorders>
              <w:top w:val="single" w:sz="6" w:space="0" w:color="auto"/>
              <w:left w:val="single" w:sz="6" w:space="0" w:color="auto"/>
              <w:bottom w:val="single" w:sz="6" w:space="0" w:color="auto"/>
              <w:right w:val="single" w:sz="6" w:space="0" w:color="auto"/>
            </w:tcBorders>
            <w:vAlign w:val="bottom"/>
            <w:hideMark/>
          </w:tcPr>
          <w:p w14:paraId="2E5AC73C" w14:textId="77777777" w:rsidR="00FC5566" w:rsidRPr="00FC5566" w:rsidRDefault="00FC5566" w:rsidP="00FC5566">
            <w:pPr>
              <w:autoSpaceDE w:val="0"/>
              <w:autoSpaceDN w:val="0"/>
              <w:adjustRightInd w:val="0"/>
              <w:jc w:val="center"/>
              <w:rPr>
                <w:bCs/>
                <w:sz w:val="16"/>
                <w:szCs w:val="16"/>
              </w:rPr>
            </w:pPr>
            <w:r w:rsidRPr="00FC5566">
              <w:rPr>
                <w:bCs/>
                <w:sz w:val="16"/>
                <w:szCs w:val="16"/>
              </w:rPr>
              <w:t>412 / 1997</w:t>
            </w:r>
          </w:p>
        </w:tc>
        <w:tc>
          <w:tcPr>
            <w:tcW w:w="952" w:type="dxa"/>
            <w:tcBorders>
              <w:top w:val="single" w:sz="6" w:space="0" w:color="auto"/>
              <w:left w:val="single" w:sz="6" w:space="0" w:color="auto"/>
              <w:bottom w:val="single" w:sz="6" w:space="0" w:color="auto"/>
              <w:right w:val="single" w:sz="6" w:space="0" w:color="auto"/>
            </w:tcBorders>
            <w:vAlign w:val="bottom"/>
            <w:hideMark/>
          </w:tcPr>
          <w:p w14:paraId="6B9A16CB" w14:textId="77777777" w:rsidR="00FC5566" w:rsidRPr="00FC5566" w:rsidRDefault="00FC5566" w:rsidP="00FC5566">
            <w:pPr>
              <w:autoSpaceDE w:val="0"/>
              <w:autoSpaceDN w:val="0"/>
              <w:adjustRightInd w:val="0"/>
              <w:jc w:val="center"/>
              <w:rPr>
                <w:bCs/>
                <w:sz w:val="16"/>
                <w:szCs w:val="16"/>
              </w:rPr>
            </w:pPr>
            <w:r w:rsidRPr="00FC5566">
              <w:rPr>
                <w:bCs/>
                <w:sz w:val="16"/>
                <w:szCs w:val="16"/>
              </w:rPr>
              <w:t>-</w:t>
            </w:r>
          </w:p>
        </w:tc>
        <w:tc>
          <w:tcPr>
            <w:tcW w:w="832" w:type="dxa"/>
            <w:tcBorders>
              <w:top w:val="single" w:sz="6" w:space="0" w:color="auto"/>
              <w:left w:val="single" w:sz="6" w:space="0" w:color="auto"/>
              <w:bottom w:val="single" w:sz="6" w:space="0" w:color="auto"/>
              <w:right w:val="double" w:sz="6" w:space="0" w:color="auto"/>
            </w:tcBorders>
            <w:vAlign w:val="bottom"/>
          </w:tcPr>
          <w:p w14:paraId="11696D53" w14:textId="77777777" w:rsidR="00FC5566" w:rsidRPr="00FC5566" w:rsidRDefault="00FC5566" w:rsidP="00FC5566">
            <w:pPr>
              <w:autoSpaceDE w:val="0"/>
              <w:autoSpaceDN w:val="0"/>
              <w:adjustRightInd w:val="0"/>
              <w:jc w:val="center"/>
              <w:rPr>
                <w:bCs/>
                <w:sz w:val="16"/>
                <w:szCs w:val="16"/>
              </w:rPr>
            </w:pPr>
          </w:p>
        </w:tc>
      </w:tr>
      <w:tr w:rsidR="00FC5566" w:rsidRPr="00FC5566" w14:paraId="2E9BD52F" w14:textId="77777777" w:rsidTr="00B247D5">
        <w:trPr>
          <w:cantSplit/>
          <w:jc w:val="center"/>
        </w:trPr>
        <w:tc>
          <w:tcPr>
            <w:tcW w:w="990" w:type="dxa"/>
            <w:tcBorders>
              <w:top w:val="single" w:sz="6" w:space="0" w:color="auto"/>
              <w:left w:val="double" w:sz="6" w:space="0" w:color="auto"/>
              <w:bottom w:val="single" w:sz="6" w:space="0" w:color="auto"/>
              <w:right w:val="single" w:sz="6" w:space="0" w:color="auto"/>
            </w:tcBorders>
            <w:vAlign w:val="bottom"/>
            <w:hideMark/>
          </w:tcPr>
          <w:p w14:paraId="027EC0C0" w14:textId="77777777" w:rsidR="00FC5566" w:rsidRPr="00FC5566" w:rsidRDefault="00FC5566" w:rsidP="00FC5566">
            <w:pPr>
              <w:autoSpaceDE w:val="0"/>
              <w:autoSpaceDN w:val="0"/>
              <w:adjustRightInd w:val="0"/>
              <w:ind w:left="61" w:right="19"/>
              <w:rPr>
                <w:bCs/>
                <w:sz w:val="16"/>
                <w:szCs w:val="16"/>
              </w:rPr>
            </w:pPr>
            <w:r w:rsidRPr="00FC5566">
              <w:rPr>
                <w:bCs/>
                <w:sz w:val="16"/>
                <w:szCs w:val="16"/>
              </w:rPr>
              <w:t>7/1/2004 to 9/30/2007</w:t>
            </w:r>
          </w:p>
        </w:tc>
        <w:tc>
          <w:tcPr>
            <w:tcW w:w="720" w:type="dxa"/>
            <w:tcBorders>
              <w:top w:val="single" w:sz="6" w:space="0" w:color="auto"/>
              <w:left w:val="single" w:sz="6" w:space="0" w:color="auto"/>
              <w:bottom w:val="single" w:sz="6" w:space="0" w:color="auto"/>
              <w:right w:val="single" w:sz="6" w:space="0" w:color="auto"/>
            </w:tcBorders>
            <w:vAlign w:val="bottom"/>
            <w:hideMark/>
          </w:tcPr>
          <w:p w14:paraId="53B53E78" w14:textId="77777777" w:rsidR="00FC5566" w:rsidRPr="00FC5566" w:rsidRDefault="00FC5566" w:rsidP="00FC5566">
            <w:pPr>
              <w:autoSpaceDE w:val="0"/>
              <w:autoSpaceDN w:val="0"/>
              <w:adjustRightInd w:val="0"/>
              <w:jc w:val="center"/>
              <w:rPr>
                <w:bCs/>
                <w:sz w:val="16"/>
                <w:szCs w:val="16"/>
              </w:rPr>
            </w:pPr>
            <w:r w:rsidRPr="00FC5566">
              <w:rPr>
                <w:bCs/>
                <w:sz w:val="16"/>
                <w:szCs w:val="16"/>
              </w:rPr>
              <w:t>2003</w:t>
            </w:r>
          </w:p>
        </w:tc>
        <w:tc>
          <w:tcPr>
            <w:tcW w:w="630" w:type="dxa"/>
            <w:tcBorders>
              <w:top w:val="single" w:sz="6" w:space="0" w:color="auto"/>
              <w:left w:val="single" w:sz="6" w:space="0" w:color="auto"/>
              <w:bottom w:val="single" w:sz="6" w:space="0" w:color="auto"/>
              <w:right w:val="single" w:sz="6" w:space="0" w:color="auto"/>
            </w:tcBorders>
            <w:vAlign w:val="bottom"/>
          </w:tcPr>
          <w:p w14:paraId="6B2A6EB0" w14:textId="77777777" w:rsidR="00FC5566" w:rsidRPr="00FC5566" w:rsidRDefault="00FC5566" w:rsidP="00FC5566">
            <w:pPr>
              <w:autoSpaceDE w:val="0"/>
              <w:autoSpaceDN w:val="0"/>
              <w:adjustRightInd w:val="0"/>
              <w:jc w:val="center"/>
              <w:rPr>
                <w:bCs/>
                <w:sz w:val="16"/>
                <w:szCs w:val="16"/>
              </w:rPr>
            </w:pPr>
          </w:p>
        </w:tc>
        <w:tc>
          <w:tcPr>
            <w:tcW w:w="1013" w:type="dxa"/>
            <w:tcBorders>
              <w:top w:val="single" w:sz="6" w:space="0" w:color="auto"/>
              <w:left w:val="single" w:sz="6" w:space="0" w:color="auto"/>
              <w:bottom w:val="single" w:sz="6" w:space="0" w:color="auto"/>
              <w:right w:val="single" w:sz="6" w:space="0" w:color="auto"/>
            </w:tcBorders>
            <w:vAlign w:val="bottom"/>
            <w:hideMark/>
          </w:tcPr>
          <w:p w14:paraId="55E558C3" w14:textId="77777777" w:rsidR="00FC5566" w:rsidRPr="00FC5566" w:rsidRDefault="00FC5566" w:rsidP="00FC5566">
            <w:pPr>
              <w:autoSpaceDE w:val="0"/>
              <w:autoSpaceDN w:val="0"/>
              <w:adjustRightInd w:val="0"/>
              <w:jc w:val="center"/>
              <w:rPr>
                <w:bCs/>
                <w:sz w:val="16"/>
                <w:szCs w:val="16"/>
              </w:rPr>
            </w:pPr>
            <w:r w:rsidRPr="00FC5566">
              <w:rPr>
                <w:bCs/>
                <w:sz w:val="16"/>
                <w:szCs w:val="16"/>
              </w:rPr>
              <w:t>-</w:t>
            </w:r>
          </w:p>
        </w:tc>
        <w:tc>
          <w:tcPr>
            <w:tcW w:w="952" w:type="dxa"/>
            <w:tcBorders>
              <w:top w:val="single" w:sz="6" w:space="0" w:color="auto"/>
              <w:left w:val="single" w:sz="6" w:space="0" w:color="auto"/>
              <w:bottom w:val="single" w:sz="6" w:space="0" w:color="auto"/>
              <w:right w:val="single" w:sz="6" w:space="0" w:color="auto"/>
            </w:tcBorders>
            <w:vAlign w:val="bottom"/>
            <w:hideMark/>
          </w:tcPr>
          <w:p w14:paraId="5A8B105F" w14:textId="77777777" w:rsidR="00FC5566" w:rsidRPr="00FC5566" w:rsidRDefault="00FC5566" w:rsidP="00FC5566">
            <w:pPr>
              <w:autoSpaceDE w:val="0"/>
              <w:autoSpaceDN w:val="0"/>
              <w:adjustRightInd w:val="0"/>
              <w:jc w:val="center"/>
              <w:rPr>
                <w:bCs/>
                <w:sz w:val="16"/>
                <w:szCs w:val="16"/>
              </w:rPr>
            </w:pPr>
            <w:r w:rsidRPr="00FC5566">
              <w:rPr>
                <w:bCs/>
                <w:sz w:val="16"/>
                <w:szCs w:val="16"/>
              </w:rPr>
              <w:t>-</w:t>
            </w:r>
          </w:p>
        </w:tc>
        <w:tc>
          <w:tcPr>
            <w:tcW w:w="832" w:type="dxa"/>
            <w:tcBorders>
              <w:top w:val="single" w:sz="6" w:space="0" w:color="auto"/>
              <w:left w:val="single" w:sz="6" w:space="0" w:color="auto"/>
              <w:bottom w:val="single" w:sz="6" w:space="0" w:color="auto"/>
              <w:right w:val="double" w:sz="6" w:space="0" w:color="auto"/>
            </w:tcBorders>
            <w:vAlign w:val="bottom"/>
          </w:tcPr>
          <w:p w14:paraId="23FFFD0E" w14:textId="77777777" w:rsidR="00FC5566" w:rsidRPr="00FC5566" w:rsidRDefault="00FC5566" w:rsidP="00FC5566">
            <w:pPr>
              <w:autoSpaceDE w:val="0"/>
              <w:autoSpaceDN w:val="0"/>
              <w:adjustRightInd w:val="0"/>
              <w:jc w:val="center"/>
              <w:rPr>
                <w:bCs/>
                <w:sz w:val="16"/>
                <w:szCs w:val="16"/>
              </w:rPr>
            </w:pPr>
          </w:p>
        </w:tc>
      </w:tr>
      <w:tr w:rsidR="00FC5566" w:rsidRPr="00FC5566" w14:paraId="542D302C" w14:textId="77777777" w:rsidTr="00B247D5">
        <w:trPr>
          <w:cantSplit/>
          <w:jc w:val="center"/>
        </w:trPr>
        <w:tc>
          <w:tcPr>
            <w:tcW w:w="990" w:type="dxa"/>
            <w:tcBorders>
              <w:top w:val="single" w:sz="6" w:space="0" w:color="auto"/>
              <w:left w:val="double" w:sz="6" w:space="0" w:color="auto"/>
              <w:bottom w:val="single" w:sz="6" w:space="0" w:color="auto"/>
              <w:right w:val="single" w:sz="6" w:space="0" w:color="auto"/>
            </w:tcBorders>
            <w:vAlign w:val="bottom"/>
            <w:hideMark/>
          </w:tcPr>
          <w:p w14:paraId="2B4E3069" w14:textId="77777777" w:rsidR="00FC5566" w:rsidRPr="00FC5566" w:rsidRDefault="00FC5566" w:rsidP="00FC5566">
            <w:pPr>
              <w:autoSpaceDE w:val="0"/>
              <w:autoSpaceDN w:val="0"/>
              <w:adjustRightInd w:val="0"/>
              <w:ind w:left="61" w:right="19"/>
              <w:rPr>
                <w:bCs/>
                <w:sz w:val="16"/>
                <w:szCs w:val="16"/>
              </w:rPr>
            </w:pPr>
            <w:r w:rsidRPr="00FC5566">
              <w:rPr>
                <w:bCs/>
                <w:sz w:val="16"/>
                <w:szCs w:val="16"/>
              </w:rPr>
              <w:t>10/1/2007 to 6/30/2010</w:t>
            </w:r>
          </w:p>
        </w:tc>
        <w:tc>
          <w:tcPr>
            <w:tcW w:w="720" w:type="dxa"/>
            <w:tcBorders>
              <w:top w:val="single" w:sz="6" w:space="0" w:color="auto"/>
              <w:left w:val="single" w:sz="6" w:space="0" w:color="auto"/>
              <w:bottom w:val="single" w:sz="6" w:space="0" w:color="auto"/>
              <w:right w:val="single" w:sz="6" w:space="0" w:color="auto"/>
            </w:tcBorders>
            <w:vAlign w:val="bottom"/>
            <w:hideMark/>
          </w:tcPr>
          <w:p w14:paraId="71A3F8CB" w14:textId="77777777" w:rsidR="00FC5566" w:rsidRPr="00FC5566" w:rsidRDefault="00FC5566" w:rsidP="00FC5566">
            <w:pPr>
              <w:autoSpaceDE w:val="0"/>
              <w:autoSpaceDN w:val="0"/>
              <w:adjustRightInd w:val="0"/>
              <w:jc w:val="center"/>
              <w:rPr>
                <w:bCs/>
                <w:sz w:val="16"/>
                <w:szCs w:val="16"/>
              </w:rPr>
            </w:pPr>
            <w:r w:rsidRPr="00FC5566">
              <w:rPr>
                <w:bCs/>
                <w:sz w:val="16"/>
                <w:szCs w:val="16"/>
              </w:rPr>
              <w:t>2006</w:t>
            </w:r>
          </w:p>
        </w:tc>
        <w:tc>
          <w:tcPr>
            <w:tcW w:w="630" w:type="dxa"/>
            <w:tcBorders>
              <w:top w:val="single" w:sz="6" w:space="0" w:color="auto"/>
              <w:left w:val="single" w:sz="6" w:space="0" w:color="auto"/>
              <w:bottom w:val="single" w:sz="6" w:space="0" w:color="auto"/>
              <w:right w:val="single" w:sz="6" w:space="0" w:color="auto"/>
            </w:tcBorders>
            <w:vAlign w:val="bottom"/>
          </w:tcPr>
          <w:p w14:paraId="3A8C7CFB" w14:textId="77777777" w:rsidR="00FC5566" w:rsidRPr="00FC5566" w:rsidRDefault="00FC5566" w:rsidP="00FC5566">
            <w:pPr>
              <w:autoSpaceDE w:val="0"/>
              <w:autoSpaceDN w:val="0"/>
              <w:adjustRightInd w:val="0"/>
              <w:jc w:val="center"/>
              <w:rPr>
                <w:bCs/>
                <w:sz w:val="16"/>
                <w:szCs w:val="16"/>
              </w:rPr>
            </w:pPr>
          </w:p>
        </w:tc>
        <w:tc>
          <w:tcPr>
            <w:tcW w:w="1013" w:type="dxa"/>
            <w:tcBorders>
              <w:top w:val="single" w:sz="6" w:space="0" w:color="auto"/>
              <w:left w:val="single" w:sz="6" w:space="0" w:color="auto"/>
              <w:bottom w:val="single" w:sz="6" w:space="0" w:color="auto"/>
              <w:right w:val="single" w:sz="6" w:space="0" w:color="auto"/>
            </w:tcBorders>
            <w:vAlign w:val="bottom"/>
            <w:hideMark/>
          </w:tcPr>
          <w:p w14:paraId="3AA37F21" w14:textId="77777777" w:rsidR="00FC5566" w:rsidRPr="00FC5566" w:rsidRDefault="00FC5566" w:rsidP="00FC5566">
            <w:pPr>
              <w:autoSpaceDE w:val="0"/>
              <w:autoSpaceDN w:val="0"/>
              <w:adjustRightInd w:val="0"/>
              <w:jc w:val="center"/>
              <w:rPr>
                <w:bCs/>
                <w:sz w:val="16"/>
                <w:szCs w:val="16"/>
              </w:rPr>
            </w:pPr>
            <w:r w:rsidRPr="00FC5566">
              <w:rPr>
                <w:bCs/>
                <w:sz w:val="16"/>
                <w:szCs w:val="16"/>
              </w:rPr>
              <w:t>-</w:t>
            </w:r>
          </w:p>
        </w:tc>
        <w:tc>
          <w:tcPr>
            <w:tcW w:w="952" w:type="dxa"/>
            <w:tcBorders>
              <w:top w:val="single" w:sz="6" w:space="0" w:color="auto"/>
              <w:left w:val="single" w:sz="6" w:space="0" w:color="auto"/>
              <w:bottom w:val="single" w:sz="6" w:space="0" w:color="auto"/>
              <w:right w:val="single" w:sz="6" w:space="0" w:color="auto"/>
            </w:tcBorders>
            <w:vAlign w:val="bottom"/>
            <w:hideMark/>
          </w:tcPr>
          <w:p w14:paraId="2D50D594" w14:textId="77777777" w:rsidR="00FC5566" w:rsidRPr="00FC5566" w:rsidRDefault="00FC5566" w:rsidP="00FC5566">
            <w:pPr>
              <w:autoSpaceDE w:val="0"/>
              <w:autoSpaceDN w:val="0"/>
              <w:adjustRightInd w:val="0"/>
              <w:jc w:val="center"/>
              <w:rPr>
                <w:bCs/>
                <w:sz w:val="16"/>
                <w:szCs w:val="16"/>
              </w:rPr>
            </w:pPr>
            <w:r w:rsidRPr="00FC5566">
              <w:rPr>
                <w:bCs/>
                <w:sz w:val="16"/>
                <w:szCs w:val="16"/>
              </w:rPr>
              <w:t>-</w:t>
            </w:r>
          </w:p>
        </w:tc>
        <w:tc>
          <w:tcPr>
            <w:tcW w:w="832" w:type="dxa"/>
            <w:tcBorders>
              <w:top w:val="single" w:sz="6" w:space="0" w:color="auto"/>
              <w:left w:val="single" w:sz="6" w:space="0" w:color="auto"/>
              <w:bottom w:val="single" w:sz="6" w:space="0" w:color="auto"/>
              <w:right w:val="double" w:sz="6" w:space="0" w:color="auto"/>
            </w:tcBorders>
            <w:vAlign w:val="bottom"/>
          </w:tcPr>
          <w:p w14:paraId="111E5846" w14:textId="77777777" w:rsidR="00FC5566" w:rsidRPr="00FC5566" w:rsidRDefault="00FC5566" w:rsidP="00FC5566">
            <w:pPr>
              <w:autoSpaceDE w:val="0"/>
              <w:autoSpaceDN w:val="0"/>
              <w:adjustRightInd w:val="0"/>
              <w:jc w:val="center"/>
              <w:rPr>
                <w:bCs/>
                <w:sz w:val="16"/>
                <w:szCs w:val="16"/>
              </w:rPr>
            </w:pPr>
          </w:p>
        </w:tc>
      </w:tr>
      <w:tr w:rsidR="00FC5566" w:rsidRPr="00FC5566" w14:paraId="3E34A5FB" w14:textId="77777777" w:rsidTr="00B247D5">
        <w:trPr>
          <w:cantSplit/>
          <w:jc w:val="center"/>
        </w:trPr>
        <w:tc>
          <w:tcPr>
            <w:tcW w:w="990" w:type="dxa"/>
            <w:tcBorders>
              <w:top w:val="single" w:sz="6" w:space="0" w:color="auto"/>
              <w:left w:val="double" w:sz="6" w:space="0" w:color="auto"/>
              <w:bottom w:val="single" w:sz="6" w:space="0" w:color="auto"/>
              <w:right w:val="single" w:sz="6" w:space="0" w:color="auto"/>
            </w:tcBorders>
            <w:vAlign w:val="bottom"/>
            <w:hideMark/>
          </w:tcPr>
          <w:p w14:paraId="649DF168" w14:textId="77777777" w:rsidR="00FC5566" w:rsidRPr="00FC5566" w:rsidRDefault="00FC5566" w:rsidP="00FC5566">
            <w:pPr>
              <w:autoSpaceDE w:val="0"/>
              <w:autoSpaceDN w:val="0"/>
              <w:adjustRightInd w:val="0"/>
              <w:ind w:left="61" w:right="19"/>
              <w:rPr>
                <w:bCs/>
                <w:sz w:val="16"/>
                <w:szCs w:val="16"/>
              </w:rPr>
            </w:pPr>
            <w:r w:rsidRPr="00FC5566">
              <w:rPr>
                <w:bCs/>
                <w:sz w:val="16"/>
                <w:szCs w:val="16"/>
              </w:rPr>
              <w:t>7/1/2010</w:t>
            </w:r>
            <w:r w:rsidRPr="00FC5566">
              <w:t xml:space="preserve"> </w:t>
            </w:r>
            <w:r w:rsidRPr="00FC5566">
              <w:rPr>
                <w:bCs/>
                <w:sz w:val="16"/>
                <w:szCs w:val="16"/>
              </w:rPr>
              <w:t>to 12/31/2013</w:t>
            </w:r>
          </w:p>
        </w:tc>
        <w:tc>
          <w:tcPr>
            <w:tcW w:w="720" w:type="dxa"/>
            <w:tcBorders>
              <w:top w:val="single" w:sz="6" w:space="0" w:color="auto"/>
              <w:left w:val="single" w:sz="6" w:space="0" w:color="auto"/>
              <w:bottom w:val="single" w:sz="6" w:space="0" w:color="auto"/>
              <w:right w:val="single" w:sz="6" w:space="0" w:color="auto"/>
            </w:tcBorders>
            <w:vAlign w:val="bottom"/>
            <w:hideMark/>
          </w:tcPr>
          <w:p w14:paraId="1A43126D" w14:textId="77777777" w:rsidR="00FC5566" w:rsidRPr="00FC5566" w:rsidRDefault="00FC5566" w:rsidP="00FC5566">
            <w:pPr>
              <w:autoSpaceDE w:val="0"/>
              <w:autoSpaceDN w:val="0"/>
              <w:adjustRightInd w:val="0"/>
              <w:jc w:val="center"/>
              <w:rPr>
                <w:bCs/>
                <w:sz w:val="16"/>
                <w:szCs w:val="16"/>
              </w:rPr>
            </w:pPr>
            <w:r w:rsidRPr="00FC5566">
              <w:rPr>
                <w:bCs/>
                <w:sz w:val="16"/>
                <w:szCs w:val="16"/>
              </w:rPr>
              <w:t>2009</w:t>
            </w:r>
          </w:p>
        </w:tc>
        <w:tc>
          <w:tcPr>
            <w:tcW w:w="630" w:type="dxa"/>
            <w:tcBorders>
              <w:top w:val="single" w:sz="6" w:space="0" w:color="auto"/>
              <w:left w:val="single" w:sz="6" w:space="0" w:color="auto"/>
              <w:bottom w:val="single" w:sz="6" w:space="0" w:color="auto"/>
              <w:right w:val="single" w:sz="6" w:space="0" w:color="auto"/>
            </w:tcBorders>
            <w:vAlign w:val="bottom"/>
          </w:tcPr>
          <w:p w14:paraId="1A26ABCD" w14:textId="77777777" w:rsidR="00FC5566" w:rsidRPr="00FC5566" w:rsidRDefault="00FC5566" w:rsidP="00FC5566">
            <w:pPr>
              <w:autoSpaceDE w:val="0"/>
              <w:autoSpaceDN w:val="0"/>
              <w:adjustRightInd w:val="0"/>
              <w:jc w:val="center"/>
              <w:rPr>
                <w:bCs/>
                <w:sz w:val="16"/>
                <w:szCs w:val="16"/>
              </w:rPr>
            </w:pPr>
          </w:p>
        </w:tc>
        <w:tc>
          <w:tcPr>
            <w:tcW w:w="1013" w:type="dxa"/>
            <w:tcBorders>
              <w:top w:val="single" w:sz="6" w:space="0" w:color="auto"/>
              <w:left w:val="single" w:sz="6" w:space="0" w:color="auto"/>
              <w:bottom w:val="single" w:sz="6" w:space="0" w:color="auto"/>
              <w:right w:val="single" w:sz="6" w:space="0" w:color="auto"/>
            </w:tcBorders>
            <w:vAlign w:val="bottom"/>
            <w:hideMark/>
          </w:tcPr>
          <w:p w14:paraId="5899A6E5" w14:textId="77777777" w:rsidR="00FC5566" w:rsidRPr="00FC5566" w:rsidRDefault="00FC5566" w:rsidP="00FC5566">
            <w:pPr>
              <w:autoSpaceDE w:val="0"/>
              <w:autoSpaceDN w:val="0"/>
              <w:adjustRightInd w:val="0"/>
              <w:jc w:val="center"/>
              <w:rPr>
                <w:bCs/>
                <w:sz w:val="16"/>
                <w:szCs w:val="16"/>
              </w:rPr>
            </w:pPr>
            <w:r w:rsidRPr="00FC5566">
              <w:rPr>
                <w:bCs/>
                <w:sz w:val="16"/>
                <w:szCs w:val="16"/>
              </w:rPr>
              <w:t>-</w:t>
            </w:r>
          </w:p>
        </w:tc>
        <w:tc>
          <w:tcPr>
            <w:tcW w:w="952" w:type="dxa"/>
            <w:tcBorders>
              <w:top w:val="single" w:sz="6" w:space="0" w:color="auto"/>
              <w:left w:val="single" w:sz="6" w:space="0" w:color="auto"/>
              <w:bottom w:val="single" w:sz="6" w:space="0" w:color="auto"/>
              <w:right w:val="single" w:sz="6" w:space="0" w:color="auto"/>
            </w:tcBorders>
            <w:vAlign w:val="bottom"/>
            <w:hideMark/>
          </w:tcPr>
          <w:p w14:paraId="19A48DB7" w14:textId="77777777" w:rsidR="00FC5566" w:rsidRPr="00FC5566" w:rsidRDefault="00FC5566" w:rsidP="00FC5566">
            <w:pPr>
              <w:autoSpaceDE w:val="0"/>
              <w:autoSpaceDN w:val="0"/>
              <w:adjustRightInd w:val="0"/>
              <w:jc w:val="center"/>
              <w:rPr>
                <w:bCs/>
                <w:sz w:val="16"/>
                <w:szCs w:val="16"/>
              </w:rPr>
            </w:pPr>
            <w:r w:rsidRPr="00FC5566">
              <w:rPr>
                <w:bCs/>
                <w:sz w:val="16"/>
                <w:szCs w:val="16"/>
              </w:rPr>
              <w:t>-</w:t>
            </w:r>
          </w:p>
        </w:tc>
        <w:tc>
          <w:tcPr>
            <w:tcW w:w="832" w:type="dxa"/>
            <w:tcBorders>
              <w:top w:val="single" w:sz="6" w:space="0" w:color="auto"/>
              <w:left w:val="single" w:sz="6" w:space="0" w:color="auto"/>
              <w:bottom w:val="single" w:sz="6" w:space="0" w:color="auto"/>
              <w:right w:val="double" w:sz="6" w:space="0" w:color="auto"/>
            </w:tcBorders>
            <w:vAlign w:val="bottom"/>
          </w:tcPr>
          <w:p w14:paraId="58DD55E2" w14:textId="77777777" w:rsidR="00FC5566" w:rsidRPr="00FC5566" w:rsidRDefault="00FC5566" w:rsidP="00FC5566">
            <w:pPr>
              <w:autoSpaceDE w:val="0"/>
              <w:autoSpaceDN w:val="0"/>
              <w:adjustRightInd w:val="0"/>
              <w:jc w:val="center"/>
              <w:rPr>
                <w:bCs/>
                <w:sz w:val="16"/>
                <w:szCs w:val="16"/>
              </w:rPr>
            </w:pPr>
          </w:p>
        </w:tc>
      </w:tr>
      <w:tr w:rsidR="00FC5566" w:rsidRPr="00FC5566" w14:paraId="459AA0DF" w14:textId="77777777" w:rsidTr="00B247D5">
        <w:trPr>
          <w:cantSplit/>
          <w:jc w:val="center"/>
        </w:trPr>
        <w:tc>
          <w:tcPr>
            <w:tcW w:w="990" w:type="dxa"/>
            <w:tcBorders>
              <w:top w:val="single" w:sz="6" w:space="0" w:color="auto"/>
              <w:left w:val="double" w:sz="6" w:space="0" w:color="auto"/>
              <w:bottom w:val="single" w:sz="6" w:space="0" w:color="auto"/>
              <w:right w:val="single" w:sz="6" w:space="0" w:color="auto"/>
            </w:tcBorders>
            <w:vAlign w:val="bottom"/>
            <w:hideMark/>
          </w:tcPr>
          <w:p w14:paraId="04D050B9" w14:textId="77777777" w:rsidR="00FC5566" w:rsidRPr="00FC5566" w:rsidRDefault="00FC5566" w:rsidP="00FC5566">
            <w:pPr>
              <w:autoSpaceDE w:val="0"/>
              <w:autoSpaceDN w:val="0"/>
              <w:adjustRightInd w:val="0"/>
              <w:ind w:left="61" w:right="19"/>
              <w:rPr>
                <w:bCs/>
                <w:sz w:val="16"/>
                <w:szCs w:val="16"/>
              </w:rPr>
            </w:pPr>
            <w:r w:rsidRPr="00FC5566">
              <w:rPr>
                <w:bCs/>
                <w:sz w:val="16"/>
                <w:szCs w:val="16"/>
              </w:rPr>
              <w:t>1/1/2014 to 6/30/2017</w:t>
            </w:r>
          </w:p>
        </w:tc>
        <w:tc>
          <w:tcPr>
            <w:tcW w:w="720" w:type="dxa"/>
            <w:tcBorders>
              <w:top w:val="single" w:sz="6" w:space="0" w:color="auto"/>
              <w:left w:val="single" w:sz="6" w:space="0" w:color="auto"/>
              <w:bottom w:val="single" w:sz="6" w:space="0" w:color="auto"/>
              <w:right w:val="single" w:sz="6" w:space="0" w:color="auto"/>
            </w:tcBorders>
            <w:vAlign w:val="bottom"/>
            <w:hideMark/>
          </w:tcPr>
          <w:p w14:paraId="46B58812" w14:textId="77777777" w:rsidR="00FC5566" w:rsidRPr="00FC5566" w:rsidRDefault="00FC5566" w:rsidP="00FC5566">
            <w:pPr>
              <w:autoSpaceDE w:val="0"/>
              <w:autoSpaceDN w:val="0"/>
              <w:adjustRightInd w:val="0"/>
              <w:jc w:val="center"/>
              <w:rPr>
                <w:bCs/>
                <w:sz w:val="16"/>
                <w:szCs w:val="16"/>
              </w:rPr>
            </w:pPr>
            <w:r w:rsidRPr="00FC5566">
              <w:rPr>
                <w:bCs/>
                <w:sz w:val="16"/>
                <w:szCs w:val="16"/>
              </w:rPr>
              <w:t>2012</w:t>
            </w:r>
          </w:p>
        </w:tc>
        <w:tc>
          <w:tcPr>
            <w:tcW w:w="630" w:type="dxa"/>
            <w:tcBorders>
              <w:top w:val="single" w:sz="6" w:space="0" w:color="auto"/>
              <w:left w:val="single" w:sz="6" w:space="0" w:color="auto"/>
              <w:bottom w:val="single" w:sz="6" w:space="0" w:color="auto"/>
              <w:right w:val="single" w:sz="6" w:space="0" w:color="auto"/>
            </w:tcBorders>
            <w:vAlign w:val="bottom"/>
          </w:tcPr>
          <w:p w14:paraId="3D320397" w14:textId="77777777" w:rsidR="00FC5566" w:rsidRPr="00FC5566" w:rsidRDefault="00FC5566" w:rsidP="00FC5566">
            <w:pPr>
              <w:autoSpaceDE w:val="0"/>
              <w:autoSpaceDN w:val="0"/>
              <w:adjustRightInd w:val="0"/>
              <w:jc w:val="center"/>
              <w:rPr>
                <w:bCs/>
                <w:sz w:val="16"/>
                <w:szCs w:val="16"/>
              </w:rPr>
            </w:pPr>
          </w:p>
        </w:tc>
        <w:tc>
          <w:tcPr>
            <w:tcW w:w="1013" w:type="dxa"/>
            <w:tcBorders>
              <w:top w:val="single" w:sz="6" w:space="0" w:color="auto"/>
              <w:left w:val="single" w:sz="6" w:space="0" w:color="auto"/>
              <w:bottom w:val="single" w:sz="6" w:space="0" w:color="auto"/>
              <w:right w:val="single" w:sz="6" w:space="0" w:color="auto"/>
            </w:tcBorders>
            <w:vAlign w:val="bottom"/>
            <w:hideMark/>
          </w:tcPr>
          <w:p w14:paraId="42C084A8" w14:textId="77777777" w:rsidR="00FC5566" w:rsidRPr="00FC5566" w:rsidRDefault="00FC5566" w:rsidP="00FC5566">
            <w:pPr>
              <w:autoSpaceDE w:val="0"/>
              <w:autoSpaceDN w:val="0"/>
              <w:adjustRightInd w:val="0"/>
              <w:jc w:val="center"/>
              <w:rPr>
                <w:bCs/>
                <w:sz w:val="16"/>
                <w:szCs w:val="16"/>
              </w:rPr>
            </w:pPr>
            <w:r w:rsidRPr="00FC5566">
              <w:rPr>
                <w:bCs/>
                <w:sz w:val="16"/>
                <w:szCs w:val="16"/>
              </w:rPr>
              <w:t>-</w:t>
            </w:r>
          </w:p>
        </w:tc>
        <w:tc>
          <w:tcPr>
            <w:tcW w:w="952" w:type="dxa"/>
            <w:tcBorders>
              <w:top w:val="single" w:sz="6" w:space="0" w:color="auto"/>
              <w:left w:val="single" w:sz="6" w:space="0" w:color="auto"/>
              <w:bottom w:val="single" w:sz="6" w:space="0" w:color="auto"/>
              <w:right w:val="single" w:sz="6" w:space="0" w:color="auto"/>
            </w:tcBorders>
            <w:vAlign w:val="bottom"/>
            <w:hideMark/>
          </w:tcPr>
          <w:p w14:paraId="6EAE01D6" w14:textId="77777777" w:rsidR="00FC5566" w:rsidRPr="00FC5566" w:rsidRDefault="00FC5566" w:rsidP="00FC5566">
            <w:pPr>
              <w:autoSpaceDE w:val="0"/>
              <w:autoSpaceDN w:val="0"/>
              <w:adjustRightInd w:val="0"/>
              <w:jc w:val="center"/>
              <w:rPr>
                <w:bCs/>
                <w:sz w:val="16"/>
                <w:szCs w:val="16"/>
              </w:rPr>
            </w:pPr>
            <w:r w:rsidRPr="00FC5566">
              <w:rPr>
                <w:bCs/>
                <w:sz w:val="16"/>
                <w:szCs w:val="16"/>
              </w:rPr>
              <w:t>9 and 10/2012</w:t>
            </w:r>
          </w:p>
        </w:tc>
        <w:tc>
          <w:tcPr>
            <w:tcW w:w="832" w:type="dxa"/>
            <w:tcBorders>
              <w:top w:val="single" w:sz="6" w:space="0" w:color="auto"/>
              <w:left w:val="single" w:sz="6" w:space="0" w:color="auto"/>
              <w:bottom w:val="single" w:sz="6" w:space="0" w:color="auto"/>
              <w:right w:val="double" w:sz="6" w:space="0" w:color="auto"/>
            </w:tcBorders>
            <w:vAlign w:val="bottom"/>
          </w:tcPr>
          <w:p w14:paraId="248962A9" w14:textId="77777777" w:rsidR="00FC5566" w:rsidRPr="00FC5566" w:rsidRDefault="00FC5566" w:rsidP="00FC5566">
            <w:pPr>
              <w:autoSpaceDE w:val="0"/>
              <w:autoSpaceDN w:val="0"/>
              <w:adjustRightInd w:val="0"/>
              <w:jc w:val="center"/>
              <w:rPr>
                <w:bCs/>
                <w:sz w:val="16"/>
                <w:szCs w:val="16"/>
              </w:rPr>
            </w:pPr>
          </w:p>
        </w:tc>
      </w:tr>
      <w:tr w:rsidR="00FC5566" w:rsidRPr="00FC5566" w14:paraId="6DC430B2" w14:textId="77777777" w:rsidTr="00B247D5">
        <w:trPr>
          <w:cantSplit/>
          <w:jc w:val="center"/>
        </w:trPr>
        <w:tc>
          <w:tcPr>
            <w:tcW w:w="990" w:type="dxa"/>
            <w:tcBorders>
              <w:top w:val="single" w:sz="6" w:space="0" w:color="auto"/>
              <w:left w:val="double" w:sz="6" w:space="0" w:color="auto"/>
              <w:bottom w:val="single" w:sz="6" w:space="0" w:color="auto"/>
              <w:right w:val="single" w:sz="6" w:space="0" w:color="auto"/>
            </w:tcBorders>
            <w:vAlign w:val="bottom"/>
            <w:hideMark/>
          </w:tcPr>
          <w:p w14:paraId="581A5CAF" w14:textId="77777777" w:rsidR="00FC5566" w:rsidRPr="00FC5566" w:rsidRDefault="00FC5566" w:rsidP="00FC5566">
            <w:pPr>
              <w:autoSpaceDE w:val="0"/>
              <w:autoSpaceDN w:val="0"/>
              <w:adjustRightInd w:val="0"/>
              <w:ind w:left="61" w:right="19"/>
              <w:rPr>
                <w:bCs/>
                <w:sz w:val="16"/>
                <w:szCs w:val="16"/>
              </w:rPr>
            </w:pPr>
            <w:r w:rsidRPr="00FC5566">
              <w:rPr>
                <w:bCs/>
                <w:sz w:val="16"/>
                <w:szCs w:val="16"/>
              </w:rPr>
              <w:t>a7/1/2017 to 12/31/2022</w:t>
            </w:r>
          </w:p>
        </w:tc>
        <w:tc>
          <w:tcPr>
            <w:tcW w:w="720" w:type="dxa"/>
            <w:tcBorders>
              <w:top w:val="single" w:sz="6" w:space="0" w:color="auto"/>
              <w:left w:val="single" w:sz="6" w:space="0" w:color="auto"/>
              <w:bottom w:val="single" w:sz="6" w:space="0" w:color="auto"/>
              <w:right w:val="single" w:sz="6" w:space="0" w:color="auto"/>
            </w:tcBorders>
            <w:vAlign w:val="bottom"/>
            <w:hideMark/>
          </w:tcPr>
          <w:p w14:paraId="06627EF8" w14:textId="77777777" w:rsidR="00FC5566" w:rsidRPr="00FC5566" w:rsidRDefault="00FC5566" w:rsidP="00FC5566">
            <w:pPr>
              <w:autoSpaceDE w:val="0"/>
              <w:autoSpaceDN w:val="0"/>
              <w:adjustRightInd w:val="0"/>
              <w:jc w:val="center"/>
              <w:rPr>
                <w:bCs/>
                <w:sz w:val="16"/>
                <w:szCs w:val="16"/>
              </w:rPr>
            </w:pPr>
            <w:r w:rsidRPr="00FC5566">
              <w:rPr>
                <w:bCs/>
                <w:sz w:val="16"/>
                <w:szCs w:val="16"/>
              </w:rPr>
              <w:t>2015</w:t>
            </w:r>
          </w:p>
        </w:tc>
        <w:tc>
          <w:tcPr>
            <w:tcW w:w="630" w:type="dxa"/>
            <w:tcBorders>
              <w:top w:val="single" w:sz="6" w:space="0" w:color="auto"/>
              <w:left w:val="single" w:sz="6" w:space="0" w:color="auto"/>
              <w:bottom w:val="single" w:sz="6" w:space="0" w:color="auto"/>
              <w:right w:val="single" w:sz="6" w:space="0" w:color="auto"/>
            </w:tcBorders>
            <w:vAlign w:val="bottom"/>
            <w:hideMark/>
          </w:tcPr>
          <w:p w14:paraId="0BAD97F6" w14:textId="77777777" w:rsidR="00FC5566" w:rsidRPr="00FC5566" w:rsidRDefault="00FC5566" w:rsidP="00FC5566">
            <w:pPr>
              <w:autoSpaceDE w:val="0"/>
              <w:autoSpaceDN w:val="0"/>
              <w:adjustRightInd w:val="0"/>
              <w:jc w:val="center"/>
              <w:rPr>
                <w:bCs/>
                <w:sz w:val="16"/>
                <w:szCs w:val="16"/>
              </w:rPr>
            </w:pPr>
            <w:r w:rsidRPr="00FC5566">
              <w:rPr>
                <w:bCs/>
                <w:sz w:val="16"/>
                <w:szCs w:val="16"/>
              </w:rPr>
              <w:t>2015</w:t>
            </w:r>
          </w:p>
        </w:tc>
        <w:tc>
          <w:tcPr>
            <w:tcW w:w="1013" w:type="dxa"/>
            <w:tcBorders>
              <w:top w:val="single" w:sz="6" w:space="0" w:color="auto"/>
              <w:left w:val="single" w:sz="6" w:space="0" w:color="auto"/>
              <w:bottom w:val="single" w:sz="6" w:space="0" w:color="auto"/>
              <w:right w:val="single" w:sz="6" w:space="0" w:color="auto"/>
            </w:tcBorders>
            <w:vAlign w:val="bottom"/>
          </w:tcPr>
          <w:p w14:paraId="1DAB5DC2" w14:textId="77777777" w:rsidR="00FC5566" w:rsidRPr="00FC5566" w:rsidRDefault="00FC5566" w:rsidP="00FC5566">
            <w:pPr>
              <w:autoSpaceDE w:val="0"/>
              <w:autoSpaceDN w:val="0"/>
              <w:adjustRightInd w:val="0"/>
              <w:jc w:val="center"/>
              <w:rPr>
                <w:bCs/>
                <w:sz w:val="16"/>
                <w:szCs w:val="16"/>
              </w:rPr>
            </w:pPr>
          </w:p>
        </w:tc>
        <w:tc>
          <w:tcPr>
            <w:tcW w:w="952" w:type="dxa"/>
            <w:tcBorders>
              <w:top w:val="single" w:sz="6" w:space="0" w:color="auto"/>
              <w:left w:val="single" w:sz="6" w:space="0" w:color="auto"/>
              <w:bottom w:val="single" w:sz="6" w:space="0" w:color="auto"/>
              <w:right w:val="single" w:sz="6" w:space="0" w:color="auto"/>
            </w:tcBorders>
            <w:vAlign w:val="bottom"/>
            <w:hideMark/>
          </w:tcPr>
          <w:p w14:paraId="5238A774" w14:textId="77777777" w:rsidR="00FC5566" w:rsidRPr="00FC5566" w:rsidRDefault="00FC5566" w:rsidP="00FC5566">
            <w:pPr>
              <w:autoSpaceDE w:val="0"/>
              <w:autoSpaceDN w:val="0"/>
              <w:adjustRightInd w:val="0"/>
              <w:jc w:val="center"/>
              <w:rPr>
                <w:bCs/>
                <w:sz w:val="16"/>
                <w:szCs w:val="16"/>
              </w:rPr>
            </w:pPr>
            <w:r w:rsidRPr="00FC5566">
              <w:rPr>
                <w:bCs/>
                <w:sz w:val="16"/>
                <w:szCs w:val="16"/>
              </w:rPr>
              <w:t>9 and 10/2015</w:t>
            </w:r>
          </w:p>
        </w:tc>
        <w:tc>
          <w:tcPr>
            <w:tcW w:w="832" w:type="dxa"/>
            <w:tcBorders>
              <w:top w:val="single" w:sz="6" w:space="0" w:color="auto"/>
              <w:left w:val="single" w:sz="6" w:space="0" w:color="auto"/>
              <w:bottom w:val="single" w:sz="6" w:space="0" w:color="auto"/>
              <w:right w:val="double" w:sz="6" w:space="0" w:color="auto"/>
            </w:tcBorders>
            <w:vAlign w:val="bottom"/>
            <w:hideMark/>
          </w:tcPr>
          <w:p w14:paraId="627CEE05" w14:textId="77777777" w:rsidR="00FC5566" w:rsidRPr="00FC5566" w:rsidRDefault="00FC5566" w:rsidP="00FC5566">
            <w:pPr>
              <w:autoSpaceDE w:val="0"/>
              <w:autoSpaceDN w:val="0"/>
              <w:adjustRightInd w:val="0"/>
              <w:jc w:val="center"/>
              <w:rPr>
                <w:bCs/>
                <w:sz w:val="16"/>
                <w:szCs w:val="16"/>
              </w:rPr>
            </w:pPr>
            <w:r w:rsidRPr="00FC5566">
              <w:rPr>
                <w:bCs/>
                <w:sz w:val="16"/>
                <w:szCs w:val="16"/>
              </w:rPr>
              <w:t>2014</w:t>
            </w:r>
          </w:p>
        </w:tc>
      </w:tr>
      <w:tr w:rsidR="00FC5566" w:rsidRPr="00FC5566" w14:paraId="2E418B30" w14:textId="77777777" w:rsidTr="00B247D5">
        <w:trPr>
          <w:cantSplit/>
          <w:jc w:val="center"/>
        </w:trPr>
        <w:tc>
          <w:tcPr>
            <w:tcW w:w="990" w:type="dxa"/>
            <w:tcBorders>
              <w:top w:val="single" w:sz="6" w:space="0" w:color="auto"/>
              <w:left w:val="double" w:sz="6" w:space="0" w:color="auto"/>
              <w:bottom w:val="single" w:sz="6" w:space="0" w:color="auto"/>
              <w:right w:val="single" w:sz="6" w:space="0" w:color="auto"/>
            </w:tcBorders>
            <w:vAlign w:val="bottom"/>
            <w:hideMark/>
          </w:tcPr>
          <w:p w14:paraId="1A8D18AC" w14:textId="77777777" w:rsidR="00FC5566" w:rsidRPr="00FC5566" w:rsidRDefault="00FC5566" w:rsidP="00FC5566">
            <w:pPr>
              <w:autoSpaceDE w:val="0"/>
              <w:autoSpaceDN w:val="0"/>
              <w:adjustRightInd w:val="0"/>
              <w:ind w:left="61" w:right="19"/>
              <w:rPr>
                <w:bCs/>
                <w:sz w:val="16"/>
                <w:szCs w:val="16"/>
              </w:rPr>
            </w:pPr>
            <w:r w:rsidRPr="00FC5566">
              <w:rPr>
                <w:bCs/>
                <w:sz w:val="16"/>
                <w:szCs w:val="16"/>
              </w:rPr>
              <w:t>1/1/2023 to 6/30/2026</w:t>
            </w:r>
          </w:p>
        </w:tc>
        <w:tc>
          <w:tcPr>
            <w:tcW w:w="720" w:type="dxa"/>
            <w:tcBorders>
              <w:top w:val="single" w:sz="6" w:space="0" w:color="auto"/>
              <w:left w:val="single" w:sz="6" w:space="0" w:color="auto"/>
              <w:bottom w:val="single" w:sz="6" w:space="0" w:color="auto"/>
              <w:right w:val="single" w:sz="6" w:space="0" w:color="auto"/>
            </w:tcBorders>
            <w:vAlign w:val="bottom"/>
            <w:hideMark/>
          </w:tcPr>
          <w:p w14:paraId="31F849A3" w14:textId="77777777" w:rsidR="00FC5566" w:rsidRPr="00FC5566" w:rsidRDefault="00FC5566" w:rsidP="00FC5566">
            <w:pPr>
              <w:autoSpaceDE w:val="0"/>
              <w:autoSpaceDN w:val="0"/>
              <w:adjustRightInd w:val="0"/>
              <w:jc w:val="center"/>
              <w:rPr>
                <w:bCs/>
                <w:sz w:val="16"/>
                <w:szCs w:val="16"/>
              </w:rPr>
            </w:pPr>
            <w:r w:rsidRPr="00FC5566">
              <w:rPr>
                <w:bCs/>
                <w:sz w:val="16"/>
                <w:szCs w:val="16"/>
              </w:rPr>
              <w:t>2015</w:t>
            </w:r>
          </w:p>
        </w:tc>
        <w:tc>
          <w:tcPr>
            <w:tcW w:w="630" w:type="dxa"/>
            <w:tcBorders>
              <w:top w:val="single" w:sz="6" w:space="0" w:color="auto"/>
              <w:left w:val="single" w:sz="6" w:space="0" w:color="auto"/>
              <w:bottom w:val="single" w:sz="6" w:space="0" w:color="auto"/>
              <w:right w:val="single" w:sz="6" w:space="0" w:color="auto"/>
            </w:tcBorders>
            <w:vAlign w:val="bottom"/>
            <w:hideMark/>
          </w:tcPr>
          <w:p w14:paraId="1D2DD32D" w14:textId="77777777" w:rsidR="00FC5566" w:rsidRPr="00FC5566" w:rsidRDefault="00FC5566" w:rsidP="00FC5566">
            <w:pPr>
              <w:autoSpaceDE w:val="0"/>
              <w:autoSpaceDN w:val="0"/>
              <w:adjustRightInd w:val="0"/>
              <w:jc w:val="center"/>
              <w:rPr>
                <w:bCs/>
                <w:sz w:val="16"/>
                <w:szCs w:val="16"/>
              </w:rPr>
            </w:pPr>
            <w:r w:rsidRPr="00FC5566">
              <w:rPr>
                <w:bCs/>
                <w:sz w:val="16"/>
                <w:szCs w:val="16"/>
              </w:rPr>
              <w:t>2015</w:t>
            </w:r>
          </w:p>
        </w:tc>
        <w:tc>
          <w:tcPr>
            <w:tcW w:w="1013" w:type="dxa"/>
            <w:tcBorders>
              <w:top w:val="single" w:sz="6" w:space="0" w:color="auto"/>
              <w:left w:val="single" w:sz="6" w:space="0" w:color="auto"/>
              <w:bottom w:val="single" w:sz="6" w:space="0" w:color="auto"/>
              <w:right w:val="single" w:sz="6" w:space="0" w:color="auto"/>
            </w:tcBorders>
            <w:vAlign w:val="bottom"/>
          </w:tcPr>
          <w:p w14:paraId="020B1A7A" w14:textId="77777777" w:rsidR="00FC5566" w:rsidRPr="00FC5566" w:rsidRDefault="00FC5566" w:rsidP="00FC5566">
            <w:pPr>
              <w:autoSpaceDE w:val="0"/>
              <w:autoSpaceDN w:val="0"/>
              <w:adjustRightInd w:val="0"/>
              <w:jc w:val="center"/>
              <w:rPr>
                <w:bCs/>
                <w:sz w:val="16"/>
                <w:szCs w:val="16"/>
              </w:rPr>
            </w:pPr>
          </w:p>
        </w:tc>
        <w:tc>
          <w:tcPr>
            <w:tcW w:w="952" w:type="dxa"/>
            <w:tcBorders>
              <w:top w:val="single" w:sz="6" w:space="0" w:color="auto"/>
              <w:left w:val="single" w:sz="6" w:space="0" w:color="auto"/>
              <w:bottom w:val="single" w:sz="6" w:space="0" w:color="auto"/>
              <w:right w:val="single" w:sz="6" w:space="0" w:color="auto"/>
            </w:tcBorders>
            <w:vAlign w:val="bottom"/>
            <w:hideMark/>
          </w:tcPr>
          <w:p w14:paraId="7F03657A" w14:textId="77777777" w:rsidR="00FC5566" w:rsidRPr="00FC5566" w:rsidRDefault="00FC5566" w:rsidP="00FC5566">
            <w:pPr>
              <w:autoSpaceDE w:val="0"/>
              <w:autoSpaceDN w:val="0"/>
              <w:adjustRightInd w:val="0"/>
              <w:jc w:val="center"/>
              <w:rPr>
                <w:bCs/>
                <w:sz w:val="16"/>
                <w:szCs w:val="16"/>
              </w:rPr>
            </w:pPr>
            <w:r w:rsidRPr="00FC5566">
              <w:rPr>
                <w:bCs/>
                <w:sz w:val="16"/>
                <w:szCs w:val="16"/>
              </w:rPr>
              <w:t>Fire Protection and Egress provisions /2021</w:t>
            </w:r>
          </w:p>
        </w:tc>
        <w:tc>
          <w:tcPr>
            <w:tcW w:w="832" w:type="dxa"/>
            <w:tcBorders>
              <w:top w:val="single" w:sz="6" w:space="0" w:color="auto"/>
              <w:left w:val="single" w:sz="6" w:space="0" w:color="auto"/>
              <w:bottom w:val="single" w:sz="6" w:space="0" w:color="auto"/>
              <w:right w:val="double" w:sz="6" w:space="0" w:color="auto"/>
            </w:tcBorders>
            <w:vAlign w:val="bottom"/>
          </w:tcPr>
          <w:p w14:paraId="4058EB24" w14:textId="77777777" w:rsidR="00FC5566" w:rsidRPr="00FC5566" w:rsidRDefault="00FC5566" w:rsidP="00FC5566">
            <w:pPr>
              <w:autoSpaceDE w:val="0"/>
              <w:autoSpaceDN w:val="0"/>
              <w:adjustRightInd w:val="0"/>
              <w:jc w:val="center"/>
              <w:rPr>
                <w:bCs/>
                <w:sz w:val="16"/>
                <w:szCs w:val="16"/>
              </w:rPr>
            </w:pPr>
          </w:p>
        </w:tc>
      </w:tr>
      <w:tr w:rsidR="00FC5566" w:rsidRPr="00FC5566" w14:paraId="1E8531CD" w14:textId="77777777" w:rsidTr="00B247D5">
        <w:trPr>
          <w:cantSplit/>
          <w:jc w:val="center"/>
        </w:trPr>
        <w:tc>
          <w:tcPr>
            <w:tcW w:w="990" w:type="dxa"/>
            <w:tcBorders>
              <w:top w:val="single" w:sz="6" w:space="0" w:color="auto"/>
              <w:left w:val="double" w:sz="6" w:space="0" w:color="auto"/>
              <w:bottom w:val="single" w:sz="6" w:space="0" w:color="auto"/>
              <w:right w:val="single" w:sz="6" w:space="0" w:color="auto"/>
            </w:tcBorders>
            <w:vAlign w:val="bottom"/>
            <w:hideMark/>
          </w:tcPr>
          <w:p w14:paraId="23857260" w14:textId="77777777" w:rsidR="00FC5566" w:rsidRPr="00FC5566" w:rsidRDefault="00FC5566" w:rsidP="00FC5566">
            <w:pPr>
              <w:autoSpaceDE w:val="0"/>
              <w:autoSpaceDN w:val="0"/>
              <w:adjustRightInd w:val="0"/>
              <w:ind w:left="61" w:right="19"/>
              <w:rPr>
                <w:bCs/>
                <w:sz w:val="16"/>
                <w:szCs w:val="16"/>
              </w:rPr>
            </w:pPr>
            <w:r w:rsidRPr="00FC5566">
              <w:rPr>
                <w:b/>
                <w:bCs/>
                <w:sz w:val="16"/>
                <w:szCs w:val="16"/>
              </w:rPr>
              <w:t>Building Constructed or Remodeled</w:t>
            </w:r>
          </w:p>
        </w:tc>
        <w:tc>
          <w:tcPr>
            <w:tcW w:w="720" w:type="dxa"/>
            <w:tcBorders>
              <w:top w:val="single" w:sz="6" w:space="0" w:color="auto"/>
              <w:left w:val="single" w:sz="6" w:space="0" w:color="auto"/>
              <w:bottom w:val="single" w:sz="6" w:space="0" w:color="auto"/>
              <w:right w:val="single" w:sz="6" w:space="0" w:color="auto"/>
            </w:tcBorders>
            <w:vAlign w:val="bottom"/>
            <w:hideMark/>
          </w:tcPr>
          <w:p w14:paraId="5181A0B8" w14:textId="77777777" w:rsidR="00FC5566" w:rsidRPr="00FC5566" w:rsidRDefault="00FC5566" w:rsidP="00FC5566">
            <w:pPr>
              <w:autoSpaceDE w:val="0"/>
              <w:autoSpaceDN w:val="0"/>
              <w:adjustRightInd w:val="0"/>
              <w:jc w:val="center"/>
              <w:rPr>
                <w:bCs/>
                <w:sz w:val="16"/>
                <w:szCs w:val="16"/>
              </w:rPr>
            </w:pPr>
            <w:r w:rsidRPr="00FC5566">
              <w:rPr>
                <w:b/>
                <w:bCs/>
                <w:sz w:val="16"/>
                <w:szCs w:val="16"/>
              </w:rPr>
              <w:t>Life Safety Code Edition</w:t>
            </w:r>
          </w:p>
        </w:tc>
        <w:tc>
          <w:tcPr>
            <w:tcW w:w="630" w:type="dxa"/>
            <w:tcBorders>
              <w:top w:val="single" w:sz="6" w:space="0" w:color="auto"/>
              <w:left w:val="single" w:sz="6" w:space="0" w:color="auto"/>
              <w:bottom w:val="single" w:sz="6" w:space="0" w:color="auto"/>
              <w:right w:val="single" w:sz="6" w:space="0" w:color="auto"/>
            </w:tcBorders>
            <w:vAlign w:val="bottom"/>
            <w:hideMark/>
          </w:tcPr>
          <w:p w14:paraId="74FF967F" w14:textId="77777777" w:rsidR="00FC5566" w:rsidRPr="00FC5566" w:rsidRDefault="00FC5566" w:rsidP="00FC5566">
            <w:pPr>
              <w:autoSpaceDE w:val="0"/>
              <w:autoSpaceDN w:val="0"/>
              <w:adjustRightInd w:val="0"/>
              <w:jc w:val="center"/>
              <w:rPr>
                <w:bCs/>
                <w:sz w:val="16"/>
                <w:szCs w:val="16"/>
              </w:rPr>
            </w:pPr>
            <w:r w:rsidRPr="00FC5566">
              <w:rPr>
                <w:b/>
                <w:bCs/>
                <w:sz w:val="16"/>
                <w:szCs w:val="16"/>
              </w:rPr>
              <w:t>NFPA 1 Fire Code Edition</w:t>
            </w:r>
          </w:p>
        </w:tc>
        <w:tc>
          <w:tcPr>
            <w:tcW w:w="1013" w:type="dxa"/>
            <w:tcBorders>
              <w:top w:val="single" w:sz="6" w:space="0" w:color="auto"/>
              <w:left w:val="single" w:sz="6" w:space="0" w:color="auto"/>
              <w:bottom w:val="single" w:sz="6" w:space="0" w:color="auto"/>
              <w:right w:val="single" w:sz="6" w:space="0" w:color="auto"/>
            </w:tcBorders>
            <w:vAlign w:val="bottom"/>
            <w:hideMark/>
          </w:tcPr>
          <w:p w14:paraId="0C3D764F" w14:textId="77777777" w:rsidR="00FC5566" w:rsidRPr="00FC5566" w:rsidRDefault="00FC5566" w:rsidP="00FC5566">
            <w:pPr>
              <w:autoSpaceDE w:val="0"/>
              <w:autoSpaceDN w:val="0"/>
              <w:adjustRightInd w:val="0"/>
              <w:jc w:val="center"/>
              <w:rPr>
                <w:bCs/>
                <w:sz w:val="16"/>
                <w:szCs w:val="16"/>
              </w:rPr>
            </w:pPr>
            <w:r w:rsidRPr="00FC5566">
              <w:rPr>
                <w:b/>
                <w:bCs/>
                <w:sz w:val="16"/>
                <w:szCs w:val="16"/>
              </w:rPr>
              <w:t>International Fire Code Edition</w:t>
            </w:r>
          </w:p>
        </w:tc>
        <w:tc>
          <w:tcPr>
            <w:tcW w:w="952" w:type="dxa"/>
            <w:tcBorders>
              <w:top w:val="single" w:sz="6" w:space="0" w:color="auto"/>
              <w:left w:val="single" w:sz="6" w:space="0" w:color="auto"/>
              <w:bottom w:val="single" w:sz="6" w:space="0" w:color="auto"/>
              <w:right w:val="single" w:sz="6" w:space="0" w:color="auto"/>
            </w:tcBorders>
            <w:vAlign w:val="bottom"/>
            <w:hideMark/>
          </w:tcPr>
          <w:p w14:paraId="2CF06508" w14:textId="77777777" w:rsidR="00FC5566" w:rsidRPr="00FC5566" w:rsidRDefault="00FC5566" w:rsidP="00FC5566">
            <w:pPr>
              <w:autoSpaceDE w:val="0"/>
              <w:autoSpaceDN w:val="0"/>
              <w:adjustRightInd w:val="0"/>
              <w:jc w:val="center"/>
              <w:rPr>
                <w:bCs/>
                <w:sz w:val="16"/>
                <w:szCs w:val="16"/>
              </w:rPr>
            </w:pPr>
            <w:r w:rsidRPr="00FC5566">
              <w:rPr>
                <w:b/>
                <w:bCs/>
                <w:sz w:val="16"/>
                <w:szCs w:val="16"/>
              </w:rPr>
              <w:t>Louisiana State Uniform Construction  Code Edition</w:t>
            </w:r>
          </w:p>
        </w:tc>
        <w:tc>
          <w:tcPr>
            <w:tcW w:w="832" w:type="dxa"/>
            <w:tcBorders>
              <w:top w:val="single" w:sz="6" w:space="0" w:color="auto"/>
              <w:left w:val="single" w:sz="6" w:space="0" w:color="auto"/>
              <w:bottom w:val="single" w:sz="6" w:space="0" w:color="auto"/>
              <w:right w:val="double" w:sz="6" w:space="0" w:color="auto"/>
            </w:tcBorders>
            <w:vAlign w:val="bottom"/>
            <w:hideMark/>
          </w:tcPr>
          <w:p w14:paraId="1D609D74" w14:textId="77777777" w:rsidR="00FC5566" w:rsidRPr="00FC5566" w:rsidRDefault="00FC5566" w:rsidP="00FC5566">
            <w:pPr>
              <w:autoSpaceDE w:val="0"/>
              <w:autoSpaceDN w:val="0"/>
              <w:adjustRightInd w:val="0"/>
              <w:jc w:val="center"/>
              <w:rPr>
                <w:bCs/>
                <w:sz w:val="16"/>
                <w:szCs w:val="16"/>
              </w:rPr>
            </w:pPr>
            <w:r w:rsidRPr="00FC5566">
              <w:rPr>
                <w:b/>
                <w:bCs/>
                <w:sz w:val="16"/>
                <w:szCs w:val="16"/>
              </w:rPr>
              <w:t>FGI Guidelines</w:t>
            </w:r>
          </w:p>
        </w:tc>
      </w:tr>
      <w:tr w:rsidR="00FC5566" w:rsidRPr="00FC5566" w14:paraId="229C360D" w14:textId="77777777" w:rsidTr="00B247D5">
        <w:trPr>
          <w:cantSplit/>
          <w:jc w:val="center"/>
        </w:trPr>
        <w:tc>
          <w:tcPr>
            <w:tcW w:w="990" w:type="dxa"/>
            <w:tcBorders>
              <w:top w:val="single" w:sz="6" w:space="0" w:color="auto"/>
              <w:left w:val="double" w:sz="6" w:space="0" w:color="auto"/>
              <w:bottom w:val="double" w:sz="6" w:space="0" w:color="auto"/>
              <w:right w:val="single" w:sz="6" w:space="0" w:color="auto"/>
            </w:tcBorders>
            <w:vAlign w:val="bottom"/>
            <w:hideMark/>
          </w:tcPr>
          <w:p w14:paraId="76D443F6" w14:textId="77777777" w:rsidR="00FC5566" w:rsidRPr="00FC5566" w:rsidRDefault="00FC5566" w:rsidP="00FC5566">
            <w:pPr>
              <w:autoSpaceDE w:val="0"/>
              <w:autoSpaceDN w:val="0"/>
              <w:adjustRightInd w:val="0"/>
              <w:ind w:left="61" w:right="19"/>
              <w:rPr>
                <w:bCs/>
                <w:sz w:val="16"/>
                <w:szCs w:val="16"/>
              </w:rPr>
            </w:pPr>
            <w:r w:rsidRPr="00FC5566">
              <w:rPr>
                <w:bCs/>
                <w:sz w:val="16"/>
                <w:szCs w:val="16"/>
              </w:rPr>
              <w:t>After 7/1/2026</w:t>
            </w:r>
          </w:p>
        </w:tc>
        <w:tc>
          <w:tcPr>
            <w:tcW w:w="720" w:type="dxa"/>
            <w:tcBorders>
              <w:top w:val="single" w:sz="6" w:space="0" w:color="auto"/>
              <w:left w:val="single" w:sz="6" w:space="0" w:color="auto"/>
              <w:bottom w:val="double" w:sz="6" w:space="0" w:color="auto"/>
              <w:right w:val="single" w:sz="6" w:space="0" w:color="auto"/>
            </w:tcBorders>
            <w:vAlign w:val="bottom"/>
            <w:hideMark/>
          </w:tcPr>
          <w:p w14:paraId="484020F0" w14:textId="77777777" w:rsidR="00FC5566" w:rsidRPr="00FC5566" w:rsidRDefault="00FC5566" w:rsidP="00FC5566">
            <w:pPr>
              <w:autoSpaceDE w:val="0"/>
              <w:autoSpaceDN w:val="0"/>
              <w:adjustRightInd w:val="0"/>
              <w:jc w:val="center"/>
              <w:rPr>
                <w:bCs/>
                <w:sz w:val="16"/>
                <w:szCs w:val="16"/>
              </w:rPr>
            </w:pPr>
            <w:r w:rsidRPr="00FC5566">
              <w:rPr>
                <w:bCs/>
                <w:sz w:val="16"/>
                <w:szCs w:val="16"/>
              </w:rPr>
              <w:t>2015</w:t>
            </w:r>
          </w:p>
        </w:tc>
        <w:tc>
          <w:tcPr>
            <w:tcW w:w="630" w:type="dxa"/>
            <w:tcBorders>
              <w:top w:val="single" w:sz="6" w:space="0" w:color="auto"/>
              <w:left w:val="single" w:sz="6" w:space="0" w:color="auto"/>
              <w:bottom w:val="double" w:sz="6" w:space="0" w:color="auto"/>
              <w:right w:val="single" w:sz="6" w:space="0" w:color="auto"/>
            </w:tcBorders>
            <w:vAlign w:val="bottom"/>
            <w:hideMark/>
          </w:tcPr>
          <w:p w14:paraId="5F3C78AB" w14:textId="77777777" w:rsidR="00FC5566" w:rsidRPr="00FC5566" w:rsidRDefault="00FC5566" w:rsidP="00FC5566">
            <w:pPr>
              <w:autoSpaceDE w:val="0"/>
              <w:autoSpaceDN w:val="0"/>
              <w:adjustRightInd w:val="0"/>
              <w:jc w:val="center"/>
              <w:rPr>
                <w:bCs/>
                <w:sz w:val="16"/>
                <w:szCs w:val="16"/>
              </w:rPr>
            </w:pPr>
            <w:r w:rsidRPr="00FC5566">
              <w:rPr>
                <w:bCs/>
                <w:sz w:val="16"/>
                <w:szCs w:val="16"/>
              </w:rPr>
              <w:t>2021</w:t>
            </w:r>
          </w:p>
        </w:tc>
        <w:tc>
          <w:tcPr>
            <w:tcW w:w="1013" w:type="dxa"/>
            <w:tcBorders>
              <w:top w:val="single" w:sz="6" w:space="0" w:color="auto"/>
              <w:left w:val="single" w:sz="6" w:space="0" w:color="auto"/>
              <w:bottom w:val="double" w:sz="6" w:space="0" w:color="auto"/>
              <w:right w:val="single" w:sz="6" w:space="0" w:color="auto"/>
            </w:tcBorders>
            <w:vAlign w:val="bottom"/>
            <w:hideMark/>
          </w:tcPr>
          <w:p w14:paraId="2DEE1E06" w14:textId="77777777" w:rsidR="00FC5566" w:rsidRPr="00FC5566" w:rsidRDefault="00FC5566" w:rsidP="00FC5566">
            <w:pPr>
              <w:autoSpaceDE w:val="0"/>
              <w:autoSpaceDN w:val="0"/>
              <w:adjustRightInd w:val="0"/>
              <w:jc w:val="center"/>
              <w:rPr>
                <w:bCs/>
                <w:sz w:val="16"/>
                <w:szCs w:val="16"/>
              </w:rPr>
            </w:pPr>
            <w:r w:rsidRPr="00FC5566">
              <w:rPr>
                <w:bCs/>
                <w:sz w:val="16"/>
                <w:szCs w:val="16"/>
              </w:rPr>
              <w:t>2021</w:t>
            </w:r>
          </w:p>
        </w:tc>
        <w:tc>
          <w:tcPr>
            <w:tcW w:w="952" w:type="dxa"/>
            <w:tcBorders>
              <w:top w:val="single" w:sz="6" w:space="0" w:color="auto"/>
              <w:left w:val="single" w:sz="6" w:space="0" w:color="auto"/>
              <w:bottom w:val="double" w:sz="6" w:space="0" w:color="auto"/>
              <w:right w:val="single" w:sz="6" w:space="0" w:color="auto"/>
            </w:tcBorders>
            <w:vAlign w:val="bottom"/>
            <w:hideMark/>
          </w:tcPr>
          <w:p w14:paraId="2302A738" w14:textId="77777777" w:rsidR="00FC5566" w:rsidRPr="00FC5566" w:rsidRDefault="00FC5566" w:rsidP="00FC5566">
            <w:pPr>
              <w:autoSpaceDE w:val="0"/>
              <w:autoSpaceDN w:val="0"/>
              <w:adjustRightInd w:val="0"/>
              <w:jc w:val="center"/>
              <w:rPr>
                <w:bCs/>
                <w:sz w:val="16"/>
                <w:szCs w:val="16"/>
              </w:rPr>
            </w:pPr>
            <w:r w:rsidRPr="00FC5566">
              <w:rPr>
                <w:bCs/>
                <w:sz w:val="16"/>
                <w:szCs w:val="16"/>
              </w:rPr>
              <w:t>2021</w:t>
            </w:r>
          </w:p>
        </w:tc>
        <w:tc>
          <w:tcPr>
            <w:tcW w:w="832" w:type="dxa"/>
            <w:tcBorders>
              <w:top w:val="single" w:sz="6" w:space="0" w:color="auto"/>
              <w:left w:val="single" w:sz="6" w:space="0" w:color="auto"/>
              <w:bottom w:val="double" w:sz="6" w:space="0" w:color="auto"/>
              <w:right w:val="double" w:sz="6" w:space="0" w:color="auto"/>
            </w:tcBorders>
            <w:vAlign w:val="bottom"/>
            <w:hideMark/>
          </w:tcPr>
          <w:p w14:paraId="37D5DD6B" w14:textId="77777777" w:rsidR="00FC5566" w:rsidRPr="00FC5566" w:rsidRDefault="00FC5566" w:rsidP="00FC5566">
            <w:pPr>
              <w:autoSpaceDE w:val="0"/>
              <w:autoSpaceDN w:val="0"/>
              <w:adjustRightInd w:val="0"/>
              <w:jc w:val="center"/>
              <w:rPr>
                <w:bCs/>
                <w:sz w:val="16"/>
                <w:szCs w:val="16"/>
              </w:rPr>
            </w:pPr>
            <w:r w:rsidRPr="00FC5566">
              <w:rPr>
                <w:bCs/>
                <w:sz w:val="16"/>
                <w:szCs w:val="16"/>
              </w:rPr>
              <w:t>2014</w:t>
            </w:r>
          </w:p>
        </w:tc>
      </w:tr>
    </w:tbl>
    <w:p w14:paraId="5DD264F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p w14:paraId="6B7751AE"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40:1563(F), R.S. 40:1563(L), R.S. 40:1578.6(A), and R.S. 40:1578.7(E).</w:t>
      </w:r>
    </w:p>
    <w:p w14:paraId="5B858223"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Public Safety, Office of Fire Protection, LR 1:145 (February 1975), amended LR 5:468 (December 1979), LR 6:71 (February 1980), amended by the Office of State Fire Marshal, LR 7:588 (November 1981), LR 9:417 (June 1983), amended by the Department of Public Safety and Corrections, Office of State Fire Marshal, LR 15:96 (February 1989), LR 17:1114 (November 1991), LR 23:1688 (December 1997), LR 27:857 (June 2001), LR 27:2257 (December 2001), repromulgated LR 29:183 (February 2003), amended LR 30:1303 (June 2004), LR 33:671 (April 2007), LR 36:1564 (July 2010), LR 39:1478 (June 2013), LR 43:969 (May 2017), LR 52:1390 (August 2026).</w:t>
      </w:r>
    </w:p>
    <w:p w14:paraId="2BDE515B"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442" w:name="_Toc293303957"/>
      <w:bookmarkStart w:id="443" w:name="_Toc214624335"/>
      <w:r w:rsidRPr="00FC5566">
        <w:rPr>
          <w:b/>
          <w:kern w:val="2"/>
        </w:rPr>
        <w:t>§105.</w:t>
      </w:r>
      <w:r w:rsidRPr="00FC5566">
        <w:rPr>
          <w:b/>
          <w:kern w:val="2"/>
        </w:rPr>
        <w:tab/>
        <w:t>Required Inspections of Wiring, Gas Piping and Fire Extinguishers</w:t>
      </w:r>
      <w:bookmarkEnd w:id="442"/>
      <w:bookmarkEnd w:id="443"/>
    </w:p>
    <w:p w14:paraId="0AE3E55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Repealed.</w:t>
      </w:r>
    </w:p>
    <w:p w14:paraId="63E1961D"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40:1651(B).</w:t>
      </w:r>
    </w:p>
    <w:p w14:paraId="6048C521"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Public Safety, Office of State Fire Marshal, LR 8:145 (March 1982), amended by the Department of Public Safety and Corrections, Office of State Fire Marshal, LR 23:1691 (December 1997), repealed LR 52:1391 (August 2026).</w:t>
      </w:r>
    </w:p>
    <w:p w14:paraId="62BF60B9"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444" w:name="_Toc204180612"/>
      <w:bookmarkStart w:id="445" w:name="_Toc293303958"/>
      <w:r w:rsidRPr="00FC5566">
        <w:rPr>
          <w:b/>
          <w:kern w:val="2"/>
        </w:rPr>
        <w:t>§107.</w:t>
      </w:r>
      <w:r w:rsidRPr="00FC5566">
        <w:rPr>
          <w:b/>
          <w:kern w:val="2"/>
        </w:rPr>
        <w:tab/>
        <w:t>Smoke and Fire Detection Systems</w:t>
      </w:r>
      <w:bookmarkEnd w:id="444"/>
      <w:bookmarkEnd w:id="445"/>
    </w:p>
    <w:p w14:paraId="62EE7BF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Educational Occupancies</w:t>
      </w:r>
    </w:p>
    <w:p w14:paraId="721675A4"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In those educational facilities for which plans were reviewed prior to January 1, 1982, and in which deficiencies have been noted because of inadequate corridor separation, lack of smoke barriers, and lack of sprinkler protection in windowless classroom buildings, the state fire marshal will accept as equivalent compliance to the aforementioned requirements installation of a complete smoke detection system in the corridors and hazardous areas. This system must be capable of/and properly connected to sound the general fire alarm and shut down all central air handling systems.</w:t>
      </w:r>
    </w:p>
    <w:p w14:paraId="62ABF648"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Within 45 days after service on the owner and/or operator of an inspection report and order of correction citing the deficiencies listed therein, the owner and/or operator of the school must submit to the fire marshal a proposed plan of correction in accordance with §107.A.1. The accepted plan of correction then must be completed within the time specified by the fire marshal which shall not exceed 48 months.</w:t>
      </w:r>
    </w:p>
    <w:p w14:paraId="7A1422F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40:1578.6.B.</w:t>
      </w:r>
    </w:p>
    <w:p w14:paraId="718E2C67"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Public Safety, Office of State Fire Marshal, LR 8:236 (May 1982), amended LR 8:523 (October 1982), LR 8:625 (November 1982), amended by the Department of Public Safety and Corrections, Office of State Fire Marshal, LR 23:1691 (December 1997), LR 52:1391 (August 2026).</w:t>
      </w:r>
    </w:p>
    <w:p w14:paraId="764A6121" w14:textId="77777777" w:rsidR="00FC5566" w:rsidRPr="00FC5566" w:rsidRDefault="00FC5566" w:rsidP="00FC5566">
      <w:pPr>
        <w:tabs>
          <w:tab w:val="left" w:pos="144"/>
          <w:tab w:val="left" w:pos="187"/>
          <w:tab w:val="left" w:pos="540"/>
          <w:tab w:val="left" w:pos="907"/>
          <w:tab w:val="left" w:pos="1080"/>
        </w:tabs>
        <w:ind w:firstLine="187"/>
        <w:jc w:val="both"/>
        <w:outlineLvl w:val="3"/>
        <w:rPr>
          <w:color w:val="002060"/>
          <w:kern w:val="2"/>
        </w:rPr>
      </w:pPr>
    </w:p>
    <w:p w14:paraId="1E7D169E" w14:textId="77777777" w:rsidR="00FC5566" w:rsidRPr="00FC5566" w:rsidRDefault="00FC5566" w:rsidP="00FC5566">
      <w:pPr>
        <w:keepNext/>
        <w:ind w:left="2160"/>
        <w:jc w:val="both"/>
      </w:pPr>
      <w:r w:rsidRPr="00FC5566">
        <w:t>Bryan J. Adams</w:t>
      </w:r>
    </w:p>
    <w:p w14:paraId="3FD966F7" w14:textId="77777777" w:rsidR="00FC5566" w:rsidRPr="00FC5566" w:rsidRDefault="00FC5566" w:rsidP="00FC5566">
      <w:pPr>
        <w:keepNext/>
        <w:ind w:left="2160"/>
        <w:jc w:val="both"/>
      </w:pPr>
      <w:r w:rsidRPr="00FC5566">
        <w:t>State Fire Marshal</w:t>
      </w:r>
    </w:p>
    <w:p w14:paraId="124FFB15" w14:textId="77777777" w:rsidR="00FC5566" w:rsidRPr="00FC5566" w:rsidRDefault="00FC5566" w:rsidP="00FC5566">
      <w:pPr>
        <w:rPr>
          <w:noProof/>
          <w:sz w:val="16"/>
          <w:szCs w:val="16"/>
        </w:rPr>
      </w:pPr>
      <w:r w:rsidRPr="00FC5566">
        <w:rPr>
          <w:noProof/>
          <w:sz w:val="16"/>
          <w:szCs w:val="16"/>
        </w:rPr>
        <w:t>2608#007</w:t>
      </w:r>
    </w:p>
    <w:p w14:paraId="216016F1" w14:textId="77777777" w:rsidR="00FC5566" w:rsidRPr="00FC5566" w:rsidRDefault="00FC5566" w:rsidP="00FC5566"/>
    <w:p w14:paraId="7E5CEBDF" w14:textId="77777777" w:rsidR="00FC5566" w:rsidRPr="00FC5566" w:rsidRDefault="00FC5566" w:rsidP="00FC5566">
      <w:pPr>
        <w:keepNext/>
        <w:tabs>
          <w:tab w:val="left" w:pos="-1440"/>
        </w:tabs>
        <w:spacing w:after="120"/>
        <w:jc w:val="center"/>
        <w:rPr>
          <w:rFonts w:eastAsia="Aptos"/>
          <w:b/>
          <w:noProof/>
        </w:rPr>
      </w:pPr>
      <w:r w:rsidRPr="00FC5566">
        <w:rPr>
          <w:rFonts w:eastAsia="Aptos"/>
          <w:b/>
          <w:noProof/>
        </w:rPr>
        <w:t>RULE</w:t>
      </w:r>
    </w:p>
    <w:p w14:paraId="4DD1BF6D" w14:textId="77777777" w:rsidR="00FC5566" w:rsidRPr="00FC5566" w:rsidRDefault="00FC5566" w:rsidP="00FC5566">
      <w:pPr>
        <w:keepNext/>
        <w:jc w:val="center"/>
        <w:rPr>
          <w:rFonts w:eastAsia="Aptos"/>
          <w:b/>
          <w:noProof/>
        </w:rPr>
      </w:pPr>
      <w:r w:rsidRPr="00FC5566">
        <w:rPr>
          <w:rFonts w:eastAsia="Aptos"/>
          <w:b/>
          <w:noProof/>
        </w:rPr>
        <w:t>Department of Revenue</w:t>
      </w:r>
    </w:p>
    <w:p w14:paraId="02A9845B" w14:textId="77777777" w:rsidR="00FC5566" w:rsidRPr="00FC5566" w:rsidRDefault="00FC5566" w:rsidP="00FC5566">
      <w:pPr>
        <w:keepNext/>
        <w:jc w:val="center"/>
        <w:rPr>
          <w:rFonts w:eastAsia="Aptos"/>
          <w:b/>
          <w:noProof/>
        </w:rPr>
      </w:pPr>
      <w:r w:rsidRPr="00FC5566">
        <w:rPr>
          <w:rFonts w:eastAsia="Aptos"/>
          <w:b/>
          <w:noProof/>
        </w:rPr>
        <w:t>Tax Policy and Planning Division</w:t>
      </w:r>
    </w:p>
    <w:p w14:paraId="3C473CAC" w14:textId="77777777" w:rsidR="00FC5566" w:rsidRPr="00FC5566" w:rsidRDefault="00FC5566" w:rsidP="00FC5566">
      <w:pPr>
        <w:keepNext/>
        <w:spacing w:before="240" w:after="240"/>
        <w:jc w:val="center"/>
        <w:rPr>
          <w:rFonts w:eastAsia="Aptos"/>
          <w:noProof/>
        </w:rPr>
      </w:pPr>
      <w:r w:rsidRPr="00FC5566">
        <w:rPr>
          <w:rFonts w:eastAsia="Aptos"/>
          <w:noProof/>
        </w:rPr>
        <w:t>Repeal of Obsolete Sales and Use Tax Exemptions, Exclusions, Refunds, and Holidays</w:t>
      </w:r>
      <w:r w:rsidRPr="00FC5566">
        <w:rPr>
          <w:rFonts w:eastAsia="Aptos"/>
          <w:noProof/>
        </w:rPr>
        <w:br/>
        <w:t>(LAC 61:I.Chapters 43 and 44)</w:t>
      </w:r>
    </w:p>
    <w:p w14:paraId="13EF735F"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Aptos"/>
          <w:kern w:val="2"/>
        </w:rPr>
      </w:pPr>
      <w:bookmarkStart w:id="446" w:name="_Hlk211247500"/>
      <w:r w:rsidRPr="00FC5566">
        <w:rPr>
          <w:rFonts w:eastAsia="Aptos"/>
          <w:kern w:val="2"/>
        </w:rPr>
        <w:t>Pursuant to the authority of R.S. 47:1511 and R.S. 47:287.95, and in accordance with the provisions of the Administrative Procedures Act (R.S. 49:950 et seq.), the Department of Revenue, Tax Policy and Planning Division, has repealed certain rules governing the administration of sales and use tax. These include provisions in Chapter 43 (Sales and Use Tax), specifically LAC 61:I.4302 and 4371, and Chapter 44 (Sales and Use Tax Exemptions), specifically LAC 61:I.4406, 4407, 4413, 4416, 4423, and 4427.</w:t>
      </w:r>
    </w:p>
    <w:p w14:paraId="6429C8AB"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Aptos"/>
          <w:kern w:val="2"/>
        </w:rPr>
      </w:pPr>
      <w:r w:rsidRPr="00FC5566">
        <w:rPr>
          <w:rFonts w:eastAsia="Aptos"/>
          <w:kern w:val="2"/>
        </w:rPr>
        <w:t xml:space="preserve">This Rule repeals provisions related to certain exemptions, exclusions, refunds and sales tax holidays that have either been repealed from sales and use tax law or have expired. These include the exclusion for pollution control devices and systems; the refund for tangible personal property destroyed in a natural disaster; exemptions for Little Theater tickets, </w:t>
      </w:r>
      <w:r w:rsidRPr="00FC5566">
        <w:rPr>
          <w:rFonts w:eastAsia="Aptos"/>
          <w:kern w:val="2"/>
        </w:rPr>
        <w:br w:type="page"/>
      </w:r>
    </w:p>
    <w:p w14:paraId="32043B10" w14:textId="77777777" w:rsidR="00FC5566" w:rsidRPr="00FC5566" w:rsidRDefault="00FC5566" w:rsidP="00FC5566">
      <w:pPr>
        <w:tabs>
          <w:tab w:val="left" w:pos="144"/>
          <w:tab w:val="left" w:pos="187"/>
          <w:tab w:val="left" w:pos="540"/>
          <w:tab w:val="left" w:pos="907"/>
          <w:tab w:val="left" w:pos="1080"/>
        </w:tabs>
        <w:jc w:val="both"/>
        <w:outlineLvl w:val="3"/>
        <w:rPr>
          <w:rFonts w:eastAsia="Aptos"/>
          <w:kern w:val="2"/>
        </w:rPr>
      </w:pPr>
      <w:r w:rsidRPr="00FC5566">
        <w:rPr>
          <w:rFonts w:eastAsia="Aptos"/>
          <w:kern w:val="2"/>
        </w:rPr>
        <w:lastRenderedPageBreak/>
        <w:t xml:space="preserve">tickets to musical performances of nonprofit musical organizations, admissions to entertainment furnished by certain domestic nonprofit corporations, purchases of Mardi Gras specialty items, charitable construction of animal shelters; and the sales tax holiday for hurricane preparedness. </w:t>
      </w:r>
    </w:p>
    <w:p w14:paraId="675AA0B6"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Aptos"/>
          <w:kern w:val="2"/>
        </w:rPr>
      </w:pPr>
      <w:r w:rsidRPr="00FC5566">
        <w:rPr>
          <w:rFonts w:eastAsia="Aptos"/>
          <w:kern w:val="2"/>
        </w:rPr>
        <w:t xml:space="preserve">The Rule text has been drafted using plain language principles to promote clarity and accessibility for all users. It has also been reviewed and tested for compliance with applicable web accessibility standards. This Rule is hereby adopted on the day of promulgation. </w:t>
      </w:r>
    </w:p>
    <w:bookmarkEnd w:id="446"/>
    <w:p w14:paraId="1AD46666" w14:textId="77777777" w:rsidR="00FC5566" w:rsidRPr="00FC5566" w:rsidRDefault="00FC5566" w:rsidP="00FC5566">
      <w:pPr>
        <w:keepNext/>
        <w:jc w:val="center"/>
        <w:rPr>
          <w:rFonts w:eastAsia="Aptos"/>
          <w:b/>
          <w:kern w:val="28"/>
        </w:rPr>
      </w:pPr>
      <w:r w:rsidRPr="00FC5566">
        <w:rPr>
          <w:rFonts w:eastAsia="Aptos"/>
          <w:b/>
          <w:kern w:val="28"/>
        </w:rPr>
        <w:t>Title 61</w:t>
      </w:r>
    </w:p>
    <w:p w14:paraId="61690954" w14:textId="77777777" w:rsidR="00FC5566" w:rsidRPr="00FC5566" w:rsidRDefault="00FC5566" w:rsidP="00FC5566">
      <w:pPr>
        <w:keepNext/>
        <w:jc w:val="center"/>
        <w:rPr>
          <w:rFonts w:eastAsia="Aptos"/>
          <w:b/>
          <w:kern w:val="28"/>
        </w:rPr>
      </w:pPr>
      <w:r w:rsidRPr="00FC5566">
        <w:rPr>
          <w:rFonts w:eastAsia="Aptos"/>
          <w:b/>
          <w:kern w:val="28"/>
        </w:rPr>
        <w:t>REVENUE AND TAXATION</w:t>
      </w:r>
    </w:p>
    <w:p w14:paraId="1597D726" w14:textId="77777777" w:rsidR="00FC5566" w:rsidRPr="00FC5566" w:rsidRDefault="00FC5566" w:rsidP="00FC5566">
      <w:pPr>
        <w:keepNext/>
        <w:jc w:val="center"/>
        <w:rPr>
          <w:rFonts w:eastAsia="Aptos"/>
          <w:b/>
          <w:noProof/>
        </w:rPr>
      </w:pPr>
      <w:r w:rsidRPr="00FC5566">
        <w:rPr>
          <w:rFonts w:eastAsia="Aptos"/>
          <w:b/>
          <w:noProof/>
        </w:rPr>
        <w:t>Part I.  Taxes Collected and Administered by the Secretary of Revenue</w:t>
      </w:r>
    </w:p>
    <w:p w14:paraId="7D259B67"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rFonts w:eastAsia="Aptos"/>
          <w:b/>
          <w:kern w:val="2"/>
        </w:rPr>
      </w:pPr>
      <w:r w:rsidRPr="00FC5566">
        <w:rPr>
          <w:rFonts w:eastAsia="Aptos"/>
          <w:b/>
          <w:kern w:val="2"/>
        </w:rPr>
        <w:t>Chapter 43.</w:t>
      </w:r>
      <w:r w:rsidRPr="00FC5566">
        <w:rPr>
          <w:rFonts w:eastAsia="Aptos"/>
          <w:b/>
          <w:kern w:val="2"/>
        </w:rPr>
        <w:tab/>
        <w:t>Sales and Use Tax</w:t>
      </w:r>
    </w:p>
    <w:p w14:paraId="26C7AD04" w14:textId="3A1021EC"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rFonts w:eastAsia="Aptos"/>
          <w:b/>
          <w:kern w:val="2"/>
        </w:rPr>
      </w:pPr>
      <w:r w:rsidRPr="00FC5566">
        <w:rPr>
          <w:rFonts w:eastAsia="Aptos"/>
          <w:b/>
          <w:kern w:val="2"/>
        </w:rPr>
        <w:t>§4302</w:t>
      </w:r>
      <w:r w:rsidR="00CF56DA">
        <w:rPr>
          <w:rFonts w:eastAsia="Aptos"/>
          <w:b/>
          <w:kern w:val="2"/>
        </w:rPr>
        <w:t>.</w:t>
      </w:r>
      <w:r w:rsidRPr="00FC5566">
        <w:rPr>
          <w:rFonts w:eastAsia="Aptos"/>
          <w:b/>
          <w:kern w:val="2"/>
        </w:rPr>
        <w:tab/>
        <w:t xml:space="preserve">Pollution Control Devices and Systems Excluded from Definition of Sale at Retail </w:t>
      </w:r>
    </w:p>
    <w:p w14:paraId="554529D3"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Aptos"/>
          <w:kern w:val="2"/>
        </w:rPr>
      </w:pPr>
      <w:r w:rsidRPr="00FC5566">
        <w:rPr>
          <w:rFonts w:eastAsia="Aptos"/>
          <w:kern w:val="2"/>
        </w:rPr>
        <w:t>Repealed.</w:t>
      </w:r>
    </w:p>
    <w:p w14:paraId="59626668"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rFonts w:eastAsia="Aptos"/>
          <w:kern w:val="2"/>
          <w:sz w:val="18"/>
        </w:rPr>
      </w:pPr>
      <w:r w:rsidRPr="00FC5566">
        <w:rPr>
          <w:rFonts w:eastAsia="Aptos"/>
          <w:kern w:val="2"/>
          <w:sz w:val="18"/>
        </w:rPr>
        <w:t>AUTHORITY NOTE:</w:t>
      </w:r>
      <w:r w:rsidRPr="00FC5566">
        <w:rPr>
          <w:rFonts w:eastAsia="Aptos"/>
          <w:kern w:val="2"/>
          <w:sz w:val="18"/>
        </w:rPr>
        <w:tab/>
        <w:t>Promulgated in accordance with R.S. 47:301(10)(l).</w:t>
      </w:r>
    </w:p>
    <w:p w14:paraId="2EFF8D0F"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rFonts w:eastAsia="Aptos"/>
          <w:kern w:val="2"/>
          <w:sz w:val="18"/>
        </w:rPr>
      </w:pPr>
      <w:r w:rsidRPr="00FC5566">
        <w:rPr>
          <w:rFonts w:eastAsia="Aptos"/>
          <w:kern w:val="2"/>
          <w:sz w:val="18"/>
        </w:rPr>
        <w:t>HISTORICAL NOTE:</w:t>
      </w:r>
      <w:r w:rsidRPr="00FC5566">
        <w:rPr>
          <w:rFonts w:eastAsia="Aptos"/>
          <w:kern w:val="2"/>
          <w:sz w:val="18"/>
        </w:rPr>
        <w:tab/>
        <w:t>Promulgated by the Department of Revenue and Taxation, Sales Tax Division, LR 18:1414 (December 1992), repealed by the Department of Revenue, Tax Policy and Planning Division, LR 52:1392 (August 2026).</w:t>
      </w:r>
    </w:p>
    <w:p w14:paraId="1CD333CB" w14:textId="17F22BE2"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rFonts w:eastAsia="Aptos"/>
          <w:b/>
          <w:kern w:val="2"/>
        </w:rPr>
      </w:pPr>
      <w:r w:rsidRPr="00FC5566">
        <w:rPr>
          <w:rFonts w:eastAsia="Aptos"/>
          <w:b/>
          <w:kern w:val="2"/>
        </w:rPr>
        <w:t>§4371</w:t>
      </w:r>
      <w:r w:rsidR="00CF56DA">
        <w:rPr>
          <w:rFonts w:eastAsia="Aptos"/>
          <w:b/>
          <w:kern w:val="2"/>
        </w:rPr>
        <w:t>.</w:t>
      </w:r>
      <w:r w:rsidRPr="00FC5566">
        <w:rPr>
          <w:rFonts w:eastAsia="Aptos"/>
          <w:b/>
          <w:kern w:val="2"/>
        </w:rPr>
        <w:tab/>
        <w:t xml:space="preserve">Sales Tax Refund for Tangible Personal Property Destroyed in a Natural Disaster </w:t>
      </w:r>
    </w:p>
    <w:p w14:paraId="6D76C730"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Aptos"/>
          <w:bCs/>
          <w:kern w:val="2"/>
        </w:rPr>
      </w:pPr>
      <w:r w:rsidRPr="00FC5566">
        <w:rPr>
          <w:rFonts w:eastAsia="Aptos"/>
          <w:kern w:val="2"/>
        </w:rPr>
        <w:t>Repealed.</w:t>
      </w:r>
    </w:p>
    <w:p w14:paraId="00C4717B"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rFonts w:eastAsia="Aptos"/>
          <w:kern w:val="2"/>
          <w:sz w:val="18"/>
        </w:rPr>
      </w:pPr>
      <w:r w:rsidRPr="00FC5566">
        <w:rPr>
          <w:rFonts w:eastAsia="Aptos"/>
          <w:kern w:val="2"/>
          <w:sz w:val="18"/>
        </w:rPr>
        <w:t>AUTHORITY NOTE:</w:t>
      </w:r>
      <w:r w:rsidRPr="00FC5566">
        <w:rPr>
          <w:rFonts w:eastAsia="Aptos"/>
          <w:kern w:val="2"/>
          <w:sz w:val="18"/>
        </w:rPr>
        <w:tab/>
        <w:t>Promulgated in accordance with R.S. 47:315.1. and R.S. 47:1511.</w:t>
      </w:r>
    </w:p>
    <w:p w14:paraId="0B4224AC"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rFonts w:eastAsia="Aptos"/>
          <w:kern w:val="2"/>
          <w:sz w:val="18"/>
        </w:rPr>
      </w:pPr>
      <w:r w:rsidRPr="00FC5566">
        <w:rPr>
          <w:rFonts w:eastAsia="Aptos"/>
          <w:kern w:val="2"/>
          <w:sz w:val="18"/>
        </w:rPr>
        <w:t>HISTORICAL NOTE:</w:t>
      </w:r>
      <w:r w:rsidRPr="00FC5566">
        <w:rPr>
          <w:rFonts w:eastAsia="Aptos"/>
          <w:kern w:val="2"/>
          <w:sz w:val="18"/>
        </w:rPr>
        <w:tab/>
        <w:t>Promulgated by the Department of Revenue and Taxation, Sales Tax Division, LR 13:107 (February 1987), amended by the Department of Revenue, Policy Services Division, LR 31:99 (January 2005), LR 32:262 (February 2006), repealed by the Department of Revenue, Tax Policy and Planning Division, LR 52:1392 (August 2026).</w:t>
      </w:r>
    </w:p>
    <w:p w14:paraId="03859BAD"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rFonts w:eastAsia="Aptos"/>
          <w:b/>
          <w:kern w:val="2"/>
        </w:rPr>
      </w:pPr>
      <w:r w:rsidRPr="00FC5566">
        <w:rPr>
          <w:rFonts w:eastAsia="Aptos"/>
          <w:b/>
          <w:kern w:val="2"/>
        </w:rPr>
        <w:t>Chapter 44.</w:t>
      </w:r>
      <w:r w:rsidRPr="00FC5566">
        <w:rPr>
          <w:rFonts w:eastAsia="Aptos"/>
          <w:b/>
          <w:kern w:val="2"/>
        </w:rPr>
        <w:tab/>
        <w:t xml:space="preserve">Sales and Use Tax Exemptions </w:t>
      </w:r>
    </w:p>
    <w:p w14:paraId="37B1FBE0" w14:textId="4336C8E8"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rFonts w:eastAsia="Aptos"/>
          <w:b/>
          <w:kern w:val="2"/>
        </w:rPr>
      </w:pPr>
      <w:r w:rsidRPr="00FC5566">
        <w:rPr>
          <w:rFonts w:eastAsia="Aptos"/>
          <w:b/>
          <w:kern w:val="2"/>
        </w:rPr>
        <w:t>§4406</w:t>
      </w:r>
      <w:r w:rsidR="00CF56DA">
        <w:rPr>
          <w:rFonts w:eastAsia="Aptos"/>
          <w:b/>
          <w:kern w:val="2"/>
        </w:rPr>
        <w:t>.</w:t>
      </w:r>
      <w:r w:rsidRPr="00FC5566">
        <w:rPr>
          <w:rFonts w:eastAsia="Aptos"/>
          <w:b/>
          <w:kern w:val="2"/>
        </w:rPr>
        <w:tab/>
        <w:t>Little Theater Tickets</w:t>
      </w:r>
    </w:p>
    <w:p w14:paraId="42188F2A"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Aptos"/>
          <w:bCs/>
          <w:kern w:val="2"/>
        </w:rPr>
      </w:pPr>
      <w:r w:rsidRPr="00FC5566">
        <w:rPr>
          <w:rFonts w:eastAsia="Aptos"/>
          <w:kern w:val="2"/>
        </w:rPr>
        <w:t>Repealed.</w:t>
      </w:r>
    </w:p>
    <w:p w14:paraId="433904B1"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rFonts w:eastAsia="Aptos"/>
          <w:kern w:val="2"/>
          <w:sz w:val="18"/>
        </w:rPr>
      </w:pPr>
      <w:r w:rsidRPr="00FC5566">
        <w:rPr>
          <w:rFonts w:eastAsia="Aptos"/>
          <w:kern w:val="2"/>
          <w:sz w:val="18"/>
        </w:rPr>
        <w:t>AUTHORITY NOTE:</w:t>
      </w:r>
      <w:r w:rsidRPr="00FC5566">
        <w:rPr>
          <w:rFonts w:eastAsia="Aptos"/>
          <w:kern w:val="2"/>
          <w:sz w:val="18"/>
        </w:rPr>
        <w:tab/>
        <w:t>Promulgated in accordance with R.S. 47:305.6, R.S. 47:337.2, R.S. 47:337.9, and R.S. 47:1511.</w:t>
      </w:r>
    </w:p>
    <w:p w14:paraId="7D75CA3F"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rFonts w:eastAsia="Aptos"/>
          <w:kern w:val="2"/>
          <w:sz w:val="18"/>
        </w:rPr>
      </w:pPr>
      <w:r w:rsidRPr="00FC5566">
        <w:rPr>
          <w:rFonts w:eastAsia="Aptos"/>
          <w:kern w:val="2"/>
          <w:sz w:val="18"/>
        </w:rPr>
        <w:t>HISTORICAL NOTE:</w:t>
      </w:r>
      <w:r w:rsidRPr="00FC5566">
        <w:rPr>
          <w:rFonts w:eastAsia="Aptos"/>
          <w:kern w:val="2"/>
          <w:sz w:val="18"/>
        </w:rPr>
        <w:tab/>
        <w:t>Promulgated by the Department of Revenue and Taxation, Sales Tax Section, LR 13:107 (February 1987), amended by the Department of Revenue, Policy Services Division, LR 31:93 (January 2005), repealed by the Department of Revenue, Tax Policy and Planning Division, LR:52:1392 (August 2026).</w:t>
      </w:r>
    </w:p>
    <w:p w14:paraId="2ADCCBD3" w14:textId="27C643F3"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rFonts w:eastAsia="Aptos"/>
          <w:b/>
          <w:kern w:val="2"/>
        </w:rPr>
      </w:pPr>
      <w:r w:rsidRPr="00FC5566">
        <w:rPr>
          <w:rFonts w:eastAsia="Aptos"/>
          <w:b/>
          <w:kern w:val="2"/>
        </w:rPr>
        <w:t>§4407</w:t>
      </w:r>
      <w:r w:rsidR="00CF56DA">
        <w:rPr>
          <w:rFonts w:eastAsia="Aptos"/>
          <w:b/>
          <w:kern w:val="2"/>
        </w:rPr>
        <w:t>.</w:t>
      </w:r>
      <w:r w:rsidRPr="00FC5566">
        <w:rPr>
          <w:rFonts w:eastAsia="Aptos"/>
          <w:b/>
          <w:kern w:val="2"/>
        </w:rPr>
        <w:tab/>
        <w:t>Tickets to Musical Performances of Nonprofit Musical Organizations</w:t>
      </w:r>
    </w:p>
    <w:p w14:paraId="738417B8"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Aptos"/>
          <w:bCs/>
          <w:kern w:val="2"/>
        </w:rPr>
      </w:pPr>
      <w:r w:rsidRPr="00FC5566">
        <w:rPr>
          <w:kern w:val="2"/>
        </w:rPr>
        <w:t>Repealed</w:t>
      </w:r>
      <w:r w:rsidRPr="00FC5566">
        <w:rPr>
          <w:rFonts w:eastAsia="Aptos"/>
          <w:kern w:val="2"/>
        </w:rPr>
        <w:t>.</w:t>
      </w:r>
    </w:p>
    <w:p w14:paraId="2D8EE548"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rFonts w:eastAsia="Aptos"/>
          <w:kern w:val="2"/>
          <w:sz w:val="18"/>
        </w:rPr>
      </w:pPr>
      <w:r w:rsidRPr="00FC5566">
        <w:rPr>
          <w:rFonts w:eastAsia="Aptos"/>
          <w:kern w:val="2"/>
          <w:sz w:val="18"/>
        </w:rPr>
        <w:t>AUTHORITY NOTE:</w:t>
      </w:r>
      <w:r w:rsidRPr="00FC5566">
        <w:rPr>
          <w:rFonts w:eastAsia="Aptos"/>
          <w:kern w:val="2"/>
          <w:sz w:val="18"/>
        </w:rPr>
        <w:tab/>
        <w:t>Promulgated in accordance with R.S. 47:305.7, R.S. 47:337.2, R.S. 47:337.9, and R.S. 47:1511.</w:t>
      </w:r>
    </w:p>
    <w:p w14:paraId="5DFEC350"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rFonts w:eastAsia="Aptos"/>
          <w:kern w:val="2"/>
          <w:sz w:val="18"/>
        </w:rPr>
      </w:pPr>
      <w:r w:rsidRPr="00FC5566">
        <w:rPr>
          <w:rFonts w:eastAsia="Aptos"/>
          <w:kern w:val="2"/>
          <w:sz w:val="18"/>
        </w:rPr>
        <w:t>HISTORICAL NOTE:</w:t>
      </w:r>
      <w:r w:rsidRPr="00FC5566">
        <w:rPr>
          <w:rFonts w:eastAsia="Aptos"/>
          <w:kern w:val="2"/>
          <w:sz w:val="18"/>
        </w:rPr>
        <w:tab/>
        <w:t>Promulgated by the Department of Revenue and Taxation, Sales Tax Section, LR 13:107 (February 1987), amended by the Department of Revenue, Policy Services Division, LR 31:100 (January 2005), repealed by the Department of Revenue, Tax Policy and Planning Division, LR 52:1392 (August 2026).</w:t>
      </w:r>
    </w:p>
    <w:p w14:paraId="1197AAD5" w14:textId="7C2988AE"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rFonts w:eastAsia="Aptos"/>
          <w:b/>
          <w:kern w:val="2"/>
        </w:rPr>
      </w:pPr>
      <w:r w:rsidRPr="00FC5566">
        <w:rPr>
          <w:rFonts w:eastAsia="Aptos"/>
          <w:b/>
          <w:kern w:val="2"/>
        </w:rPr>
        <w:t>§4413</w:t>
      </w:r>
      <w:r w:rsidR="00CF56DA">
        <w:rPr>
          <w:rFonts w:eastAsia="Aptos"/>
          <w:b/>
          <w:kern w:val="2"/>
        </w:rPr>
        <w:t>.</w:t>
      </w:r>
      <w:r w:rsidRPr="00FC5566">
        <w:rPr>
          <w:rFonts w:eastAsia="Aptos"/>
          <w:b/>
          <w:kern w:val="2"/>
        </w:rPr>
        <w:tab/>
        <w:t>Admissions to Entertainment Furnished by Certain Domestic Nonprofit Corporations</w:t>
      </w:r>
    </w:p>
    <w:p w14:paraId="02816DE5"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Aptos"/>
          <w:bCs/>
          <w:kern w:val="2"/>
        </w:rPr>
      </w:pPr>
      <w:r w:rsidRPr="00FC5566">
        <w:rPr>
          <w:kern w:val="2"/>
        </w:rPr>
        <w:t>Repealed</w:t>
      </w:r>
      <w:r w:rsidRPr="00FC5566">
        <w:rPr>
          <w:rFonts w:eastAsia="Aptos"/>
          <w:kern w:val="2"/>
        </w:rPr>
        <w:t>.</w:t>
      </w:r>
    </w:p>
    <w:p w14:paraId="3A61ACBA"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rFonts w:eastAsia="Aptos"/>
          <w:kern w:val="2"/>
          <w:sz w:val="18"/>
        </w:rPr>
      </w:pPr>
      <w:r w:rsidRPr="00FC5566">
        <w:rPr>
          <w:rFonts w:eastAsia="Aptos"/>
          <w:kern w:val="2"/>
          <w:sz w:val="18"/>
        </w:rPr>
        <w:t>AUTHORITY NOTE:</w:t>
      </w:r>
      <w:r w:rsidRPr="00FC5566">
        <w:rPr>
          <w:rFonts w:eastAsia="Aptos"/>
          <w:kern w:val="2"/>
          <w:sz w:val="18"/>
        </w:rPr>
        <w:tab/>
        <w:t>Promulgated in accordance with R.S. 47:305.13, R.S. 47:337.2, R.S. 47:337.9, and R.S. 47:1511.</w:t>
      </w:r>
    </w:p>
    <w:p w14:paraId="502C40CD"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rFonts w:eastAsia="Aptos"/>
          <w:kern w:val="2"/>
          <w:sz w:val="18"/>
        </w:rPr>
      </w:pPr>
      <w:r w:rsidRPr="00FC5566">
        <w:rPr>
          <w:rFonts w:eastAsia="Aptos"/>
          <w:kern w:val="2"/>
          <w:sz w:val="18"/>
        </w:rPr>
        <w:br w:type="column"/>
      </w:r>
      <w:r w:rsidRPr="00FC5566">
        <w:rPr>
          <w:rFonts w:eastAsia="Aptos"/>
          <w:kern w:val="2"/>
          <w:sz w:val="18"/>
        </w:rPr>
        <w:t>HISTORICAL NOTE:</w:t>
      </w:r>
      <w:r w:rsidRPr="00FC5566">
        <w:rPr>
          <w:rFonts w:eastAsia="Aptos"/>
          <w:kern w:val="2"/>
          <w:sz w:val="18"/>
        </w:rPr>
        <w:tab/>
        <w:t>Promulgated by the Department of Revenue and Taxation, Sales Tax Section, LR 13:107 (February 1987), amended by the Department of Revenue, Policy Services Division, LR 31:88 (January 2005), repealed by the Department of Revenue, Tax Policy and Planning Division, LR 52:1392 (August 2026).</w:t>
      </w:r>
    </w:p>
    <w:p w14:paraId="4CBED229" w14:textId="14955FFA"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rFonts w:eastAsia="Aptos"/>
          <w:b/>
          <w:kern w:val="2"/>
        </w:rPr>
      </w:pPr>
      <w:r w:rsidRPr="00FC5566">
        <w:rPr>
          <w:rFonts w:eastAsia="Aptos"/>
          <w:b/>
          <w:kern w:val="2"/>
        </w:rPr>
        <w:t>§4416</w:t>
      </w:r>
      <w:r w:rsidR="00CF56DA">
        <w:rPr>
          <w:rFonts w:eastAsia="Aptos"/>
          <w:b/>
          <w:kern w:val="2"/>
        </w:rPr>
        <w:t>.</w:t>
      </w:r>
      <w:r w:rsidRPr="00FC5566">
        <w:rPr>
          <w:rFonts w:eastAsia="Aptos"/>
          <w:b/>
          <w:kern w:val="2"/>
        </w:rPr>
        <w:tab/>
        <w:t>Purchases of Mardi Gras Specialty Items</w:t>
      </w:r>
    </w:p>
    <w:p w14:paraId="4F9158FE"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Aptos"/>
          <w:bCs/>
          <w:kern w:val="2"/>
        </w:rPr>
      </w:pPr>
      <w:r w:rsidRPr="00FC5566">
        <w:rPr>
          <w:kern w:val="2"/>
        </w:rPr>
        <w:t>Repealed</w:t>
      </w:r>
      <w:r w:rsidRPr="00FC5566">
        <w:rPr>
          <w:rFonts w:eastAsia="Aptos"/>
          <w:kern w:val="2"/>
        </w:rPr>
        <w:t>.</w:t>
      </w:r>
    </w:p>
    <w:p w14:paraId="160FE9E8"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rFonts w:eastAsia="Aptos"/>
          <w:kern w:val="2"/>
          <w:sz w:val="18"/>
        </w:rPr>
      </w:pPr>
      <w:r w:rsidRPr="00FC5566">
        <w:rPr>
          <w:rFonts w:eastAsia="Aptos"/>
          <w:kern w:val="2"/>
          <w:sz w:val="18"/>
        </w:rPr>
        <w:t>AUTHORITY NOTE:</w:t>
      </w:r>
      <w:r w:rsidRPr="00FC5566">
        <w:rPr>
          <w:rFonts w:eastAsia="Aptos"/>
          <w:kern w:val="2"/>
          <w:sz w:val="18"/>
        </w:rPr>
        <w:tab/>
        <w:t>Promulgated in accordance with R.S. 47:305.40 and R.S. 47:1511.</w:t>
      </w:r>
    </w:p>
    <w:p w14:paraId="7B8D36C1"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rFonts w:eastAsia="Aptos"/>
          <w:kern w:val="2"/>
          <w:sz w:val="18"/>
        </w:rPr>
      </w:pPr>
      <w:r w:rsidRPr="00FC5566">
        <w:rPr>
          <w:rFonts w:eastAsia="Aptos"/>
          <w:kern w:val="2"/>
          <w:sz w:val="18"/>
        </w:rPr>
        <w:t>HISTORICAL NOTE:</w:t>
      </w:r>
      <w:r w:rsidRPr="00FC5566">
        <w:rPr>
          <w:rFonts w:eastAsia="Aptos"/>
          <w:kern w:val="2"/>
          <w:sz w:val="18"/>
        </w:rPr>
        <w:tab/>
        <w:t>Promulgated by the Department of Revenue and Taxation, Sales Tax Section, LR 13:107 (February 1987), amended by the Department of Revenue, Policy Services Division, LR 31:93 (January 2005), repealed by the Department of Revenue, Tax Policy and Planning Division, LR 52:1392 (August 2026).</w:t>
      </w:r>
    </w:p>
    <w:p w14:paraId="737A8345" w14:textId="408A4C14"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rFonts w:eastAsia="Aptos"/>
          <w:b/>
          <w:kern w:val="2"/>
        </w:rPr>
      </w:pPr>
      <w:r w:rsidRPr="00FC5566">
        <w:rPr>
          <w:rFonts w:eastAsia="Aptos"/>
          <w:b/>
          <w:kern w:val="2"/>
        </w:rPr>
        <w:t>§4423</w:t>
      </w:r>
      <w:r w:rsidR="00CF56DA">
        <w:rPr>
          <w:rFonts w:eastAsia="Aptos"/>
          <w:b/>
          <w:kern w:val="2"/>
        </w:rPr>
        <w:t>.</w:t>
      </w:r>
      <w:r w:rsidRPr="00FC5566">
        <w:rPr>
          <w:rFonts w:eastAsia="Aptos"/>
          <w:b/>
          <w:kern w:val="2"/>
        </w:rPr>
        <w:tab/>
        <w:t>State Sales Tax Holiday on Purchases of Hurricane-Preparedness Items</w:t>
      </w:r>
    </w:p>
    <w:p w14:paraId="3E0AE354"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Aptos"/>
          <w:bCs/>
          <w:kern w:val="2"/>
        </w:rPr>
      </w:pPr>
      <w:r w:rsidRPr="00FC5566">
        <w:rPr>
          <w:kern w:val="2"/>
        </w:rPr>
        <w:t>Repealed</w:t>
      </w:r>
      <w:r w:rsidRPr="00FC5566">
        <w:rPr>
          <w:rFonts w:eastAsia="Aptos"/>
          <w:kern w:val="2"/>
        </w:rPr>
        <w:t>.</w:t>
      </w:r>
    </w:p>
    <w:p w14:paraId="42BFF1B2"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rFonts w:eastAsia="Aptos"/>
          <w:kern w:val="2"/>
          <w:sz w:val="18"/>
        </w:rPr>
      </w:pPr>
      <w:r w:rsidRPr="00FC5566">
        <w:rPr>
          <w:rFonts w:eastAsia="Aptos"/>
          <w:kern w:val="2"/>
          <w:sz w:val="18"/>
        </w:rPr>
        <w:t>AUTHORITY NOTE:</w:t>
      </w:r>
      <w:r w:rsidRPr="00FC5566">
        <w:rPr>
          <w:rFonts w:eastAsia="Aptos"/>
          <w:kern w:val="2"/>
          <w:sz w:val="18"/>
        </w:rPr>
        <w:tab/>
        <w:t>Promulgated in accordance with R.S. 47:1511 and Sec. 2 of Act 429 of the 2007 Regular Session.</w:t>
      </w:r>
    </w:p>
    <w:p w14:paraId="58A80DE2"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rFonts w:eastAsia="Aptos"/>
          <w:kern w:val="2"/>
          <w:sz w:val="18"/>
        </w:rPr>
      </w:pPr>
      <w:r w:rsidRPr="00FC5566">
        <w:rPr>
          <w:rFonts w:eastAsia="Aptos"/>
          <w:kern w:val="2"/>
          <w:sz w:val="18"/>
        </w:rPr>
        <w:t>HISTORICAL NOTE:</w:t>
      </w:r>
      <w:r w:rsidRPr="00FC5566">
        <w:rPr>
          <w:rFonts w:eastAsia="Aptos"/>
          <w:kern w:val="2"/>
          <w:sz w:val="18"/>
        </w:rPr>
        <w:tab/>
        <w:t>Promulgated by the Department of Revenue, Policy Services Division, LR 34:1426 (July 2008), repealed by the Department of Revenue, Tax Policy and Planning Division, LR 52:1392 (August 2026).</w:t>
      </w:r>
    </w:p>
    <w:p w14:paraId="4229773C" w14:textId="418FC2F3"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rFonts w:eastAsia="Aptos"/>
          <w:b/>
          <w:kern w:val="2"/>
        </w:rPr>
      </w:pPr>
      <w:r w:rsidRPr="00FC5566">
        <w:rPr>
          <w:rFonts w:eastAsia="Aptos"/>
          <w:b/>
          <w:kern w:val="2"/>
        </w:rPr>
        <w:t>§4427</w:t>
      </w:r>
      <w:r w:rsidR="00CF56DA">
        <w:rPr>
          <w:rFonts w:eastAsia="Aptos"/>
          <w:b/>
          <w:kern w:val="2"/>
        </w:rPr>
        <w:t>.</w:t>
      </w:r>
      <w:r w:rsidRPr="00FC5566">
        <w:rPr>
          <w:rFonts w:eastAsia="Aptos"/>
          <w:b/>
          <w:kern w:val="2"/>
        </w:rPr>
        <w:tab/>
        <w:t>Sales and Use Tax Exemption for Charitable Construction of Animal Shelters</w:t>
      </w:r>
    </w:p>
    <w:p w14:paraId="4BD0145C"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Aptos"/>
          <w:bCs/>
          <w:kern w:val="2"/>
        </w:rPr>
      </w:pPr>
      <w:r w:rsidRPr="00FC5566">
        <w:rPr>
          <w:kern w:val="2"/>
        </w:rPr>
        <w:t>Repealed</w:t>
      </w:r>
      <w:r w:rsidRPr="00FC5566">
        <w:rPr>
          <w:rFonts w:eastAsia="Aptos"/>
          <w:kern w:val="2"/>
        </w:rPr>
        <w:t>.</w:t>
      </w:r>
    </w:p>
    <w:p w14:paraId="08A9E5EA"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rFonts w:eastAsia="Aptos"/>
          <w:kern w:val="2"/>
          <w:sz w:val="18"/>
        </w:rPr>
      </w:pPr>
      <w:r w:rsidRPr="00FC5566">
        <w:rPr>
          <w:rFonts w:eastAsia="Aptos"/>
          <w:kern w:val="2"/>
          <w:sz w:val="18"/>
        </w:rPr>
        <w:t>AUTHORITY NOTE:</w:t>
      </w:r>
      <w:r w:rsidRPr="00FC5566">
        <w:rPr>
          <w:rFonts w:eastAsia="Aptos"/>
          <w:kern w:val="2"/>
          <w:sz w:val="18"/>
        </w:rPr>
        <w:tab/>
        <w:t>Promulgated in accordance with R.S.47:305.59(B) and R.S. 47:1511.</w:t>
      </w:r>
    </w:p>
    <w:p w14:paraId="78E6095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rFonts w:eastAsia="Aptos"/>
          <w:kern w:val="2"/>
          <w:sz w:val="18"/>
        </w:rPr>
      </w:pPr>
      <w:r w:rsidRPr="00FC5566">
        <w:rPr>
          <w:rFonts w:eastAsia="Aptos"/>
          <w:kern w:val="2"/>
          <w:sz w:val="18"/>
        </w:rPr>
        <w:t>HISTORICAL NOTE:</w:t>
      </w:r>
      <w:r w:rsidRPr="00FC5566">
        <w:rPr>
          <w:rFonts w:eastAsia="Aptos"/>
          <w:kern w:val="2"/>
          <w:sz w:val="18"/>
        </w:rPr>
        <w:tab/>
        <w:t>Promulgated by the Department of Revenue, Policy Services Division, LR 48:506 (March 2022); repealed by the Department of Revenue, Tax Policy and Planning Division, LR 52:1392 (August 2026).</w:t>
      </w:r>
    </w:p>
    <w:p w14:paraId="2C012573"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bookmarkStart w:id="447" w:name="bookmark0"/>
      <w:bookmarkEnd w:id="447"/>
    </w:p>
    <w:p w14:paraId="43067456" w14:textId="77777777" w:rsidR="00FC5566" w:rsidRPr="00FC5566" w:rsidRDefault="00FC5566" w:rsidP="00FC5566">
      <w:pPr>
        <w:keepNext/>
        <w:ind w:left="2160"/>
        <w:jc w:val="both"/>
      </w:pPr>
      <w:bookmarkStart w:id="448" w:name="_Hlk224895675"/>
      <w:r w:rsidRPr="00FC5566">
        <w:t xml:space="preserve">Jarrod Coniglio </w:t>
      </w:r>
    </w:p>
    <w:p w14:paraId="69A9CCA0" w14:textId="77777777" w:rsidR="00FC5566" w:rsidRPr="00FC5566" w:rsidRDefault="00FC5566" w:rsidP="00FC5566">
      <w:pPr>
        <w:keepNext/>
        <w:ind w:left="2160"/>
        <w:jc w:val="both"/>
      </w:pPr>
      <w:r w:rsidRPr="00FC5566">
        <w:t>Secretary</w:t>
      </w:r>
      <w:bookmarkEnd w:id="448"/>
    </w:p>
    <w:p w14:paraId="321BF79C" w14:textId="77777777" w:rsidR="00FC5566" w:rsidRPr="00FC5566" w:rsidRDefault="00FC5566" w:rsidP="00FC5566">
      <w:pPr>
        <w:rPr>
          <w:noProof/>
          <w:sz w:val="16"/>
        </w:rPr>
      </w:pPr>
      <w:r w:rsidRPr="00FC5566">
        <w:rPr>
          <w:noProof/>
          <w:sz w:val="16"/>
        </w:rPr>
        <w:t>2608#029</w:t>
      </w:r>
    </w:p>
    <w:p w14:paraId="75F6DB35" w14:textId="77777777" w:rsidR="00FC5566" w:rsidRPr="00FC5566" w:rsidRDefault="00FC5566" w:rsidP="00FC5566"/>
    <w:p w14:paraId="1A4481A8" w14:textId="77777777" w:rsidR="00FC5566" w:rsidRPr="00FC5566" w:rsidRDefault="00FC5566" w:rsidP="00FC5566">
      <w:pPr>
        <w:keepNext/>
        <w:tabs>
          <w:tab w:val="left" w:pos="-1440"/>
        </w:tabs>
        <w:spacing w:after="120"/>
        <w:jc w:val="center"/>
        <w:rPr>
          <w:b/>
          <w:noProof/>
        </w:rPr>
      </w:pPr>
      <w:r w:rsidRPr="00FC5566">
        <w:rPr>
          <w:b/>
          <w:noProof/>
        </w:rPr>
        <w:t>RULE</w:t>
      </w:r>
    </w:p>
    <w:p w14:paraId="512ED82E" w14:textId="77777777" w:rsidR="00FC5566" w:rsidRPr="00FC5566" w:rsidRDefault="00FC5566" w:rsidP="00FC5566">
      <w:pPr>
        <w:keepNext/>
        <w:jc w:val="center"/>
        <w:rPr>
          <w:b/>
          <w:noProof/>
        </w:rPr>
      </w:pPr>
      <w:r w:rsidRPr="00FC5566">
        <w:rPr>
          <w:b/>
          <w:noProof/>
        </w:rPr>
        <w:t>Department of Wildlife and Fisheries</w:t>
      </w:r>
    </w:p>
    <w:p w14:paraId="0D2847DD" w14:textId="77777777" w:rsidR="00FC5566" w:rsidRPr="00FC5566" w:rsidRDefault="00FC5566" w:rsidP="00FC5566">
      <w:pPr>
        <w:keepNext/>
        <w:jc w:val="center"/>
        <w:rPr>
          <w:b/>
          <w:noProof/>
        </w:rPr>
      </w:pPr>
      <w:r w:rsidRPr="00FC5566">
        <w:rPr>
          <w:b/>
          <w:noProof/>
        </w:rPr>
        <w:t>Wildlife and Fisheries Commission</w:t>
      </w:r>
    </w:p>
    <w:p w14:paraId="5D599305" w14:textId="77777777" w:rsidR="00FC5566" w:rsidRPr="00FC5566" w:rsidRDefault="00FC5566" w:rsidP="00FC5566">
      <w:pPr>
        <w:keepNext/>
        <w:spacing w:before="240" w:after="240"/>
        <w:jc w:val="center"/>
        <w:rPr>
          <w:noProof/>
        </w:rPr>
      </w:pPr>
      <w:r w:rsidRPr="00FC5566">
        <w:rPr>
          <w:noProof/>
        </w:rPr>
        <w:t xml:space="preserve">Recreational Alligator Hunting Season </w:t>
      </w:r>
      <w:r w:rsidRPr="00FC5566">
        <w:rPr>
          <w:noProof/>
        </w:rPr>
        <w:br/>
        <w:t>(LAC 76:V.703)</w:t>
      </w:r>
    </w:p>
    <w:p w14:paraId="506A0753"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 xml:space="preserve">The Department of Wildlife and Fisheries and the Wildlife and Fisheries Commission hereby adopts LAC 76:V.703 to establish a recreational alligator hunting season. This Rule creates a controlled recreational harvest opportunity for resident hunters, separate from the existing commercial alligator program, based upon availability of alligator resource and increasing public recreational opportunity. The program is designed to increase public engagement in wildlife management, address landowner concerns regarding nuisance or overabundant alligators, and maintain population sustainability through limited lottery tag issuance, zone-based distribution, mandatory reporting, and a strict prohibition on the commercial sale or movement of recreationally harvested alligators, hides, meat, and parts. This Rule is hereby adopted on the day of promulgation. </w:t>
      </w:r>
    </w:p>
    <w:p w14:paraId="0EA7D332" w14:textId="77777777" w:rsidR="00FC5566" w:rsidRPr="00FC5566" w:rsidRDefault="00FC5566" w:rsidP="00FC5566">
      <w:pPr>
        <w:keepNext/>
        <w:jc w:val="center"/>
        <w:rPr>
          <w:b/>
          <w:kern w:val="28"/>
        </w:rPr>
      </w:pPr>
      <w:r w:rsidRPr="00FC5566">
        <w:rPr>
          <w:b/>
          <w:kern w:val="28"/>
        </w:rPr>
        <w:lastRenderedPageBreak/>
        <w:t>Title 76</w:t>
      </w:r>
    </w:p>
    <w:p w14:paraId="575DE90C" w14:textId="77777777" w:rsidR="00FC5566" w:rsidRPr="00FC5566" w:rsidRDefault="00FC5566" w:rsidP="00FC5566">
      <w:pPr>
        <w:keepNext/>
        <w:jc w:val="center"/>
        <w:rPr>
          <w:b/>
          <w:kern w:val="28"/>
        </w:rPr>
      </w:pPr>
      <w:r w:rsidRPr="00FC5566">
        <w:rPr>
          <w:b/>
          <w:kern w:val="28"/>
        </w:rPr>
        <w:t>WILDLIFE AND FISHERIES</w:t>
      </w:r>
    </w:p>
    <w:p w14:paraId="48C260ED" w14:textId="77777777" w:rsidR="00FC5566" w:rsidRPr="00FC5566" w:rsidRDefault="00FC5566" w:rsidP="00FC5566">
      <w:pPr>
        <w:keepNext/>
        <w:jc w:val="center"/>
        <w:rPr>
          <w:b/>
          <w:noProof/>
        </w:rPr>
      </w:pPr>
      <w:r w:rsidRPr="00FC5566">
        <w:rPr>
          <w:b/>
          <w:noProof/>
        </w:rPr>
        <w:t>Part V.  Wild Quadrupeds and Wild Birds</w:t>
      </w:r>
    </w:p>
    <w:p w14:paraId="640D4FB1"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Chapter 7.</w:t>
      </w:r>
      <w:r w:rsidRPr="00FC5566">
        <w:rPr>
          <w:b/>
          <w:kern w:val="2"/>
        </w:rPr>
        <w:tab/>
        <w:t>Alligators</w:t>
      </w:r>
    </w:p>
    <w:p w14:paraId="6DB73335"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§703.</w:t>
      </w:r>
      <w:r w:rsidRPr="00FC5566">
        <w:rPr>
          <w:b/>
          <w:kern w:val="2"/>
        </w:rPr>
        <w:tab/>
        <w:t>Recreational Alligator Hunting Season</w:t>
      </w:r>
    </w:p>
    <w:p w14:paraId="28346666" w14:textId="77777777" w:rsidR="00FC5566" w:rsidRPr="00FC5566" w:rsidRDefault="00FC5566" w:rsidP="00FC5566">
      <w:pPr>
        <w:tabs>
          <w:tab w:val="left" w:pos="144"/>
          <w:tab w:val="left" w:pos="187"/>
          <w:tab w:val="left" w:pos="540"/>
          <w:tab w:val="left" w:pos="907"/>
          <w:tab w:val="left" w:pos="1080"/>
        </w:tabs>
        <w:ind w:firstLine="187"/>
        <w:jc w:val="both"/>
        <w:outlineLvl w:val="3"/>
        <w:rPr>
          <w:spacing w:val="-2"/>
          <w:kern w:val="2"/>
        </w:rPr>
      </w:pPr>
      <w:r w:rsidRPr="00FC5566">
        <w:rPr>
          <w:kern w:val="2"/>
        </w:rPr>
        <w:t>A.</w:t>
      </w:r>
      <w:r w:rsidRPr="00FC5566">
        <w:rPr>
          <w:kern w:val="2"/>
        </w:rPr>
        <w:tab/>
        <w:t>The</w:t>
      </w:r>
      <w:r w:rsidRPr="00FC5566">
        <w:rPr>
          <w:spacing w:val="80"/>
          <w:kern w:val="2"/>
        </w:rPr>
        <w:t xml:space="preserve"> </w:t>
      </w:r>
      <w:r w:rsidRPr="00FC5566">
        <w:rPr>
          <w:kern w:val="2"/>
        </w:rPr>
        <w:t>Department</w:t>
      </w:r>
      <w:r w:rsidRPr="00FC5566">
        <w:rPr>
          <w:spacing w:val="80"/>
          <w:kern w:val="2"/>
        </w:rPr>
        <w:t xml:space="preserve"> </w:t>
      </w:r>
      <w:r w:rsidRPr="00FC5566">
        <w:rPr>
          <w:kern w:val="2"/>
        </w:rPr>
        <w:t>of</w:t>
      </w:r>
      <w:r w:rsidRPr="00FC5566">
        <w:rPr>
          <w:spacing w:val="80"/>
          <w:kern w:val="2"/>
        </w:rPr>
        <w:t xml:space="preserve"> </w:t>
      </w:r>
      <w:r w:rsidRPr="00FC5566">
        <w:rPr>
          <w:kern w:val="2"/>
        </w:rPr>
        <w:t>W</w:t>
      </w:r>
      <w:bookmarkStart w:id="449" w:name="A._The_Department_of_Wildlife_and_Fisher"/>
      <w:bookmarkEnd w:id="449"/>
      <w:r w:rsidRPr="00FC5566">
        <w:rPr>
          <w:kern w:val="2"/>
        </w:rPr>
        <w:t>ildlife</w:t>
      </w:r>
      <w:r w:rsidRPr="00FC5566">
        <w:rPr>
          <w:spacing w:val="80"/>
          <w:kern w:val="2"/>
        </w:rPr>
        <w:t xml:space="preserve"> </w:t>
      </w:r>
      <w:r w:rsidRPr="00FC5566">
        <w:rPr>
          <w:kern w:val="2"/>
        </w:rPr>
        <w:t>and</w:t>
      </w:r>
      <w:r w:rsidRPr="00FC5566">
        <w:rPr>
          <w:spacing w:val="80"/>
          <w:kern w:val="2"/>
        </w:rPr>
        <w:t xml:space="preserve"> </w:t>
      </w:r>
      <w:r w:rsidRPr="00FC5566">
        <w:rPr>
          <w:kern w:val="2"/>
        </w:rPr>
        <w:t>Fisheries</w:t>
      </w:r>
      <w:r w:rsidRPr="00FC5566">
        <w:rPr>
          <w:spacing w:val="80"/>
          <w:kern w:val="2"/>
        </w:rPr>
        <w:t xml:space="preserve"> </w:t>
      </w:r>
      <w:r w:rsidRPr="00FC5566">
        <w:rPr>
          <w:kern w:val="2"/>
        </w:rPr>
        <w:t>does</w:t>
      </w:r>
      <w:r w:rsidRPr="00FC5566">
        <w:rPr>
          <w:spacing w:val="80"/>
          <w:kern w:val="2"/>
        </w:rPr>
        <w:t xml:space="preserve"> </w:t>
      </w:r>
      <w:r w:rsidRPr="00FC5566">
        <w:rPr>
          <w:kern w:val="2"/>
        </w:rPr>
        <w:t>hereby</w:t>
      </w:r>
      <w:r w:rsidRPr="00FC5566">
        <w:rPr>
          <w:spacing w:val="80"/>
          <w:kern w:val="2"/>
        </w:rPr>
        <w:t xml:space="preserve"> </w:t>
      </w:r>
      <w:r w:rsidRPr="00FC5566">
        <w:rPr>
          <w:kern w:val="2"/>
        </w:rPr>
        <w:t>establish regulations</w:t>
      </w:r>
      <w:r w:rsidRPr="00FC5566">
        <w:rPr>
          <w:spacing w:val="80"/>
          <w:kern w:val="2"/>
        </w:rPr>
        <w:t xml:space="preserve"> </w:t>
      </w:r>
      <w:r w:rsidRPr="00FC5566">
        <w:rPr>
          <w:kern w:val="2"/>
        </w:rPr>
        <w:t>governing the recreational harvest</w:t>
      </w:r>
      <w:r w:rsidRPr="00FC5566">
        <w:rPr>
          <w:spacing w:val="80"/>
          <w:kern w:val="2"/>
        </w:rPr>
        <w:t xml:space="preserve"> </w:t>
      </w:r>
      <w:r w:rsidRPr="00FC5566">
        <w:rPr>
          <w:kern w:val="2"/>
        </w:rPr>
        <w:t>of</w:t>
      </w:r>
      <w:r w:rsidRPr="00FC5566">
        <w:rPr>
          <w:spacing w:val="80"/>
          <w:kern w:val="2"/>
        </w:rPr>
        <w:t xml:space="preserve"> </w:t>
      </w:r>
      <w:r w:rsidRPr="00FC5566">
        <w:rPr>
          <w:kern w:val="2"/>
        </w:rPr>
        <w:t>wild</w:t>
      </w:r>
      <w:r w:rsidRPr="00FC5566">
        <w:rPr>
          <w:spacing w:val="80"/>
          <w:kern w:val="2"/>
        </w:rPr>
        <w:t xml:space="preserve"> </w:t>
      </w:r>
      <w:r w:rsidRPr="00FC5566">
        <w:rPr>
          <w:kern w:val="2"/>
        </w:rPr>
        <w:t>populations</w:t>
      </w:r>
      <w:r w:rsidRPr="00FC5566">
        <w:rPr>
          <w:spacing w:val="80"/>
          <w:kern w:val="2"/>
        </w:rPr>
        <w:t xml:space="preserve"> </w:t>
      </w:r>
      <w:r w:rsidRPr="00FC5566">
        <w:rPr>
          <w:kern w:val="2"/>
        </w:rPr>
        <w:t>of</w:t>
      </w:r>
      <w:r w:rsidRPr="00FC5566">
        <w:rPr>
          <w:spacing w:val="80"/>
          <w:kern w:val="2"/>
        </w:rPr>
        <w:t xml:space="preserve"> </w:t>
      </w:r>
      <w:r w:rsidRPr="00FC5566">
        <w:rPr>
          <w:kern w:val="2"/>
        </w:rPr>
        <w:t>alligators.</w:t>
      </w:r>
      <w:r w:rsidRPr="00FC5566">
        <w:rPr>
          <w:spacing w:val="39"/>
          <w:kern w:val="2"/>
        </w:rPr>
        <w:t xml:space="preserve"> </w:t>
      </w:r>
    </w:p>
    <w:p w14:paraId="7D49317D" w14:textId="77777777" w:rsidR="00FC5566" w:rsidRPr="00FC5566" w:rsidRDefault="00FC5566" w:rsidP="00FC5566">
      <w:pPr>
        <w:tabs>
          <w:tab w:val="left" w:pos="720"/>
          <w:tab w:val="left" w:pos="979"/>
          <w:tab w:val="left" w:pos="1152"/>
        </w:tabs>
        <w:ind w:firstLine="360"/>
        <w:jc w:val="both"/>
        <w:outlineLvl w:val="4"/>
        <w:rPr>
          <w:kern w:val="2"/>
        </w:rPr>
      </w:pPr>
      <w:r w:rsidRPr="00FC5566">
        <w:rPr>
          <w:spacing w:val="-2"/>
          <w:kern w:val="2"/>
        </w:rPr>
        <w:t>1.</w:t>
      </w:r>
      <w:r w:rsidRPr="00FC5566">
        <w:rPr>
          <w:spacing w:val="-2"/>
          <w:kern w:val="2"/>
        </w:rPr>
        <w:tab/>
      </w:r>
      <w:r w:rsidRPr="00FC5566">
        <w:rPr>
          <w:kern w:val="2"/>
        </w:rPr>
        <w:t xml:space="preserve">Purpose. These regulations are to govern </w:t>
      </w:r>
      <w:bookmarkStart w:id="450" w:name="1._Purpose._These_regulations_are_to_gov"/>
      <w:bookmarkEnd w:id="450"/>
      <w:r w:rsidRPr="00FC5566">
        <w:rPr>
          <w:kern w:val="2"/>
        </w:rPr>
        <w:t>the statewide recreational taking and possession of wild alligators. They are being enacted to prevent depletion or waste, while enhancing the utilization of this renewable resource.</w:t>
      </w:r>
      <w:r w:rsidRPr="00FC5566">
        <w:rPr>
          <w:spacing w:val="-10"/>
          <w:kern w:val="2"/>
        </w:rPr>
        <w:t xml:space="preserve"> </w:t>
      </w:r>
      <w:r w:rsidRPr="00FC5566">
        <w:rPr>
          <w:kern w:val="2"/>
        </w:rPr>
        <w:t>These regulations provide rules to the methods of recreational alligator harvest.</w:t>
      </w:r>
    </w:p>
    <w:p w14:paraId="7BFC91D3"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Definitions. The following words and phrases for purposes of these regulations shall have the meaning ascribed to them in this section, unless the context wherein the particular word or phrase is used clearly indicates a different meaning:</w:t>
      </w:r>
    </w:p>
    <w:p w14:paraId="237350F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i/>
          <w:iCs/>
          <w:kern w:val="2"/>
        </w:rPr>
        <w:t>Alligator</w:t>
      </w:r>
      <w:r w:rsidRPr="00FC5566">
        <w:rPr>
          <w:kern w:val="2"/>
        </w:rPr>
        <w:t>—American</w:t>
      </w:r>
      <w:r w:rsidRPr="00FC5566">
        <w:rPr>
          <w:spacing w:val="11"/>
          <w:kern w:val="2"/>
        </w:rPr>
        <w:t xml:space="preserve"> </w:t>
      </w:r>
      <w:r w:rsidRPr="00FC5566">
        <w:rPr>
          <w:kern w:val="2"/>
        </w:rPr>
        <w:t>alligator</w:t>
      </w:r>
      <w:r w:rsidRPr="00FC5566">
        <w:rPr>
          <w:spacing w:val="14"/>
          <w:kern w:val="2"/>
        </w:rPr>
        <w:t xml:space="preserve"> </w:t>
      </w:r>
      <w:r w:rsidRPr="00FC5566">
        <w:rPr>
          <w:kern w:val="2"/>
        </w:rPr>
        <w:t>(Alligator</w:t>
      </w:r>
      <w:r w:rsidRPr="00FC5566">
        <w:rPr>
          <w:spacing w:val="11"/>
          <w:kern w:val="2"/>
        </w:rPr>
        <w:t xml:space="preserve"> </w:t>
      </w:r>
      <w:r w:rsidRPr="00FC5566">
        <w:rPr>
          <w:kern w:val="2"/>
        </w:rPr>
        <w:t>mississippiensis).</w:t>
      </w:r>
    </w:p>
    <w:p w14:paraId="19F5598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bookmarkStart w:id="451" w:name="ii._Helper―anyone_who_is_a_bona_fide_res"/>
      <w:bookmarkStart w:id="452" w:name="iii._Sport―anyone_who_is_licensed_by_the"/>
      <w:bookmarkStart w:id="453" w:name="Alligator_Egg_Collection_Permit―a_permit"/>
      <w:bookmarkEnd w:id="451"/>
      <w:bookmarkEnd w:id="452"/>
      <w:bookmarkEnd w:id="453"/>
      <w:r w:rsidRPr="00FC5566">
        <w:rPr>
          <w:i/>
          <w:iCs/>
          <w:kern w:val="2"/>
        </w:rPr>
        <w:t>Alligator Carcass Remains</w:t>
      </w:r>
      <w:r w:rsidRPr="00FC5566">
        <w:rPr>
          <w:iCs/>
          <w:kern w:val="2"/>
        </w:rPr>
        <w:t>—</w:t>
      </w:r>
      <w:r w:rsidRPr="00FC5566">
        <w:rPr>
          <w:kern w:val="2"/>
        </w:rPr>
        <w:t>the inedible portions of an alligator (including but not limited to bones, viscera, head and offal) after legal removal of the hide and any meat or alligator part intended for either personal consumption or personal use.</w:t>
      </w:r>
    </w:p>
    <w:p w14:paraId="7477CB42"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i/>
          <w:kern w:val="2"/>
        </w:rPr>
        <w:t>Alligator Hide</w:t>
      </w:r>
      <w:r w:rsidRPr="00FC5566">
        <w:rPr>
          <w:kern w:val="2"/>
        </w:rPr>
        <w:t>—whole or partial alligator skins, flanks,</w:t>
      </w:r>
      <w:r w:rsidRPr="00FC5566">
        <w:rPr>
          <w:spacing w:val="40"/>
          <w:kern w:val="2"/>
        </w:rPr>
        <w:t xml:space="preserve"> </w:t>
      </w:r>
      <w:r w:rsidRPr="00FC5566">
        <w:rPr>
          <w:kern w:val="2"/>
        </w:rPr>
        <w:t>chalecos and bellies (including those bellies attached to or separated from the tail portion of the alligator skin). Once the tail portion of the skin is separated from the flanks, chaleco and belly, the tail is considered an alligator part.</w:t>
      </w:r>
    </w:p>
    <w:p w14:paraId="32BD868F" w14:textId="77777777" w:rsidR="00FC5566" w:rsidRPr="00FC5566" w:rsidRDefault="00FC5566" w:rsidP="00FC5566">
      <w:pPr>
        <w:tabs>
          <w:tab w:val="left" w:pos="144"/>
          <w:tab w:val="left" w:pos="187"/>
          <w:tab w:val="left" w:pos="540"/>
          <w:tab w:val="left" w:pos="907"/>
          <w:tab w:val="left" w:pos="1080"/>
        </w:tabs>
        <w:ind w:firstLine="187"/>
        <w:jc w:val="both"/>
        <w:outlineLvl w:val="3"/>
        <w:rPr>
          <w:spacing w:val="-2"/>
          <w:kern w:val="2"/>
        </w:rPr>
      </w:pPr>
      <w:bookmarkStart w:id="454" w:name="Alligator_Shipping_Label―a_serially_numb"/>
      <w:bookmarkStart w:id="455" w:name="Alligator_Skin_or_Hide―whole_or_partial_"/>
      <w:bookmarkStart w:id="456" w:name="Alligator_Tail―includes_the_tail_portion"/>
      <w:bookmarkStart w:id="457" w:name="iv._Nuisance―a_bona_fide_resident_licens"/>
      <w:bookmarkEnd w:id="454"/>
      <w:bookmarkEnd w:id="455"/>
      <w:bookmarkEnd w:id="456"/>
      <w:bookmarkEnd w:id="457"/>
      <w:r w:rsidRPr="00FC5566">
        <w:rPr>
          <w:i/>
          <w:kern w:val="2"/>
        </w:rPr>
        <w:t>Alligator Part</w:t>
      </w:r>
      <w:r w:rsidRPr="00FC5566">
        <w:rPr>
          <w:kern w:val="2"/>
        </w:rPr>
        <w:t>—any par</w:t>
      </w:r>
      <w:bookmarkStart w:id="458" w:name="Alligator_Part―any_part_of_the_carcass_o"/>
      <w:bookmarkEnd w:id="458"/>
      <w:r w:rsidRPr="00FC5566">
        <w:rPr>
          <w:kern w:val="2"/>
        </w:rPr>
        <w:t>t of the carcass of an alligator, except the hide and includes the bony dorsum plates, if detached from the tagged alligator</w:t>
      </w:r>
      <w:r w:rsidRPr="00FC5566">
        <w:rPr>
          <w:spacing w:val="40"/>
          <w:kern w:val="2"/>
        </w:rPr>
        <w:t xml:space="preserve"> </w:t>
      </w:r>
      <w:r w:rsidRPr="00FC5566">
        <w:rPr>
          <w:spacing w:val="-2"/>
          <w:kern w:val="2"/>
        </w:rPr>
        <w:t>hide.</w:t>
      </w:r>
    </w:p>
    <w:p w14:paraId="2BDFDED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bookmarkStart w:id="459" w:name="Commission―The_Louisiana_Wildlife_and_Fi"/>
      <w:bookmarkStart w:id="460" w:name="Common_Carrier―any_agency_or_person_tran"/>
      <w:bookmarkStart w:id="461" w:name="Confiscation―the_exercise_of_a_right_und"/>
      <w:bookmarkStart w:id="462" w:name="Consumer―restaurants_and_other_places_wh"/>
      <w:bookmarkStart w:id="463" w:name="Department―the_Louisiana_Department_of_W"/>
      <w:bookmarkStart w:id="464" w:name="Bona_Fide_Resident―"/>
      <w:bookmarkEnd w:id="459"/>
      <w:bookmarkEnd w:id="460"/>
      <w:bookmarkEnd w:id="461"/>
      <w:bookmarkEnd w:id="462"/>
      <w:bookmarkEnd w:id="463"/>
      <w:bookmarkEnd w:id="464"/>
      <w:r w:rsidRPr="00FC5566">
        <w:rPr>
          <w:i/>
          <w:kern w:val="2"/>
        </w:rPr>
        <w:t>Bona</w:t>
      </w:r>
      <w:r w:rsidRPr="00FC5566">
        <w:rPr>
          <w:i/>
          <w:spacing w:val="-3"/>
          <w:kern w:val="2"/>
        </w:rPr>
        <w:t xml:space="preserve"> </w:t>
      </w:r>
      <w:r w:rsidRPr="00FC5566">
        <w:rPr>
          <w:i/>
          <w:kern w:val="2"/>
        </w:rPr>
        <w:t>Fide</w:t>
      </w:r>
      <w:r w:rsidRPr="00FC5566">
        <w:rPr>
          <w:i/>
          <w:spacing w:val="-4"/>
          <w:kern w:val="2"/>
        </w:rPr>
        <w:t xml:space="preserve"> </w:t>
      </w:r>
      <w:r w:rsidRPr="00FC5566">
        <w:rPr>
          <w:i/>
          <w:spacing w:val="-2"/>
          <w:kern w:val="2"/>
        </w:rPr>
        <w:t>Resident (Resident)</w:t>
      </w:r>
      <w:r w:rsidRPr="00FC5566">
        <w:rPr>
          <w:kern w:val="2"/>
        </w:rPr>
        <w:t>—any person who has resided in the state of Louisiana</w:t>
      </w:r>
      <w:r w:rsidRPr="00FC5566">
        <w:rPr>
          <w:spacing w:val="40"/>
          <w:kern w:val="2"/>
        </w:rPr>
        <w:t xml:space="preserve"> </w:t>
      </w:r>
      <w:r w:rsidRPr="00FC5566">
        <w:rPr>
          <w:kern w:val="2"/>
        </w:rPr>
        <w:t>continuously</w:t>
      </w:r>
      <w:r w:rsidRPr="00FC5566">
        <w:rPr>
          <w:spacing w:val="-2"/>
          <w:kern w:val="2"/>
        </w:rPr>
        <w:t xml:space="preserve"> </w:t>
      </w:r>
      <w:r w:rsidRPr="00FC5566">
        <w:rPr>
          <w:kern w:val="2"/>
        </w:rPr>
        <w:t>during the six months immediately prior to the date on which he applies for any license and who has manifested his intent to remain in this state by establishing Louisiana as his legal domicile in accordance with R.S. 56:8(17)(b).</w:t>
      </w:r>
    </w:p>
    <w:p w14:paraId="46757FA1" w14:textId="77777777" w:rsidR="00FC5566" w:rsidRPr="00FC5566" w:rsidRDefault="00FC5566" w:rsidP="00FC5566">
      <w:pPr>
        <w:tabs>
          <w:tab w:val="left" w:pos="144"/>
          <w:tab w:val="left" w:pos="187"/>
          <w:tab w:val="left" w:pos="540"/>
          <w:tab w:val="left" w:pos="907"/>
          <w:tab w:val="left" w:pos="1080"/>
        </w:tabs>
        <w:ind w:firstLine="187"/>
        <w:jc w:val="both"/>
        <w:outlineLvl w:val="3"/>
        <w:rPr>
          <w:spacing w:val="-2"/>
          <w:kern w:val="2"/>
        </w:rPr>
      </w:pPr>
      <w:r w:rsidRPr="00FC5566">
        <w:rPr>
          <w:i/>
          <w:kern w:val="2"/>
        </w:rPr>
        <w:t>Commission</w:t>
      </w:r>
      <w:r w:rsidRPr="00FC5566">
        <w:rPr>
          <w:kern w:val="2"/>
        </w:rPr>
        <w:t>—the</w:t>
      </w:r>
      <w:r w:rsidRPr="00FC5566">
        <w:rPr>
          <w:spacing w:val="-13"/>
          <w:kern w:val="2"/>
        </w:rPr>
        <w:t xml:space="preserve"> </w:t>
      </w:r>
      <w:r w:rsidRPr="00FC5566">
        <w:rPr>
          <w:kern w:val="2"/>
        </w:rPr>
        <w:t>Louisiana</w:t>
      </w:r>
      <w:r w:rsidRPr="00FC5566">
        <w:rPr>
          <w:spacing w:val="-12"/>
          <w:kern w:val="2"/>
        </w:rPr>
        <w:t xml:space="preserve"> </w:t>
      </w:r>
      <w:r w:rsidRPr="00FC5566">
        <w:rPr>
          <w:kern w:val="2"/>
        </w:rPr>
        <w:t>Wildlife</w:t>
      </w:r>
      <w:r w:rsidRPr="00FC5566">
        <w:rPr>
          <w:spacing w:val="-12"/>
          <w:kern w:val="2"/>
        </w:rPr>
        <w:t xml:space="preserve"> </w:t>
      </w:r>
      <w:r w:rsidRPr="00FC5566">
        <w:rPr>
          <w:kern w:val="2"/>
        </w:rPr>
        <w:t>and</w:t>
      </w:r>
      <w:r w:rsidRPr="00FC5566">
        <w:rPr>
          <w:spacing w:val="-11"/>
          <w:kern w:val="2"/>
        </w:rPr>
        <w:t xml:space="preserve"> </w:t>
      </w:r>
      <w:r w:rsidRPr="00FC5566">
        <w:rPr>
          <w:kern w:val="2"/>
        </w:rPr>
        <w:t>Fisheries</w:t>
      </w:r>
      <w:r w:rsidRPr="00FC5566">
        <w:rPr>
          <w:spacing w:val="-10"/>
          <w:kern w:val="2"/>
        </w:rPr>
        <w:t xml:space="preserve"> </w:t>
      </w:r>
      <w:r w:rsidRPr="00FC5566">
        <w:rPr>
          <w:spacing w:val="-2"/>
          <w:kern w:val="2"/>
        </w:rPr>
        <w:t>Commission.</w:t>
      </w:r>
    </w:p>
    <w:p w14:paraId="24AE17EF"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i/>
          <w:kern w:val="2"/>
        </w:rPr>
        <w:t>Confiscation</w:t>
      </w:r>
      <w:r w:rsidRPr="00FC5566">
        <w:rPr>
          <w:kern w:val="2"/>
        </w:rPr>
        <w:t>—the exercise of a right under the police power wherein property is seized and held pending court order if the seized material is nonperishable, or disposed of without judicial intervention if perishable.</w:t>
      </w:r>
    </w:p>
    <w:p w14:paraId="45D8FA80" w14:textId="77777777" w:rsidR="00FC5566" w:rsidRPr="00FC5566" w:rsidRDefault="00FC5566" w:rsidP="00FC5566">
      <w:pPr>
        <w:tabs>
          <w:tab w:val="left" w:pos="144"/>
          <w:tab w:val="left" w:pos="187"/>
          <w:tab w:val="left" w:pos="540"/>
          <w:tab w:val="left" w:pos="907"/>
          <w:tab w:val="left" w:pos="1080"/>
        </w:tabs>
        <w:ind w:firstLine="187"/>
        <w:jc w:val="both"/>
        <w:outlineLvl w:val="3"/>
        <w:rPr>
          <w:spacing w:val="-2"/>
          <w:kern w:val="2"/>
        </w:rPr>
      </w:pPr>
      <w:r w:rsidRPr="00FC5566">
        <w:rPr>
          <w:i/>
          <w:kern w:val="2"/>
        </w:rPr>
        <w:t>Department</w:t>
      </w:r>
      <w:r w:rsidRPr="00FC5566">
        <w:rPr>
          <w:kern w:val="2"/>
        </w:rPr>
        <w:t>—the</w:t>
      </w:r>
      <w:r w:rsidRPr="00FC5566">
        <w:rPr>
          <w:spacing w:val="-9"/>
          <w:kern w:val="2"/>
        </w:rPr>
        <w:t xml:space="preserve"> </w:t>
      </w:r>
      <w:r w:rsidRPr="00FC5566">
        <w:rPr>
          <w:kern w:val="2"/>
        </w:rPr>
        <w:t>Louisiana</w:t>
      </w:r>
      <w:r w:rsidRPr="00FC5566">
        <w:rPr>
          <w:spacing w:val="-10"/>
          <w:kern w:val="2"/>
        </w:rPr>
        <w:t xml:space="preserve"> </w:t>
      </w:r>
      <w:r w:rsidRPr="00FC5566">
        <w:rPr>
          <w:kern w:val="2"/>
        </w:rPr>
        <w:t>Department</w:t>
      </w:r>
      <w:r w:rsidRPr="00FC5566">
        <w:rPr>
          <w:spacing w:val="-10"/>
          <w:kern w:val="2"/>
        </w:rPr>
        <w:t xml:space="preserve"> </w:t>
      </w:r>
      <w:r w:rsidRPr="00FC5566">
        <w:rPr>
          <w:kern w:val="2"/>
        </w:rPr>
        <w:t>of</w:t>
      </w:r>
      <w:r w:rsidRPr="00FC5566">
        <w:rPr>
          <w:spacing w:val="-13"/>
          <w:kern w:val="2"/>
        </w:rPr>
        <w:t xml:space="preserve"> </w:t>
      </w:r>
      <w:r w:rsidRPr="00FC5566">
        <w:rPr>
          <w:kern w:val="2"/>
        </w:rPr>
        <w:t>Wildlife</w:t>
      </w:r>
      <w:r w:rsidRPr="00FC5566">
        <w:rPr>
          <w:spacing w:val="-10"/>
          <w:kern w:val="2"/>
        </w:rPr>
        <w:t xml:space="preserve"> </w:t>
      </w:r>
      <w:r w:rsidRPr="00FC5566">
        <w:rPr>
          <w:kern w:val="2"/>
        </w:rPr>
        <w:t>and</w:t>
      </w:r>
      <w:r w:rsidRPr="00FC5566">
        <w:rPr>
          <w:spacing w:val="-9"/>
          <w:kern w:val="2"/>
        </w:rPr>
        <w:t xml:space="preserve"> </w:t>
      </w:r>
      <w:r w:rsidRPr="00FC5566">
        <w:rPr>
          <w:spacing w:val="-2"/>
          <w:kern w:val="2"/>
        </w:rPr>
        <w:t>Fisheries (LDWF).</w:t>
      </w:r>
    </w:p>
    <w:p w14:paraId="300ECFB3"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bookmarkStart w:id="465" w:name="ii._buys_from_a_fur_buyer_or_other_fur_d"/>
      <w:bookmarkStart w:id="466" w:name="iii._buys_from_a_fur_trapper,_alligator_"/>
      <w:bookmarkStart w:id="467" w:name="iv._manufactures_such_furs_and_skins_int"/>
      <w:bookmarkStart w:id="468" w:name="v._transports_raw_furs_or_skins_into_thi"/>
      <w:bookmarkStart w:id="469" w:name="Designated_Collection_Agent―anyone_who_i"/>
      <w:bookmarkEnd w:id="465"/>
      <w:bookmarkEnd w:id="466"/>
      <w:bookmarkEnd w:id="467"/>
      <w:bookmarkEnd w:id="468"/>
      <w:bookmarkEnd w:id="469"/>
      <w:r w:rsidRPr="00FC5566">
        <w:rPr>
          <w:i/>
          <w:kern w:val="2"/>
        </w:rPr>
        <w:t>Eligible Property</w:t>
      </w:r>
      <w:r w:rsidRPr="00FC5566">
        <w:rPr>
          <w:kern w:val="2"/>
        </w:rPr>
        <w:t>—privately owned properties for which access has been granted for the recreational harvesting of alligators as evidenced by proof of ownership or written permission from the landowner, and designated public waterbodies, state lands, state wildlife management areas, state parks, and national wildlife refuges. This excludes properties that are already issued commercial alligator harvest tags.</w:t>
      </w:r>
    </w:p>
    <w:p w14:paraId="4342DFA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i/>
          <w:kern w:val="2"/>
        </w:rPr>
        <w:t>Free Shooting</w:t>
      </w:r>
      <w:r w:rsidRPr="00FC5566">
        <w:rPr>
          <w:kern w:val="2"/>
        </w:rPr>
        <w:t>—a method of harvesting alligators where hunters use firearms to shoot alligators that are swimming freely, rather than those already restrained by hook-and-line.</w:t>
      </w:r>
    </w:p>
    <w:p w14:paraId="778A79B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i/>
          <w:kern w:val="2"/>
        </w:rPr>
        <w:t>Hook</w:t>
      </w:r>
      <w:r w:rsidRPr="00FC5566">
        <w:rPr>
          <w:kern w:val="2"/>
        </w:rPr>
        <w:t>—any curv</w:t>
      </w:r>
      <w:bookmarkStart w:id="470" w:name="Hide―see_Pelt."/>
      <w:bookmarkEnd w:id="470"/>
      <w:r w:rsidRPr="00FC5566">
        <w:rPr>
          <w:kern w:val="2"/>
        </w:rPr>
        <w:t xml:space="preserve">ed or </w:t>
      </w:r>
      <w:bookmarkStart w:id="471" w:name="Hook―any_curved_or_bent_device_attached_"/>
      <w:bookmarkEnd w:id="471"/>
      <w:r w:rsidRPr="00FC5566">
        <w:rPr>
          <w:kern w:val="2"/>
        </w:rPr>
        <w:t>bent device attached to a line or pole for the purpose of taking alligators.</w:t>
      </w:r>
    </w:p>
    <w:p w14:paraId="166BFA82"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i/>
          <w:kern w:val="2"/>
        </w:rPr>
        <w:t>Hook and Line</w:t>
      </w:r>
      <w:r w:rsidRPr="00FC5566">
        <w:rPr>
          <w:kern w:val="2"/>
        </w:rPr>
        <w:t>—baited hooks suspended over water to catch alligators</w:t>
      </w:r>
    </w:p>
    <w:p w14:paraId="47761A7A" w14:textId="77777777" w:rsidR="00FC5566" w:rsidRPr="00FC5566" w:rsidRDefault="00FC5566" w:rsidP="00FC5566">
      <w:pPr>
        <w:tabs>
          <w:tab w:val="left" w:pos="144"/>
          <w:tab w:val="left" w:pos="187"/>
          <w:tab w:val="left" w:pos="540"/>
          <w:tab w:val="left" w:pos="907"/>
          <w:tab w:val="left" w:pos="1080"/>
        </w:tabs>
        <w:ind w:firstLine="187"/>
        <w:jc w:val="both"/>
        <w:outlineLvl w:val="3"/>
        <w:rPr>
          <w:spacing w:val="-4"/>
          <w:kern w:val="2"/>
        </w:rPr>
      </w:pPr>
      <w:r w:rsidRPr="00FC5566">
        <w:rPr>
          <w:i/>
          <w:kern w:val="2"/>
        </w:rPr>
        <w:t>Hunt</w:t>
      </w:r>
      <w:r w:rsidRPr="00FC5566">
        <w:rPr>
          <w:kern w:val="2"/>
        </w:rPr>
        <w:t>—in</w:t>
      </w:r>
      <w:r w:rsidRPr="00FC5566">
        <w:rPr>
          <w:spacing w:val="-9"/>
          <w:kern w:val="2"/>
        </w:rPr>
        <w:t xml:space="preserve"> </w:t>
      </w:r>
      <w:r w:rsidRPr="00FC5566">
        <w:rPr>
          <w:kern w:val="2"/>
        </w:rPr>
        <w:t>different</w:t>
      </w:r>
      <w:r w:rsidRPr="00FC5566">
        <w:rPr>
          <w:spacing w:val="-8"/>
          <w:kern w:val="2"/>
        </w:rPr>
        <w:t xml:space="preserve"> </w:t>
      </w:r>
      <w:r w:rsidRPr="00FC5566">
        <w:rPr>
          <w:kern w:val="2"/>
        </w:rPr>
        <w:t>tenses,</w:t>
      </w:r>
      <w:r w:rsidRPr="00FC5566">
        <w:rPr>
          <w:spacing w:val="-7"/>
          <w:kern w:val="2"/>
        </w:rPr>
        <w:t xml:space="preserve"> </w:t>
      </w:r>
      <w:r w:rsidRPr="00FC5566">
        <w:rPr>
          <w:kern w:val="2"/>
        </w:rPr>
        <w:t>attem</w:t>
      </w:r>
      <w:bookmarkStart w:id="472" w:name="Hunt―in_different_tenses,_attempting_to_"/>
      <w:bookmarkEnd w:id="472"/>
      <w:r w:rsidRPr="00FC5566">
        <w:rPr>
          <w:kern w:val="2"/>
        </w:rPr>
        <w:t>pting</w:t>
      </w:r>
      <w:r w:rsidRPr="00FC5566">
        <w:rPr>
          <w:spacing w:val="-8"/>
          <w:kern w:val="2"/>
        </w:rPr>
        <w:t xml:space="preserve"> </w:t>
      </w:r>
      <w:r w:rsidRPr="00FC5566">
        <w:rPr>
          <w:kern w:val="2"/>
        </w:rPr>
        <w:t>to</w:t>
      </w:r>
      <w:r w:rsidRPr="00FC5566">
        <w:rPr>
          <w:spacing w:val="-7"/>
          <w:kern w:val="2"/>
        </w:rPr>
        <w:t xml:space="preserve"> </w:t>
      </w:r>
      <w:r w:rsidRPr="00FC5566">
        <w:rPr>
          <w:spacing w:val="-4"/>
          <w:kern w:val="2"/>
        </w:rPr>
        <w:t>take.</w:t>
      </w:r>
    </w:p>
    <w:p w14:paraId="18E29E9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i/>
          <w:kern w:val="2"/>
        </w:rPr>
        <w:t>Landowner</w:t>
      </w:r>
      <w:r w:rsidRPr="00FC5566">
        <w:rPr>
          <w:kern w:val="2"/>
        </w:rPr>
        <w:t>—any person who owns land eligible for recreational alligator harvest.</w:t>
      </w:r>
    </w:p>
    <w:p w14:paraId="48EA4897"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bookmarkStart w:id="473" w:name="Possess―in_its_different_tenses,_the_act"/>
      <w:bookmarkStart w:id="474" w:name="Processed_Alligator_Part―any_part_(and_i"/>
      <w:bookmarkStart w:id="475" w:name="Propagation―the_holding_of_live_alligato"/>
      <w:bookmarkStart w:id="476" w:name="Open_Season―that_period_of_time_set_by_t"/>
      <w:bookmarkEnd w:id="473"/>
      <w:bookmarkEnd w:id="474"/>
      <w:bookmarkEnd w:id="475"/>
      <w:bookmarkEnd w:id="476"/>
      <w:r w:rsidRPr="00FC5566">
        <w:rPr>
          <w:i/>
          <w:kern w:val="2"/>
        </w:rPr>
        <w:t>Open Season</w:t>
      </w:r>
      <w:r w:rsidRPr="00FC5566">
        <w:rPr>
          <w:kern w:val="2"/>
        </w:rPr>
        <w:t>—that period of time set by the Louisiana Wildlife and Fisheries Commission, during which wild alligators may be lawfully taken recreationally.</w:t>
      </w:r>
    </w:p>
    <w:p w14:paraId="5EEFA4DE"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bookmarkStart w:id="477" w:name="Pelting―removing_the_skin_and/or_fur_of_"/>
      <w:bookmarkEnd w:id="477"/>
      <w:r w:rsidRPr="00FC5566">
        <w:rPr>
          <w:i/>
          <w:kern w:val="2"/>
        </w:rPr>
        <w:t>Pole Hunting</w:t>
      </w:r>
      <w:r w:rsidRPr="00FC5566">
        <w:rPr>
          <w:kern w:val="2"/>
        </w:rPr>
        <w:t>—the act of taking an alligator from a den with a h</w:t>
      </w:r>
      <w:bookmarkStart w:id="478" w:name="Pole_Hunting―the_act_of_taking_an_alliga"/>
      <w:bookmarkEnd w:id="478"/>
      <w:r w:rsidRPr="00FC5566">
        <w:rPr>
          <w:kern w:val="2"/>
        </w:rPr>
        <w:t>ook</w:t>
      </w:r>
      <w:r w:rsidRPr="00FC5566">
        <w:rPr>
          <w:spacing w:val="40"/>
          <w:kern w:val="2"/>
        </w:rPr>
        <w:t xml:space="preserve"> </w:t>
      </w:r>
      <w:r w:rsidRPr="00FC5566">
        <w:rPr>
          <w:kern w:val="2"/>
        </w:rPr>
        <w:t>pole or snagging device of any type and includes using such devices to induce an alligator to move from a den prior to taking.</w:t>
      </w:r>
    </w:p>
    <w:p w14:paraId="2A94B49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i/>
          <w:kern w:val="2"/>
        </w:rPr>
        <w:t>Possess</w:t>
      </w:r>
      <w:r w:rsidRPr="00FC5566">
        <w:rPr>
          <w:kern w:val="2"/>
        </w:rPr>
        <w:t>—in its different tenses, the act of having in possession or control, keeping, detaining, restraining, or holding as owner, or as agent, bailee, or custodian for another.</w:t>
      </w:r>
    </w:p>
    <w:p w14:paraId="25E0B37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i/>
          <w:kern w:val="2"/>
        </w:rPr>
        <w:t>Recreational Alligator Hunter</w:t>
      </w:r>
      <w:r w:rsidRPr="00FC5566">
        <w:rPr>
          <w:kern w:val="2"/>
        </w:rPr>
        <w:t>—a properly licensed resident or nonresi</w:t>
      </w:r>
      <w:bookmarkStart w:id="479" w:name="Alligator_Hunter―a_properly_licensed_res"/>
      <w:bookmarkEnd w:id="479"/>
      <w:r w:rsidRPr="00FC5566">
        <w:rPr>
          <w:kern w:val="2"/>
        </w:rPr>
        <w:t>dent person who takes wild alligators recreationally, not for commercial purposes.</w:t>
      </w:r>
    </w:p>
    <w:p w14:paraId="38518EF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i/>
          <w:kern w:val="2"/>
        </w:rPr>
        <w:t>Recreational Hide Tag (Hide Tag)</w:t>
      </w:r>
      <w:r w:rsidRPr="00FC5566">
        <w:rPr>
          <w:kern w:val="2"/>
        </w:rPr>
        <w:t>—an official serially numbered, No-Sale, nontransferable, CITES-format tag issued by the department for recreational hunting of alligators. Recreational hide tags shall be distinct in color and formatted as LA[YY]-N[Z][NNNN], where “N” denotes a no-sale tag, “[Z]” denotes a letter corresponding to the recreational alligator harvest zone in which the tag is valid, and “[NNNN]” is a unique serial number. Recreational hide tags shall retain CITES format solely to allow traceability if the hunter elects to have the hide tanned for personal use and to permit the tag to be scanned; no CITES export certificate shall be issued for any alligator, hide, or part taken under a recreational hide tag.</w:t>
      </w:r>
    </w:p>
    <w:p w14:paraId="2BE625B8"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bookmarkStart w:id="480" w:name="Wildlife―all_species_of_wild_vertebrates"/>
      <w:bookmarkStart w:id="481" w:name="Wildlife_Management_Area―any_area_set_as"/>
      <w:bookmarkStart w:id="482" w:name="Wildlife_Refuge―any_area_set_aside_and_d"/>
      <w:bookmarkStart w:id="483" w:name="Raising―the_production_of_alligators_und"/>
      <w:bookmarkStart w:id="484" w:name="Resident―see_Bona_Fide_Resident."/>
      <w:bookmarkEnd w:id="480"/>
      <w:bookmarkEnd w:id="481"/>
      <w:bookmarkEnd w:id="482"/>
      <w:bookmarkEnd w:id="483"/>
      <w:bookmarkEnd w:id="484"/>
      <w:r w:rsidRPr="00FC5566">
        <w:rPr>
          <w:i/>
          <w:kern w:val="2"/>
        </w:rPr>
        <w:t>Snatch Hook</w:t>
      </w:r>
      <w:r w:rsidRPr="00FC5566">
        <w:rPr>
          <w:kern w:val="2"/>
        </w:rPr>
        <w:t>—casting a weighted treble hook to snag an alligator.</w:t>
      </w:r>
    </w:p>
    <w:p w14:paraId="3741E01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i/>
          <w:kern w:val="2"/>
        </w:rPr>
        <w:t>Take</w:t>
      </w:r>
      <w:r w:rsidRPr="00FC5566">
        <w:rPr>
          <w:kern w:val="2"/>
        </w:rPr>
        <w:t>—in its different tenses, the attemp</w:t>
      </w:r>
      <w:bookmarkStart w:id="485" w:name="Take―in_its_different_tenses,_the_attemp"/>
      <w:bookmarkEnd w:id="485"/>
      <w:r w:rsidRPr="00FC5566">
        <w:rPr>
          <w:kern w:val="2"/>
        </w:rPr>
        <w:t>t or act of hooking, pursuing, netting, capturing, snaring, trapping, shooting, hunting, wounding, or killing</w:t>
      </w:r>
      <w:r w:rsidRPr="00FC5566">
        <w:rPr>
          <w:spacing w:val="40"/>
          <w:kern w:val="2"/>
        </w:rPr>
        <w:t xml:space="preserve"> </w:t>
      </w:r>
      <w:r w:rsidRPr="00FC5566">
        <w:rPr>
          <w:kern w:val="2"/>
        </w:rPr>
        <w:t>by any means or device.</w:t>
      </w:r>
    </w:p>
    <w:p w14:paraId="753E501B"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i/>
          <w:kern w:val="2"/>
        </w:rPr>
        <w:t>Tanning</w:t>
      </w:r>
      <w:r w:rsidRPr="00FC5566">
        <w:rPr>
          <w:kern w:val="2"/>
        </w:rPr>
        <w:t>—the conversion of alligator skins into an intermediate or finished form and includes the following: crust tanning alligator leather, dyeing alligator leather, glazing alligator leather, and includes the dressing of</w:t>
      </w:r>
      <w:r w:rsidRPr="00FC5566">
        <w:rPr>
          <w:spacing w:val="40"/>
          <w:kern w:val="2"/>
        </w:rPr>
        <w:t xml:space="preserve"> </w:t>
      </w:r>
      <w:r w:rsidRPr="00FC5566">
        <w:rPr>
          <w:kern w:val="2"/>
        </w:rPr>
        <w:t>hides.</w:t>
      </w:r>
    </w:p>
    <w:p w14:paraId="72940AC6"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General Rules</w:t>
      </w:r>
    </w:p>
    <w:p w14:paraId="346E4E95" w14:textId="77777777" w:rsidR="00FC5566" w:rsidRPr="00FC5566" w:rsidRDefault="00FC5566" w:rsidP="00FC5566">
      <w:pPr>
        <w:tabs>
          <w:tab w:val="left" w:pos="907"/>
        </w:tabs>
        <w:ind w:firstLine="547"/>
        <w:jc w:val="both"/>
        <w:outlineLvl w:val="5"/>
        <w:rPr>
          <w:kern w:val="2"/>
        </w:rPr>
      </w:pPr>
      <w:r w:rsidRPr="00FC5566">
        <w:rPr>
          <w:bCs/>
          <w:kern w:val="2"/>
        </w:rPr>
        <w:t>a.</w:t>
      </w:r>
      <w:r w:rsidRPr="00FC5566">
        <w:rPr>
          <w:bCs/>
          <w:kern w:val="2"/>
        </w:rPr>
        <w:tab/>
      </w:r>
      <w:bookmarkStart w:id="486" w:name="a._No_person_shall_take,_possess,_purcha"/>
      <w:bookmarkEnd w:id="486"/>
      <w:r w:rsidRPr="00FC5566">
        <w:rPr>
          <w:kern w:val="2"/>
        </w:rPr>
        <w:t>No person shall take or possess alligators, except as provided in these regulations and Title 56.</w:t>
      </w:r>
    </w:p>
    <w:p w14:paraId="06C97F54" w14:textId="77777777" w:rsidR="00FC5566" w:rsidRPr="00FC5566" w:rsidRDefault="00FC5566" w:rsidP="00FC5566">
      <w:pPr>
        <w:tabs>
          <w:tab w:val="left" w:pos="907"/>
        </w:tabs>
        <w:ind w:firstLine="547"/>
        <w:jc w:val="both"/>
        <w:outlineLvl w:val="5"/>
        <w:rPr>
          <w:kern w:val="2"/>
        </w:rPr>
      </w:pPr>
      <w:r w:rsidRPr="00FC5566">
        <w:rPr>
          <w:kern w:val="2"/>
        </w:rPr>
        <w:t>b.</w:t>
      </w:r>
      <w:r w:rsidRPr="00FC5566">
        <w:rPr>
          <w:kern w:val="2"/>
        </w:rPr>
        <w:tab/>
        <w:t>No alligator shall be taken recreationally unless by a properly licensed recreational alligator hunter in possession of department-issued recreational hide tags, during open season, from eligible property with written evidence of land ownership or permission from the landowner.</w:t>
      </w:r>
    </w:p>
    <w:p w14:paraId="7B265AC8" w14:textId="77777777" w:rsidR="00FC5566" w:rsidRPr="00FC5566" w:rsidRDefault="00FC5566" w:rsidP="00FC5566">
      <w:pPr>
        <w:tabs>
          <w:tab w:val="left" w:pos="907"/>
        </w:tabs>
        <w:ind w:firstLine="547"/>
        <w:jc w:val="both"/>
        <w:outlineLvl w:val="5"/>
        <w:rPr>
          <w:kern w:val="2"/>
        </w:rPr>
      </w:pPr>
      <w:r w:rsidRPr="00FC5566">
        <w:rPr>
          <w:kern w:val="2"/>
        </w:rPr>
        <w:t>c.</w:t>
      </w:r>
      <w:r w:rsidRPr="00FC5566">
        <w:rPr>
          <w:kern w:val="2"/>
        </w:rPr>
        <w:tab/>
        <w:t>Each alli</w:t>
      </w:r>
      <w:bookmarkStart w:id="487" w:name="b._Each_alligator,_alligator_hide,_allig"/>
      <w:bookmarkEnd w:id="487"/>
      <w:r w:rsidRPr="00FC5566">
        <w:rPr>
          <w:kern w:val="2"/>
        </w:rPr>
        <w:t>gator, alligator hide, or alligator part taken or possessed in violation of these regulations shall constitute a separate offense.</w:t>
      </w:r>
    </w:p>
    <w:p w14:paraId="09759D60" w14:textId="77777777" w:rsidR="00FC5566" w:rsidRPr="00FC5566" w:rsidRDefault="00FC5566" w:rsidP="00FC5566">
      <w:pPr>
        <w:tabs>
          <w:tab w:val="left" w:pos="907"/>
        </w:tabs>
        <w:ind w:firstLine="547"/>
        <w:jc w:val="both"/>
        <w:outlineLvl w:val="5"/>
        <w:rPr>
          <w:kern w:val="2"/>
        </w:rPr>
      </w:pPr>
      <w:r w:rsidRPr="00FC5566">
        <w:rPr>
          <w:kern w:val="2"/>
        </w:rPr>
        <w:t>d.</w:t>
      </w:r>
      <w:r w:rsidRPr="00FC5566">
        <w:rPr>
          <w:kern w:val="2"/>
        </w:rPr>
        <w:tab/>
        <w:t>Alligators or h</w:t>
      </w:r>
      <w:bookmarkStart w:id="488" w:name="c._Alligators_or_hides_of_alligators_har"/>
      <w:bookmarkEnd w:id="488"/>
      <w:r w:rsidRPr="00FC5566">
        <w:rPr>
          <w:kern w:val="2"/>
        </w:rPr>
        <w:t>ides of alligators harvested in Louisiana shall be tagged. Any deviation from those requirements shall be a violation and subject hides to confiscation. Violation of this Subparagraph is a Class Four violation as described in Title 56.</w:t>
      </w:r>
    </w:p>
    <w:p w14:paraId="002322F4" w14:textId="77777777" w:rsidR="00FC5566" w:rsidRPr="00FC5566" w:rsidRDefault="00FC5566" w:rsidP="00FC5566">
      <w:pPr>
        <w:tabs>
          <w:tab w:val="left" w:pos="907"/>
        </w:tabs>
        <w:ind w:firstLine="547"/>
        <w:jc w:val="both"/>
        <w:outlineLvl w:val="5"/>
        <w:rPr>
          <w:kern w:val="2"/>
        </w:rPr>
      </w:pPr>
      <w:r w:rsidRPr="00FC5566">
        <w:rPr>
          <w:kern w:val="2"/>
        </w:rPr>
        <w:t>e.</w:t>
      </w:r>
      <w:r w:rsidRPr="00FC5566">
        <w:rPr>
          <w:kern w:val="2"/>
        </w:rPr>
        <w:tab/>
        <w:t xml:space="preserve">A recreational alligator hunter shall possess on his person one or more valid recreational hide tags issued for the season and alligator harvest zone in which hunting occurs, along with written evidence of land ownership or permission from the landowner. Possession of recreational hide tags for a single recreational alligator hunter may satisfy the requirement of another hunter(s) when they are engaged in a joint hunting operation. </w:t>
      </w:r>
    </w:p>
    <w:p w14:paraId="5F008B28" w14:textId="77777777" w:rsidR="00FC5566" w:rsidRPr="00FC5566" w:rsidRDefault="00FC5566" w:rsidP="00FC5566">
      <w:pPr>
        <w:tabs>
          <w:tab w:val="left" w:pos="907"/>
        </w:tabs>
        <w:ind w:firstLine="547"/>
        <w:jc w:val="both"/>
        <w:outlineLvl w:val="5"/>
        <w:rPr>
          <w:kern w:val="2"/>
        </w:rPr>
      </w:pPr>
      <w:r w:rsidRPr="00FC5566">
        <w:rPr>
          <w:kern w:val="2"/>
        </w:rPr>
        <w:lastRenderedPageBreak/>
        <w:t>f.</w:t>
      </w:r>
      <w:r w:rsidRPr="00FC5566">
        <w:rPr>
          <w:kern w:val="2"/>
        </w:rPr>
        <w:tab/>
        <w:t>Except as provided for in Subparagraph 5.h. below, no person shall release any alligator from any taking device for any purpose without first dispatching the alligator. After the alligator is removed from the taking device the recreational hide tag shall be properly attached immediately upon possession, and the alligator removed from the harvest area. Violation of this Subparagraph is a Class Four violation as described in Title 56.</w:t>
      </w:r>
    </w:p>
    <w:p w14:paraId="32E7774B" w14:textId="77777777" w:rsidR="00FC5566" w:rsidRPr="00FC5566" w:rsidRDefault="00FC5566" w:rsidP="00FC5566">
      <w:pPr>
        <w:tabs>
          <w:tab w:val="left" w:pos="907"/>
        </w:tabs>
        <w:ind w:firstLine="547"/>
        <w:jc w:val="both"/>
        <w:outlineLvl w:val="5"/>
        <w:rPr>
          <w:kern w:val="2"/>
        </w:rPr>
      </w:pPr>
      <w:r w:rsidRPr="00FC5566">
        <w:rPr>
          <w:kern w:val="2"/>
        </w:rPr>
        <w:t>g.</w:t>
      </w:r>
      <w:r w:rsidRPr="00FC5566">
        <w:rPr>
          <w:kern w:val="2"/>
        </w:rPr>
        <w:tab/>
      </w:r>
      <w:bookmarkStart w:id="489" w:name="l._There_is_levied_a_severance_tax_of_$0"/>
      <w:bookmarkStart w:id="490" w:name="(c)._any_person_who_unintentionally_take"/>
      <w:bookmarkStart w:id="491" w:name="iii._Any_white_or_albino_hatchling_produ"/>
      <w:bookmarkStart w:id="492" w:name="iv._It_shall_be_a_violation_if_any_perso"/>
      <w:bookmarkStart w:id="493" w:name="m._An_alligator_hunter_or_alligator_farm"/>
      <w:bookmarkEnd w:id="489"/>
      <w:bookmarkEnd w:id="490"/>
      <w:bookmarkEnd w:id="491"/>
      <w:bookmarkEnd w:id="492"/>
      <w:bookmarkEnd w:id="493"/>
      <w:r w:rsidRPr="00FC5566">
        <w:rPr>
          <w:kern w:val="2"/>
        </w:rPr>
        <w:t>Alligators, alligator hides, alligator meat, and alligator parts taken under a recreational hide tag shall not be sold, bartered, exchanged for anything of value, or otherwise entered into commercial channels, and shall not be commingled with alligators, hides, meat, or parts taken under a commercial harvest tag. Any person engaged in the tanning of hides, processing of alligator meat or receipt of alligator parts shall identify recreational hide tags by the tag format and color described in Paragraph 2 of this Section and shall not accept alligators, hides, meat, or parts taken under a recreational hide tag for sale or for entry into commerce. Violation of this Subparagraph is a Class Four violation as described in Title 56.</w:t>
      </w:r>
    </w:p>
    <w:p w14:paraId="74D84079" w14:textId="77777777" w:rsidR="00FC5566" w:rsidRPr="00FC5566" w:rsidRDefault="00FC5566" w:rsidP="00FC5566">
      <w:pPr>
        <w:tabs>
          <w:tab w:val="left" w:pos="907"/>
        </w:tabs>
        <w:ind w:firstLine="547"/>
        <w:jc w:val="both"/>
        <w:outlineLvl w:val="5"/>
        <w:rPr>
          <w:kern w:val="2"/>
        </w:rPr>
      </w:pPr>
      <w:r w:rsidRPr="00FC5566">
        <w:rPr>
          <w:kern w:val="2"/>
        </w:rPr>
        <w:t>h.</w:t>
      </w:r>
      <w:r w:rsidRPr="00FC5566">
        <w:rPr>
          <w:kern w:val="2"/>
        </w:rPr>
        <w:tab/>
        <w:t>A recreational alligator hunter may give alligator parts to anyone for personal use. Any part of an alligator shall have affixed thereto the name, address, date, recreational hide tag number, and the LDWF number of the person donating the alligator part(s). This information shall be legibly written and attached to the part(s) or to the container enclosing the part or parts. This information must remain affixed until the part(s) has been stored at the domicile of the possessor. Violation of this Subparagraph is a Class Three violation as described in Title 56.</w:t>
      </w:r>
    </w:p>
    <w:p w14:paraId="272E660F" w14:textId="77777777" w:rsidR="00FC5566" w:rsidRPr="00FC5566" w:rsidRDefault="00FC5566" w:rsidP="00FC5566">
      <w:pPr>
        <w:tabs>
          <w:tab w:val="left" w:pos="907"/>
        </w:tabs>
        <w:ind w:firstLine="547"/>
        <w:jc w:val="both"/>
        <w:outlineLvl w:val="5"/>
        <w:rPr>
          <w:kern w:val="2"/>
        </w:rPr>
      </w:pPr>
      <w:r w:rsidRPr="00FC5566">
        <w:rPr>
          <w:kern w:val="2"/>
        </w:rPr>
        <w:t>i.</w:t>
      </w:r>
      <w:r w:rsidRPr="00FC5566">
        <w:rPr>
          <w:kern w:val="2"/>
        </w:rPr>
        <w:tab/>
        <w:t xml:space="preserve">Per R.S. 56:280, </w:t>
      </w:r>
      <w:bookmarkStart w:id="494" w:name="n.i._R.S._56:280,_passed_in_the_regular_"/>
      <w:bookmarkEnd w:id="494"/>
      <w:r w:rsidRPr="00FC5566">
        <w:rPr>
          <w:kern w:val="2"/>
        </w:rPr>
        <w:t xml:space="preserve">white or albino alligators are protected and therefore prohibited from take except as allowed by special permit from the department. It shall be a violation if any person intentionally takes from the wild any alligator that is white or albino by any means. Any person who unintentionally takes from the wild any alligator that is white or albino by hook and line shall immediately report its presence and location to the department. Department personnel of the Office of Wildlife will on a case-by-case basis determine the disposition of any such white or albino alligator which is unintentionally hooked. </w:t>
      </w:r>
      <w:bookmarkStart w:id="495" w:name="4._Licenses,_Permits_and_Fees"/>
      <w:bookmarkStart w:id="496" w:name="a.i._The_licenses_and_fees_required_for_"/>
      <w:bookmarkStart w:id="497" w:name="(a)._$25_for_a_resident_alligator_hunter"/>
      <w:bookmarkStart w:id="498" w:name="(b)._$150_for_a_nonresident_alligator_hu"/>
      <w:bookmarkStart w:id="499" w:name="(c)._$25_for_a_resident_fur_buyer's_lice"/>
      <w:bookmarkStart w:id="500" w:name="v._Violation_of_R.S._56:280_shall_subjec"/>
      <w:bookmarkEnd w:id="495"/>
      <w:bookmarkEnd w:id="496"/>
      <w:bookmarkEnd w:id="497"/>
      <w:bookmarkEnd w:id="498"/>
      <w:bookmarkEnd w:id="499"/>
      <w:bookmarkEnd w:id="500"/>
      <w:r w:rsidRPr="00FC5566">
        <w:rPr>
          <w:kern w:val="2"/>
        </w:rPr>
        <w:t>Violation of R.S. 56:280 shall subject the violator to a fine of not less than $10,000 and imprisonment for not less than 6 months or more than 12 months, or both.</w:t>
      </w:r>
    </w:p>
    <w:p w14:paraId="3A0E09EB" w14:textId="77777777" w:rsidR="00FC5566" w:rsidRPr="00FC5566" w:rsidRDefault="00FC5566" w:rsidP="00FC5566">
      <w:pPr>
        <w:tabs>
          <w:tab w:val="left" w:pos="907"/>
        </w:tabs>
        <w:ind w:firstLine="547"/>
        <w:jc w:val="both"/>
        <w:outlineLvl w:val="5"/>
        <w:rPr>
          <w:kern w:val="2"/>
        </w:rPr>
      </w:pPr>
      <w:r w:rsidRPr="00FC5566">
        <w:rPr>
          <w:kern w:val="2"/>
        </w:rPr>
        <w:t>j.</w:t>
      </w:r>
      <w:r w:rsidRPr="00FC5566">
        <w:rPr>
          <w:kern w:val="2"/>
        </w:rPr>
        <w:tab/>
      </w:r>
      <w:bookmarkStart w:id="501" w:name="o._Alligator_meat_and_parts_may_be_shipp"/>
      <w:bookmarkEnd w:id="501"/>
      <w:r w:rsidRPr="00FC5566">
        <w:rPr>
          <w:kern w:val="2"/>
        </w:rPr>
        <w:t>Alligator hides or parts may be shipped out of state for personal tanning or taxidermy. The hide or parts to be shipped shall be accompanied with a possession tag containing the date of harvest, recreational hide tag number and the LDWF customer number of the alligator hunter. Alligator hides, meat or parts shall be prohibited from being shipped outside of the United States. Violation of this Subparagraph is a Class Three violation as described in Title 56</w:t>
      </w:r>
      <w:bookmarkStart w:id="502" w:name="p._For_the_purpose_of_bona_fide_educatio"/>
      <w:bookmarkEnd w:id="502"/>
      <w:r w:rsidRPr="00FC5566">
        <w:rPr>
          <w:kern w:val="2"/>
        </w:rPr>
        <w:t>.</w:t>
      </w:r>
    </w:p>
    <w:p w14:paraId="479F4640" w14:textId="77777777" w:rsidR="00FC5566" w:rsidRPr="00FC5566" w:rsidRDefault="00FC5566" w:rsidP="00FC5566">
      <w:pPr>
        <w:tabs>
          <w:tab w:val="left" w:pos="907"/>
        </w:tabs>
        <w:ind w:firstLine="547"/>
        <w:jc w:val="both"/>
        <w:outlineLvl w:val="5"/>
        <w:rPr>
          <w:kern w:val="2"/>
        </w:rPr>
      </w:pPr>
      <w:r w:rsidRPr="00FC5566">
        <w:rPr>
          <w:kern w:val="2"/>
        </w:rPr>
        <w:t>k.</w:t>
      </w:r>
      <w:r w:rsidRPr="00FC5566">
        <w:rPr>
          <w:kern w:val="2"/>
        </w:rPr>
        <w:tab/>
        <w:t>Recreational hide tags are nontransferable. A recreational hide tag may be used only by the lottery-selected recreational alligator hunter to whom the tag was issued, and shall not be sold, assigned, transferred, gifted, loaned, bartered, or otherwise conveyed to any other person. Violation of this Subparagraph is a Class Four violation as described in Title 56.</w:t>
      </w:r>
    </w:p>
    <w:p w14:paraId="4456E2D6" w14:textId="77777777" w:rsidR="00FC5566" w:rsidRPr="00FC5566" w:rsidRDefault="00FC5566" w:rsidP="00FC5566">
      <w:pPr>
        <w:tabs>
          <w:tab w:val="left" w:pos="907"/>
        </w:tabs>
        <w:ind w:firstLine="547"/>
        <w:jc w:val="both"/>
        <w:outlineLvl w:val="5"/>
        <w:rPr>
          <w:kern w:val="2"/>
        </w:rPr>
      </w:pPr>
      <w:r w:rsidRPr="00FC5566">
        <w:rPr>
          <w:kern w:val="2"/>
        </w:rPr>
        <w:t>l.</w:t>
      </w:r>
      <w:r w:rsidRPr="00FC5566">
        <w:rPr>
          <w:kern w:val="2"/>
        </w:rPr>
        <w:tab/>
        <w:t>No recreational alligator hunter shall conduct, advertise, offer, or participate in a guided alligator hunt utilizing a recreational hide tag. Alligators taken under a recreational hide tag shall not be harvested in connection with any guide service, outfitter service, or other service for which a fee, consideration, or anything of value is charged, paid, or received. Violation of this Subparagraph is a Class Three violation as described in Title 56.</w:t>
      </w:r>
    </w:p>
    <w:p w14:paraId="5449008F" w14:textId="77777777" w:rsidR="00FC5566" w:rsidRPr="00FC5566" w:rsidRDefault="00FC5566" w:rsidP="00FC5566">
      <w:pPr>
        <w:tabs>
          <w:tab w:val="left" w:pos="907"/>
        </w:tabs>
        <w:ind w:firstLine="547"/>
        <w:jc w:val="both"/>
        <w:outlineLvl w:val="5"/>
        <w:rPr>
          <w:kern w:val="2"/>
        </w:rPr>
      </w:pPr>
      <w:r w:rsidRPr="00FC5566">
        <w:rPr>
          <w:kern w:val="2"/>
        </w:rPr>
        <w:t>m.</w:t>
      </w:r>
      <w:r w:rsidRPr="00FC5566">
        <w:rPr>
          <w:kern w:val="2"/>
        </w:rPr>
        <w:tab/>
        <w:t xml:space="preserve">Disposal of Alligator Carcass Remains. Any person who harvests an alligator under a recreational hide tag shall dispose of the alligator carcass remains in a sanitary manner by cremation, burial or other sanitary method recommended by LDWF, so as not to create a public nuisance. Disposal of Alligator Carcass remains in any public lands, rights-of-way, or waterbodies is strictly prohibited. LDWF shall provide educational materials on its website for licensed alligator hunters on approved disposal methods and best practices. Violations of this Subparagraph shall also be subject to penalties for littering, including but not limited to fines, restitution for cleanup costs and forfeiture of eligibility for participation in future recreational alligator season lotteries. Each improperly disposed alligator carcass shall be a separate violation. Violation of this Subparagraph is a Class Two violation as described in Title 56. </w:t>
      </w:r>
    </w:p>
    <w:p w14:paraId="0FA75F78" w14:textId="77777777" w:rsidR="00FC5566" w:rsidRPr="00FC5566" w:rsidRDefault="00FC5566" w:rsidP="00FC5566">
      <w:pPr>
        <w:tabs>
          <w:tab w:val="left" w:pos="907"/>
        </w:tabs>
        <w:ind w:firstLine="547"/>
        <w:jc w:val="both"/>
        <w:outlineLvl w:val="5"/>
        <w:rPr>
          <w:kern w:val="2"/>
        </w:rPr>
      </w:pPr>
      <w:r w:rsidRPr="00FC5566">
        <w:rPr>
          <w:kern w:val="2"/>
        </w:rPr>
        <w:t>n.</w:t>
      </w:r>
      <w:r w:rsidRPr="00FC5566">
        <w:rPr>
          <w:kern w:val="2"/>
        </w:rPr>
        <w:tab/>
        <w:t>Prohibition on Wanton Waste. No person shall wantonly waste or cause to be wasted any alligator taken under the provisions of this Section. For purposes of this Subparagraph, “wanton waste” means: (i) the failure to make a reasonable effort to retrieve any alligator that has been hooked, wounded, or killed, and to retain such alligator in the hunter’s possession; (ii) the intentional abandonment, discarding, or leaving to decay of the edible meat of a harvested alligator, except for inedible portions, viscera, bones, hides, and skeletal remains; or (iii) the taking of an alligator without the intent to reduce it to possession for personal use in accordance with these regulations. Each recreational alligator hunter shall take all reasonable steps to recover any alligator hooked, wounded, or killed and to care for the edible meat of any alligator harvested so as to prevent spoilage or waste. Violation of this Subparagraph is a Class Three violation as described in Title 56.</w:t>
      </w:r>
    </w:p>
    <w:p w14:paraId="23063931"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w:t>
      </w:r>
      <w:r w:rsidRPr="00FC5566">
        <w:rPr>
          <w:kern w:val="2"/>
        </w:rPr>
        <w:tab/>
        <w:t>Licenses, Permits and Fees</w:t>
      </w:r>
    </w:p>
    <w:p w14:paraId="40CCC1ED" w14:textId="77777777" w:rsidR="00FC5566" w:rsidRPr="00FC5566" w:rsidRDefault="00FC5566" w:rsidP="00FC5566">
      <w:pPr>
        <w:tabs>
          <w:tab w:val="left" w:pos="907"/>
        </w:tabs>
        <w:ind w:firstLine="547"/>
        <w:jc w:val="both"/>
        <w:outlineLvl w:val="5"/>
        <w:rPr>
          <w:kern w:val="2"/>
        </w:rPr>
      </w:pPr>
      <w:r w:rsidRPr="00FC5566">
        <w:rPr>
          <w:bCs/>
          <w:kern w:val="2"/>
        </w:rPr>
        <w:t>a.</w:t>
      </w:r>
      <w:r w:rsidRPr="00FC5566">
        <w:rPr>
          <w:bCs/>
          <w:kern w:val="2"/>
        </w:rPr>
        <w:tab/>
      </w:r>
      <w:r w:rsidRPr="00FC5566">
        <w:rPr>
          <w:kern w:val="2"/>
        </w:rPr>
        <w:t>The licenses and fees required for activities authorized by these regulations are as prescribed under provisions of Title 56, or as prescribed in these regulations, and are:</w:t>
      </w:r>
    </w:p>
    <w:p w14:paraId="0A3872A0"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w:t>
      </w:r>
      <w:r w:rsidRPr="00FC5566">
        <w:rPr>
          <w:kern w:val="2"/>
        </w:rPr>
        <w:tab/>
        <w:t>Recreational Alligator Hunting License—$25;</w:t>
      </w:r>
    </w:p>
    <w:p w14:paraId="32920937"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ii.</w:t>
      </w:r>
      <w:r w:rsidRPr="00FC5566">
        <w:rPr>
          <w:kern w:val="2"/>
        </w:rPr>
        <w:tab/>
        <w:t>Nonresident Recreational Alligator Hunting License—$150.</w:t>
      </w:r>
    </w:p>
    <w:p w14:paraId="27785973" w14:textId="77777777" w:rsidR="00FC5566" w:rsidRPr="00FC5566" w:rsidRDefault="00FC5566" w:rsidP="00FC5566">
      <w:pPr>
        <w:tabs>
          <w:tab w:val="left" w:pos="907"/>
        </w:tabs>
        <w:ind w:firstLine="547"/>
        <w:jc w:val="both"/>
        <w:outlineLvl w:val="5"/>
        <w:rPr>
          <w:kern w:val="2"/>
        </w:rPr>
      </w:pPr>
      <w:bookmarkStart w:id="503" w:name="b._No_person_may_take,_attempt_to_take,_"/>
      <w:bookmarkStart w:id="504" w:name="c._No_person_may_engage_in_the_business_"/>
      <w:bookmarkStart w:id="505" w:name="(d)._$100_for_a_nonresident_fur_buyer's_"/>
      <w:bookmarkEnd w:id="503"/>
      <w:bookmarkEnd w:id="504"/>
      <w:bookmarkEnd w:id="505"/>
      <w:r w:rsidRPr="00FC5566">
        <w:rPr>
          <w:kern w:val="2"/>
        </w:rPr>
        <w:t>b.</w:t>
      </w:r>
      <w:r w:rsidRPr="00FC5566">
        <w:rPr>
          <w:kern w:val="2"/>
        </w:rPr>
        <w:tab/>
        <w:t xml:space="preserve">All alligator hunting licenses </w:t>
      </w:r>
      <w:bookmarkStart w:id="506" w:name="(n)._$25_for_a_designated_agent_collecti"/>
      <w:bookmarkStart w:id="507" w:name="ii._All_license_types_prescribed_above_e"/>
      <w:bookmarkEnd w:id="506"/>
      <w:bookmarkEnd w:id="507"/>
      <w:r w:rsidRPr="00FC5566">
        <w:rPr>
          <w:kern w:val="2"/>
        </w:rPr>
        <w:t>described above expire annually on December 31.</w:t>
      </w:r>
    </w:p>
    <w:p w14:paraId="4F0C5BC8" w14:textId="77777777" w:rsidR="00FC5566" w:rsidRPr="00FC5566" w:rsidRDefault="00FC5566" w:rsidP="00FC5566">
      <w:pPr>
        <w:tabs>
          <w:tab w:val="left" w:pos="907"/>
        </w:tabs>
        <w:ind w:firstLine="547"/>
        <w:jc w:val="both"/>
        <w:outlineLvl w:val="5"/>
        <w:rPr>
          <w:kern w:val="2"/>
        </w:rPr>
      </w:pPr>
      <w:r w:rsidRPr="00FC5566">
        <w:rPr>
          <w:kern w:val="2"/>
        </w:rPr>
        <w:t>c.</w:t>
      </w:r>
      <w:r w:rsidRPr="00FC5566">
        <w:rPr>
          <w:kern w:val="2"/>
        </w:rPr>
        <w:tab/>
        <w:t>No person may take, attempt to take, or possess a wild alligator in this state during the open season for taking wild alligators unless he or she has acquired and possesses a basic hunting license and a recreational alligator hunter's license. A recreational alligator hunter must have in their possession a valid basic hunting license (or equivalent privilege), a recreational alligator hunting license, valid recreational hide tag(s) to take or possess wild alligators, along with written evidence of land ownership or permission from the landowner. Violation of this Subparagraph is a Class Three violation as described in Title 56.</w:t>
      </w:r>
    </w:p>
    <w:p w14:paraId="2829DAAE"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lastRenderedPageBreak/>
        <w:t>5.</w:t>
      </w:r>
      <w:r w:rsidRPr="00FC5566">
        <w:rPr>
          <w:kern w:val="2"/>
        </w:rPr>
        <w:tab/>
      </w:r>
      <w:bookmarkStart w:id="508" w:name="b._There_are_no_size_restrictions_on_wil"/>
      <w:bookmarkStart w:id="509" w:name="c.i._Legal_methods_for_taking_alligators"/>
      <w:bookmarkStart w:id="510" w:name="(a)._hook_and_line;"/>
      <w:bookmarkStart w:id="511" w:name="(b)._long_(including_compound)_bow_and_b"/>
      <w:bookmarkStart w:id="512" w:name="(c)._firearms_(the_possession_of_shotgun"/>
      <w:bookmarkStart w:id="513" w:name="j._No_person_shall_ship_or_transport_all"/>
      <w:bookmarkEnd w:id="508"/>
      <w:bookmarkEnd w:id="509"/>
      <w:bookmarkEnd w:id="510"/>
      <w:bookmarkEnd w:id="511"/>
      <w:bookmarkEnd w:id="512"/>
      <w:bookmarkEnd w:id="513"/>
      <w:r w:rsidRPr="00FC5566">
        <w:rPr>
          <w:kern w:val="2"/>
        </w:rPr>
        <w:t>Wild Harvest Methods</w:t>
      </w:r>
    </w:p>
    <w:p w14:paraId="68B70293" w14:textId="77777777" w:rsidR="00FC5566" w:rsidRPr="00FC5566" w:rsidRDefault="00FC5566" w:rsidP="00FC5566">
      <w:pPr>
        <w:tabs>
          <w:tab w:val="left" w:pos="907"/>
        </w:tabs>
        <w:ind w:firstLine="547"/>
        <w:jc w:val="both"/>
        <w:outlineLvl w:val="5"/>
        <w:rPr>
          <w:kern w:val="2"/>
        </w:rPr>
      </w:pPr>
      <w:r w:rsidRPr="00FC5566">
        <w:rPr>
          <w:bCs/>
          <w:kern w:val="2"/>
        </w:rPr>
        <w:t>a.</w:t>
      </w:r>
      <w:r w:rsidRPr="00FC5566">
        <w:rPr>
          <w:bCs/>
          <w:kern w:val="2"/>
        </w:rPr>
        <w:tab/>
      </w:r>
      <w:r w:rsidRPr="00FC5566">
        <w:rPr>
          <w:kern w:val="2"/>
        </w:rPr>
        <w:t xml:space="preserve">Alligators taken from the wild may be dispatched or removed </w:t>
      </w:r>
      <w:bookmarkStart w:id="514" w:name="5._Wild_Harvest_Methods"/>
      <w:bookmarkEnd w:id="514"/>
      <w:r w:rsidRPr="00FC5566">
        <w:rPr>
          <w:kern w:val="2"/>
        </w:rPr>
        <w:t xml:space="preserve">from </w:t>
      </w:r>
      <w:bookmarkStart w:id="515" w:name="a._Alligators_taken_from_the_wild_may_be"/>
      <w:bookmarkEnd w:id="515"/>
      <w:r w:rsidRPr="00FC5566">
        <w:rPr>
          <w:kern w:val="2"/>
        </w:rPr>
        <w:t>hook and line, or snatch hook, only during daylight hours between official sunrise and official sunset. Violation of this Subparagraph is a Class Four violation as described in Title 56.</w:t>
      </w:r>
    </w:p>
    <w:p w14:paraId="4FEAB88A" w14:textId="77777777" w:rsidR="00FC5566" w:rsidRPr="00FC5566" w:rsidRDefault="00FC5566" w:rsidP="00FC5566">
      <w:pPr>
        <w:tabs>
          <w:tab w:val="left" w:pos="907"/>
        </w:tabs>
        <w:ind w:firstLine="547"/>
        <w:jc w:val="both"/>
        <w:outlineLvl w:val="5"/>
        <w:rPr>
          <w:kern w:val="2"/>
        </w:rPr>
      </w:pPr>
      <w:r w:rsidRPr="00FC5566">
        <w:rPr>
          <w:kern w:val="2"/>
        </w:rPr>
        <w:t>b.</w:t>
      </w:r>
      <w:r w:rsidRPr="00FC5566">
        <w:rPr>
          <w:kern w:val="2"/>
        </w:rPr>
        <w:tab/>
        <w:t>There are no size restrictions on wild alligators taken during the recreational season.</w:t>
      </w:r>
    </w:p>
    <w:p w14:paraId="7AB658A0" w14:textId="77777777" w:rsidR="00FC5566" w:rsidRPr="00FC5566" w:rsidRDefault="00FC5566" w:rsidP="00FC5566">
      <w:pPr>
        <w:tabs>
          <w:tab w:val="left" w:pos="907"/>
        </w:tabs>
        <w:ind w:firstLine="547"/>
        <w:jc w:val="both"/>
        <w:outlineLvl w:val="5"/>
        <w:rPr>
          <w:kern w:val="2"/>
        </w:rPr>
      </w:pPr>
      <w:r w:rsidRPr="00FC5566">
        <w:rPr>
          <w:kern w:val="2"/>
        </w:rPr>
        <w:t>c.</w:t>
      </w:r>
      <w:r w:rsidRPr="00FC5566">
        <w:rPr>
          <w:kern w:val="2"/>
        </w:rPr>
        <w:tab/>
        <w:t>Alligators shall only be taken via hook and line or snatch hook, provided that the hook and line or snatch hook is anchored, tethered, or originating from immovable eligible property with written evidence of land ownership or permission from the landowner</w:t>
      </w:r>
      <w:r w:rsidRPr="00FC5566" w:rsidDel="0005110E">
        <w:rPr>
          <w:kern w:val="2"/>
        </w:rPr>
        <w:t xml:space="preserve"> </w:t>
      </w:r>
      <w:r w:rsidRPr="00FC5566">
        <w:rPr>
          <w:kern w:val="2"/>
        </w:rPr>
        <w:t xml:space="preserve">to recreationally hunt alligators has been granted. </w:t>
      </w:r>
    </w:p>
    <w:p w14:paraId="4072F1CE" w14:textId="77777777" w:rsidR="00FC5566" w:rsidRPr="00FC5566" w:rsidRDefault="00FC5566" w:rsidP="00FC5566">
      <w:pPr>
        <w:tabs>
          <w:tab w:val="left" w:pos="907"/>
        </w:tabs>
        <w:ind w:firstLine="547"/>
        <w:jc w:val="both"/>
        <w:outlineLvl w:val="5"/>
        <w:rPr>
          <w:kern w:val="2"/>
        </w:rPr>
      </w:pPr>
      <w:r w:rsidRPr="00FC5566">
        <w:rPr>
          <w:kern w:val="2"/>
        </w:rPr>
        <w:t>d.</w:t>
      </w:r>
      <w:r w:rsidRPr="00FC5566">
        <w:rPr>
          <w:kern w:val="2"/>
        </w:rPr>
        <w:tab/>
        <w:t>Pole hunting and free shooting is prohibited.</w:t>
      </w:r>
    </w:p>
    <w:p w14:paraId="14B33319" w14:textId="77777777" w:rsidR="00FC5566" w:rsidRPr="00FC5566" w:rsidRDefault="00FC5566" w:rsidP="00FC5566">
      <w:pPr>
        <w:tabs>
          <w:tab w:val="left" w:pos="907"/>
        </w:tabs>
        <w:ind w:firstLine="547"/>
        <w:jc w:val="both"/>
        <w:outlineLvl w:val="5"/>
        <w:rPr>
          <w:kern w:val="2"/>
        </w:rPr>
      </w:pPr>
      <w:r w:rsidRPr="00FC5566">
        <w:rPr>
          <w:kern w:val="2"/>
        </w:rPr>
        <w:t>e.</w:t>
      </w:r>
      <w:r w:rsidRPr="00FC5566">
        <w:rPr>
          <w:kern w:val="2"/>
        </w:rPr>
        <w:tab/>
        <w:t xml:space="preserve">A firearm or bang stick shall be used to dispatch alligators after it has been taken on hook and line. An alligator that has been secured to a line anchored, tethered, or originating from immovable eligible property may be dispatched from a boat. </w:t>
      </w:r>
    </w:p>
    <w:p w14:paraId="39BBEF98" w14:textId="77777777" w:rsidR="00FC5566" w:rsidRPr="00FC5566" w:rsidRDefault="00FC5566" w:rsidP="00FC5566">
      <w:pPr>
        <w:tabs>
          <w:tab w:val="left" w:pos="907"/>
        </w:tabs>
        <w:ind w:firstLine="547"/>
        <w:jc w:val="both"/>
        <w:outlineLvl w:val="5"/>
        <w:rPr>
          <w:kern w:val="2"/>
        </w:rPr>
      </w:pPr>
      <w:r w:rsidRPr="00FC5566">
        <w:rPr>
          <w:kern w:val="2"/>
        </w:rPr>
        <w:t>f.</w:t>
      </w:r>
      <w:r w:rsidRPr="00FC5566">
        <w:rPr>
          <w:kern w:val="2"/>
        </w:rPr>
        <w:tab/>
        <w:t xml:space="preserve">Hunters are limited to setting two lines per unused tag. All lines must be labeled with hunter’s LDWF customer number on weatherproof material. </w:t>
      </w:r>
    </w:p>
    <w:p w14:paraId="79E365D1" w14:textId="77777777" w:rsidR="00FC5566" w:rsidRPr="00FC5566" w:rsidRDefault="00FC5566" w:rsidP="00FC5566">
      <w:pPr>
        <w:tabs>
          <w:tab w:val="left" w:pos="907"/>
        </w:tabs>
        <w:ind w:firstLine="547"/>
        <w:jc w:val="both"/>
        <w:outlineLvl w:val="5"/>
        <w:rPr>
          <w:kern w:val="2"/>
        </w:rPr>
      </w:pPr>
      <w:r w:rsidRPr="00FC5566">
        <w:rPr>
          <w:kern w:val="2"/>
        </w:rPr>
        <w:t>g.</w:t>
      </w:r>
      <w:r w:rsidRPr="00FC5566">
        <w:rPr>
          <w:kern w:val="2"/>
        </w:rPr>
        <w:tab/>
      </w:r>
      <w:bookmarkStart w:id="516" w:name="h._A_person_possessing_alligator_hide_ta"/>
      <w:bookmarkStart w:id="517" w:name="6._Alligator_Hide_Tag_Procurement_and_Ta"/>
      <w:bookmarkStart w:id="518" w:name="a._Alligator_hide_tags_may_be_obtained_a"/>
      <w:bookmarkStart w:id="519" w:name="b._Landowners,_Land_Managers_and_Hunters"/>
      <w:bookmarkEnd w:id="516"/>
      <w:bookmarkEnd w:id="517"/>
      <w:bookmarkEnd w:id="518"/>
      <w:bookmarkEnd w:id="519"/>
      <w:r w:rsidRPr="00FC5566">
        <w:rPr>
          <w:kern w:val="2"/>
        </w:rPr>
        <w:t>H</w:t>
      </w:r>
      <w:bookmarkStart w:id="520" w:name="d._Hooks_and_arrows_may_be_used_only_whe"/>
      <w:bookmarkEnd w:id="520"/>
      <w:r w:rsidRPr="00FC5566">
        <w:rPr>
          <w:kern w:val="2"/>
        </w:rPr>
        <w:t>ooks may be used only when a line of at least 300 pound test is securely attached to the hook in such a manner to prevent separation from the hook until the carcass is retrieved. The other end of the line must be attached to eligible immovable property. Violation of this Subparagraph is a Class Three violation as described in Title 56.</w:t>
      </w:r>
    </w:p>
    <w:p w14:paraId="23C60DB2" w14:textId="77777777" w:rsidR="00FC5566" w:rsidRPr="00FC5566" w:rsidRDefault="00FC5566" w:rsidP="00FC5566">
      <w:pPr>
        <w:tabs>
          <w:tab w:val="left" w:pos="907"/>
        </w:tabs>
        <w:ind w:firstLine="547"/>
        <w:jc w:val="both"/>
        <w:outlineLvl w:val="5"/>
        <w:rPr>
          <w:kern w:val="2"/>
        </w:rPr>
      </w:pPr>
      <w:r w:rsidRPr="00FC5566">
        <w:rPr>
          <w:kern w:val="2"/>
        </w:rPr>
        <w:t>h.</w:t>
      </w:r>
      <w:r w:rsidRPr="00FC5566">
        <w:rPr>
          <w:kern w:val="2"/>
        </w:rPr>
        <w:tab/>
        <w:t>Alligator hunters shall inspect their hooks and lines and remove captured alligators daily. All hooks and lines shall be removed when an alligator hunter's quota is reached. In the event an alligator is hooked and the hunter's quota has been reached the hunter must release the alligator in the most humane method possible. Violation of this Subparagraph is a Class Three violation as described in Title 56.</w:t>
      </w:r>
    </w:p>
    <w:p w14:paraId="0008286E" w14:textId="77777777" w:rsidR="00FC5566" w:rsidRPr="00FC5566" w:rsidRDefault="00FC5566" w:rsidP="00FC5566">
      <w:pPr>
        <w:tabs>
          <w:tab w:val="left" w:pos="907"/>
        </w:tabs>
        <w:ind w:firstLine="547"/>
        <w:jc w:val="both"/>
        <w:outlineLvl w:val="5"/>
        <w:rPr>
          <w:kern w:val="2"/>
        </w:rPr>
      </w:pPr>
      <w:r w:rsidRPr="00FC5566">
        <w:rPr>
          <w:kern w:val="2"/>
        </w:rPr>
        <w:t>i.</w:t>
      </w:r>
      <w:r w:rsidRPr="00FC5566">
        <w:rPr>
          <w:kern w:val="2"/>
        </w:rPr>
        <w:tab/>
        <w:t xml:space="preserve">Baited hooks and lines may be set no more </w:t>
      </w:r>
      <w:bookmarkStart w:id="521" w:name="f._Baited_hooks_and_lines_may_be_set_no_"/>
      <w:bookmarkEnd w:id="521"/>
      <w:r w:rsidRPr="00FC5566">
        <w:rPr>
          <w:kern w:val="2"/>
        </w:rPr>
        <w:t>than 24 hours prior to the open season and shall be removed no later than sunset of the last day of the open season. Violation of this Subparagraph is a Class Three violation as described in Title 56.</w:t>
      </w:r>
    </w:p>
    <w:p w14:paraId="5403B15E"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6.</w:t>
      </w:r>
      <w:r w:rsidRPr="00FC5566">
        <w:rPr>
          <w:kern w:val="2"/>
        </w:rPr>
        <w:tab/>
        <w:t>Recreational Alligator Season Lottery</w:t>
      </w:r>
    </w:p>
    <w:p w14:paraId="2CB83FD6" w14:textId="77777777" w:rsidR="00FC5566" w:rsidRPr="00FC5566" w:rsidRDefault="00FC5566" w:rsidP="00FC5566">
      <w:pPr>
        <w:tabs>
          <w:tab w:val="left" w:pos="907"/>
        </w:tabs>
        <w:ind w:firstLine="547"/>
        <w:jc w:val="both"/>
        <w:outlineLvl w:val="5"/>
        <w:rPr>
          <w:kern w:val="2"/>
        </w:rPr>
      </w:pPr>
      <w:r w:rsidRPr="00FC5566">
        <w:rPr>
          <w:bCs/>
          <w:kern w:val="2"/>
        </w:rPr>
        <w:t>a.</w:t>
      </w:r>
      <w:r w:rsidRPr="00FC5566">
        <w:rPr>
          <w:bCs/>
          <w:kern w:val="2"/>
        </w:rPr>
        <w:tab/>
      </w:r>
      <w:r w:rsidRPr="00FC5566">
        <w:rPr>
          <w:kern w:val="2"/>
        </w:rPr>
        <w:t>Recreational hide tags shall be issued through a lottery.</w:t>
      </w:r>
    </w:p>
    <w:p w14:paraId="3375D04E" w14:textId="77777777" w:rsidR="00FC5566" w:rsidRPr="00FC5566" w:rsidRDefault="00FC5566" w:rsidP="00FC5566">
      <w:pPr>
        <w:tabs>
          <w:tab w:val="left" w:pos="907"/>
        </w:tabs>
        <w:ind w:firstLine="547"/>
        <w:jc w:val="both"/>
        <w:outlineLvl w:val="5"/>
        <w:rPr>
          <w:kern w:val="2"/>
        </w:rPr>
      </w:pPr>
      <w:r w:rsidRPr="00FC5566">
        <w:rPr>
          <w:kern w:val="2"/>
        </w:rPr>
        <w:t>b.</w:t>
      </w:r>
      <w:r w:rsidRPr="00FC5566">
        <w:rPr>
          <w:kern w:val="2"/>
        </w:rPr>
        <w:tab/>
        <w:t>Only bona fide residents age 16 and older who are hunter education certified shall be eligible to apply for and be selected in the recreational alligator harvest lottery. A nonresident may participate in a recreational alligator hunt only while in the physical presence of the lottery-winning recreational alligator hunter to whom the recreational hide tag(s) being used were issued, and shall possess a valid Nonresident Basic Hunting License (or equivalent privilege) and a Nonresident Recreational Alligator Hunting License.</w:t>
      </w:r>
    </w:p>
    <w:p w14:paraId="49C518D3" w14:textId="77777777" w:rsidR="00FC5566" w:rsidRPr="00FC5566" w:rsidRDefault="00FC5566" w:rsidP="00FC5566">
      <w:pPr>
        <w:tabs>
          <w:tab w:val="left" w:pos="907"/>
        </w:tabs>
        <w:ind w:firstLine="547"/>
        <w:jc w:val="both"/>
        <w:outlineLvl w:val="5"/>
        <w:rPr>
          <w:kern w:val="2"/>
        </w:rPr>
      </w:pPr>
      <w:r w:rsidRPr="00FC5566">
        <w:rPr>
          <w:kern w:val="2"/>
        </w:rPr>
        <w:t>c.</w:t>
      </w:r>
      <w:r w:rsidRPr="00FC5566">
        <w:rPr>
          <w:kern w:val="2"/>
        </w:rPr>
        <w:tab/>
        <w:t>The recreational alligator lottery may provide a maximum of 5,000 recreational alligator hunting opportunities (10,000 recreational hide tags).</w:t>
      </w:r>
    </w:p>
    <w:p w14:paraId="29564459" w14:textId="77777777" w:rsidR="00FC5566" w:rsidRPr="00FC5566" w:rsidRDefault="00FC5566" w:rsidP="00FC5566">
      <w:pPr>
        <w:tabs>
          <w:tab w:val="left" w:pos="907"/>
        </w:tabs>
        <w:ind w:firstLine="547"/>
        <w:jc w:val="both"/>
        <w:outlineLvl w:val="5"/>
        <w:rPr>
          <w:kern w:val="2"/>
        </w:rPr>
      </w:pPr>
      <w:r w:rsidRPr="00FC5566">
        <w:rPr>
          <w:kern w:val="2"/>
        </w:rPr>
        <w:t>d.</w:t>
      </w:r>
      <w:r w:rsidRPr="00FC5566">
        <w:rPr>
          <w:kern w:val="2"/>
        </w:rPr>
        <w:tab/>
        <w:t>Successful recreational alligator lottery applicants will be issued two recreational hide tags for each of their awarded alligator hunting zone lottery applications upon acceptance.</w:t>
      </w:r>
    </w:p>
    <w:p w14:paraId="6D88E12C" w14:textId="77777777" w:rsidR="00FC5566" w:rsidRPr="00FC5566" w:rsidRDefault="00FC5566" w:rsidP="00FC5566">
      <w:pPr>
        <w:tabs>
          <w:tab w:val="left" w:pos="907"/>
        </w:tabs>
        <w:ind w:firstLine="547"/>
        <w:jc w:val="both"/>
        <w:outlineLvl w:val="5"/>
        <w:rPr>
          <w:kern w:val="2"/>
        </w:rPr>
      </w:pPr>
      <w:r w:rsidRPr="00FC5566">
        <w:rPr>
          <w:kern w:val="2"/>
        </w:rPr>
        <w:t>e.</w:t>
      </w:r>
      <w:r w:rsidRPr="00FC5566">
        <w:rPr>
          <w:kern w:val="2"/>
        </w:rPr>
        <w:tab/>
      </w:r>
      <w:bookmarkStart w:id="522" w:name="d._If_an_alligator_hunter_is_cited_for_h"/>
      <w:bookmarkStart w:id="523" w:name="e._A_hide_tag_shall_be_properly_attached"/>
      <w:bookmarkEnd w:id="522"/>
      <w:bookmarkEnd w:id="523"/>
      <w:r w:rsidRPr="00FC5566">
        <w:rPr>
          <w:kern w:val="2"/>
        </w:rPr>
        <w:t>If any recreational alligator hunter is cited for hunting alligators out of season, or</w:t>
      </w:r>
      <w:r w:rsidRPr="00FC5566">
        <w:rPr>
          <w:spacing w:val="40"/>
          <w:kern w:val="2"/>
        </w:rPr>
        <w:t xml:space="preserve"> </w:t>
      </w:r>
      <w:r w:rsidRPr="00FC5566">
        <w:rPr>
          <w:kern w:val="2"/>
        </w:rPr>
        <w:t xml:space="preserve">at night, or on property </w:t>
      </w:r>
      <w:r w:rsidRPr="00FC5566">
        <w:rPr>
          <w:kern w:val="2"/>
        </w:rPr>
        <w:t>other than eligible property for which permission has been granted, all unused recreational hide tags and alligators in their possession shall be confiscated and the violator's recreational alligator hunting license shall be revoked and eligibility to participate in future recreational alligator harvests shall be forfeited for a period of 5 years. Additionally, violators will be subject to civil restitution for the value of an American alligator. Violation of this Subparagraph is a Class Four violation as described in Title 56.</w:t>
      </w:r>
    </w:p>
    <w:p w14:paraId="373342D5"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7.</w:t>
      </w:r>
      <w:r w:rsidRPr="00FC5566">
        <w:rPr>
          <w:kern w:val="2"/>
        </w:rPr>
        <w:tab/>
        <w:t>Recreational Alligator Harvest Zones</w:t>
      </w:r>
    </w:p>
    <w:p w14:paraId="4497A3F2" w14:textId="77777777" w:rsidR="00FC5566" w:rsidRPr="00FC5566" w:rsidRDefault="00FC5566" w:rsidP="00FC5566">
      <w:pPr>
        <w:tabs>
          <w:tab w:val="left" w:pos="907"/>
        </w:tabs>
        <w:ind w:firstLine="547"/>
        <w:jc w:val="both"/>
        <w:outlineLvl w:val="5"/>
        <w:rPr>
          <w:kern w:val="2"/>
        </w:rPr>
      </w:pPr>
      <w:r w:rsidRPr="00FC5566">
        <w:rPr>
          <w:bCs/>
          <w:kern w:val="2"/>
        </w:rPr>
        <w:t>a.</w:t>
      </w:r>
      <w:r w:rsidRPr="00FC5566">
        <w:rPr>
          <w:bCs/>
          <w:kern w:val="2"/>
        </w:rPr>
        <w:tab/>
      </w:r>
      <w:bookmarkStart w:id="524" w:name="iii._The_state_tagged_alligator_or_allig"/>
      <w:bookmarkStart w:id="525" w:name="iv._If_the_buyer/dealer_does_not_locate_"/>
      <w:bookmarkStart w:id="526" w:name="ii._Nuisance_control_hunters_may_take_nu"/>
      <w:bookmarkStart w:id="527" w:name="iii._Farm_raised_alligators_may_be_taken"/>
      <w:bookmarkStart w:id="528" w:name="iv._The_open_season_for_collection_of_al"/>
      <w:bookmarkStart w:id="529" w:name="v._The_failure_of_the_buyer/dealer_to_pr"/>
      <w:bookmarkStart w:id="530" w:name="7._Open_Season,_Open_Areas,_and_Quotas"/>
      <w:bookmarkEnd w:id="524"/>
      <w:bookmarkEnd w:id="525"/>
      <w:bookmarkEnd w:id="526"/>
      <w:bookmarkEnd w:id="527"/>
      <w:bookmarkEnd w:id="528"/>
      <w:bookmarkEnd w:id="529"/>
      <w:bookmarkEnd w:id="530"/>
      <w:r w:rsidRPr="00FC5566">
        <w:rPr>
          <w:kern w:val="2"/>
        </w:rPr>
        <w:t xml:space="preserve">Recreational alligator hunting opportunities may be distributed annually into eight zones statewide as described below. Tag allotment and distribution shall be determined by the department each season. </w:t>
      </w:r>
    </w:p>
    <w:p w14:paraId="08794818"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w:t>
      </w:r>
      <w:r w:rsidRPr="00FC5566">
        <w:rPr>
          <w:kern w:val="2"/>
        </w:rPr>
        <w:tab/>
        <w:t>Recreational Alligator Harvest Zone A—Eligible properties located within DeSoto, Caddo, Bossier, Red River, Bienville, Webster, and Claiborne parishes for which access has been granted for the recreational harvesting of alligators. This management zone includes the following properties where LDWF is authorized to manage alligator hunting opportunities: Loggy Bayou WMA, Soda Lake WMA, Bayou Pierre WMA, and John Franks WMA. Some of these properties may be subject to specific area restrictions. Properties with existing alligator harvest programs that are already issued commercial harvest tags are excluded.</w:t>
      </w:r>
    </w:p>
    <w:p w14:paraId="2FCF77A4"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ii.</w:t>
      </w:r>
      <w:r w:rsidRPr="00FC5566">
        <w:rPr>
          <w:kern w:val="2"/>
        </w:rPr>
        <w:tab/>
        <w:t>Recreational Alligator Harvest Zone B—Eligible properties located within Union, Lincoln, Jackson, Caldwell, Ouachita, Morehouse, Richland, Franklin, Tensas, Madison, East Carroll, and West Carroll parishes for which access has been granted for the recreational harvesting of alligators. This management zone includes the following properties where LDWF is authorized to manage alligator hunting opportunities: Big Colewa Bayou WMA (Bearskin Unit) and Bayou Macon WMA. Some of these properties may be subject to specific area restrictions. Properties with existing alligator harvest programs that are already issued commercial harvest tags are excluded.</w:t>
      </w:r>
    </w:p>
    <w:p w14:paraId="452DADE3"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iii.</w:t>
      </w:r>
      <w:r w:rsidRPr="00FC5566">
        <w:rPr>
          <w:kern w:val="2"/>
        </w:rPr>
        <w:tab/>
        <w:t>Recreational Alligator Harvest Zone C—Eligible properties located within Sabine, Vernon, Natchitoches, Winn, Grant, Rapides, Avoyelles, Concordia, LaSalle, and Catahoula parishes for which access has been granted for the recreational harvesting of alligators. This management zone includes the following properties where LDWF is authorized to manage alligator hunting opportunities: Sabine WMA, Pomme de Terre WMA, Little River WMA, J.C. “Sonny” Gilbert WMA, Elbow Slough WMA, Clear Creek WMA, Walnut Hill WMA, Alexander State Forest WMA, and portion of Acadiana Conservation Corridor in Avoyelles and Rapides parishes. Some of these properties may be subject to specific area restrictions. Properties with existing alligator harvest programs that are already issued commercial harvest tags are excluded.</w:t>
      </w:r>
    </w:p>
    <w:p w14:paraId="0474B91B"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iv.</w:t>
      </w:r>
      <w:r w:rsidRPr="00FC5566">
        <w:rPr>
          <w:kern w:val="2"/>
        </w:rPr>
        <w:tab/>
        <w:t xml:space="preserve">Recreational Alligator Harvest Zone D—Eligible properties located within St. Landry, Lafayette, Iberia, Pointe Coupee, West Baton Rouge, Iberville, and Upper St. Martin parishes for which access has been granted for the recreational harvesting of alligators. This management zone includes the following properties where LDWF is authorized to manage alligator hunting opportunities: Thistlethwaite WMA and portion of Acadiana Conservation Corridor in St. Landry Parish. Some of these properties may </w:t>
      </w:r>
      <w:r w:rsidRPr="00FC5566">
        <w:rPr>
          <w:kern w:val="2"/>
        </w:rPr>
        <w:lastRenderedPageBreak/>
        <w:t>be subject to specific area restrictions. Properties with existing alligator harvest programs that are already issued commercial harvest tags are excluded.</w:t>
      </w:r>
    </w:p>
    <w:p w14:paraId="0CEDF9E8"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v.</w:t>
      </w:r>
      <w:r w:rsidRPr="00FC5566">
        <w:rPr>
          <w:kern w:val="2"/>
        </w:rPr>
        <w:tab/>
        <w:t>Recreational Alligator Harvest Zone E—Eligible properties located within Beauregard, Calcasieu, Cameron, Allen, Jefferson Davis, Vermilion, Evangeline, and Acadia parishes for which access has been granted for the recreational harvesting of alligators. This management zone includes the following properties where LDWF is authorized to manage alligator hunting opportunities: portion of Acadiana Conservation Corridor in Evangeline Parish, Flatwoods Savannah WMA, West Bay WMA, and Marsh Bayou WMA. Some of these properties may be subject to specific area restrictions. Properties with existing alligator harvest programs that are already issued commercial harvest tags are excluded.</w:t>
      </w:r>
    </w:p>
    <w:p w14:paraId="2098FC7F"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vi.</w:t>
      </w:r>
      <w:r w:rsidRPr="00FC5566">
        <w:rPr>
          <w:kern w:val="2"/>
        </w:rPr>
        <w:tab/>
        <w:t>Recreational Alligator Harvest Zone F—Eligible properties located within St. Mary, Lower St. Martin, Assumption, St. James, Lafourche, and Terrebonne parishes for which access has been granted for the recreational harvesting of alligators. Properties with existing alligator harvest programs that are already issued commercial harvest tags are excluded.</w:t>
      </w:r>
    </w:p>
    <w:p w14:paraId="281B44FE"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vii.</w:t>
      </w:r>
      <w:r w:rsidRPr="00FC5566">
        <w:rPr>
          <w:kern w:val="2"/>
        </w:rPr>
        <w:tab/>
        <w:t>Recreational Alligator Harvest Zone G—Eligible properties located within West Feliciana, East Feliciana, St. Helena, Tangipahoa, Washington, East Baton Rouge, Livingston, and Ascension parishes for which access has been granted for the recreational harvesting of alligators. This management zone includes the following properties where LDWF is authorized to manage alligator hunting opportunities: Tunica Hills WMA and Bogue Chitto WMA. Some of these properties may be subject to specific area restrictions. Properties with existing alligator harvest programs that are already issued commercial harvest tags are excluded.</w:t>
      </w:r>
    </w:p>
    <w:p w14:paraId="3932883C"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br w:type="column"/>
      </w:r>
      <w:r w:rsidRPr="00FC5566">
        <w:rPr>
          <w:kern w:val="2"/>
        </w:rPr>
        <w:tab/>
        <w:t>viii.</w:t>
      </w:r>
      <w:r w:rsidRPr="00FC5566">
        <w:rPr>
          <w:kern w:val="2"/>
        </w:rPr>
        <w:tab/>
        <w:t>Recreational Alligator Harvest Zone H—Eligible properties located within St. Tammany, St. Bernard, Plaquemines, Jefferson, Orleans, St. Charles, and St. John the Baptist parishes for which access has been granted for the recreational harvesting of alligators. Properties with existing alligator harvest programs that are already issued commercial harvest tags are excluded.</w:t>
      </w:r>
    </w:p>
    <w:p w14:paraId="62A135F8" w14:textId="77777777" w:rsidR="00FC5566" w:rsidRPr="00FC5566" w:rsidRDefault="00FC5566" w:rsidP="00FC5566">
      <w:pPr>
        <w:tabs>
          <w:tab w:val="left" w:pos="907"/>
        </w:tabs>
        <w:ind w:firstLine="547"/>
        <w:jc w:val="both"/>
        <w:outlineLvl w:val="5"/>
        <w:rPr>
          <w:kern w:val="2"/>
        </w:rPr>
      </w:pPr>
      <w:r w:rsidRPr="00FC5566">
        <w:rPr>
          <w:kern w:val="2"/>
        </w:rPr>
        <w:t>b.</w:t>
      </w:r>
      <w:r w:rsidRPr="00FC5566">
        <w:rPr>
          <w:kern w:val="2"/>
        </w:rPr>
        <w:tab/>
        <w:t>Recreational Alligator Harvest Zone Season Dates:</w:t>
      </w:r>
    </w:p>
    <w:p w14:paraId="5DA05291"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w:t>
      </w:r>
      <w:r w:rsidRPr="00FC5566">
        <w:rPr>
          <w:kern w:val="2"/>
        </w:rPr>
        <w:tab/>
        <w:t xml:space="preserve">Recreational Alligator Harvest for all Zones—October 1 through October 31. </w:t>
      </w:r>
    </w:p>
    <w:p w14:paraId="6A8C7EF5"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8.</w:t>
      </w:r>
      <w:r w:rsidRPr="00FC5566">
        <w:rPr>
          <w:kern w:val="2"/>
        </w:rPr>
        <w:tab/>
        <w:t>Tagging and Reporting Requirements</w:t>
      </w:r>
    </w:p>
    <w:p w14:paraId="2AEF67A1" w14:textId="77777777" w:rsidR="00FC5566" w:rsidRPr="00FC5566" w:rsidRDefault="00FC5566" w:rsidP="00FC5566">
      <w:pPr>
        <w:tabs>
          <w:tab w:val="left" w:pos="907"/>
        </w:tabs>
        <w:ind w:firstLine="547"/>
        <w:jc w:val="both"/>
        <w:outlineLvl w:val="5"/>
        <w:rPr>
          <w:kern w:val="2"/>
        </w:rPr>
      </w:pPr>
      <w:r w:rsidRPr="00FC5566">
        <w:rPr>
          <w:bCs/>
          <w:kern w:val="2"/>
        </w:rPr>
        <w:t>a.</w:t>
      </w:r>
      <w:r w:rsidRPr="00FC5566">
        <w:rPr>
          <w:bCs/>
          <w:kern w:val="2"/>
        </w:rPr>
        <w:tab/>
      </w:r>
      <w:r w:rsidRPr="00FC5566">
        <w:rPr>
          <w:kern w:val="2"/>
        </w:rPr>
        <w:t>A recreational hide tag shall be properly attached and locked using the tag’s locking device in the alligator’s tail immediately upon harvest. In the event that a recreational hide tag contains a factory defect rendering it unusable for the purpose intended, the hunter shall notify the department.</w:t>
      </w:r>
    </w:p>
    <w:p w14:paraId="3D67512C" w14:textId="77777777" w:rsidR="00FC5566" w:rsidRPr="00FC5566" w:rsidRDefault="00FC5566" w:rsidP="00FC5566">
      <w:pPr>
        <w:tabs>
          <w:tab w:val="left" w:pos="907"/>
        </w:tabs>
        <w:ind w:firstLine="547"/>
        <w:jc w:val="both"/>
        <w:outlineLvl w:val="5"/>
        <w:rPr>
          <w:kern w:val="2"/>
        </w:rPr>
      </w:pPr>
      <w:r w:rsidRPr="00FC5566">
        <w:rPr>
          <w:kern w:val="2"/>
        </w:rPr>
        <w:t>b.</w:t>
      </w:r>
      <w:r w:rsidRPr="00FC5566">
        <w:rPr>
          <w:kern w:val="2"/>
        </w:rPr>
        <w:tab/>
        <w:t>Within 72 hours the hunter shall validate the harvest. The hunter shall report the recreational hide tag number, length of alligator, date of the harvest, and parish of harvest.</w:t>
      </w:r>
    </w:p>
    <w:p w14:paraId="3FA1DBFA" w14:textId="77777777" w:rsidR="00FC5566" w:rsidRPr="00FC5566" w:rsidRDefault="00FC5566" w:rsidP="00FC5566">
      <w:pPr>
        <w:tabs>
          <w:tab w:val="left" w:pos="907"/>
        </w:tabs>
        <w:ind w:firstLine="547"/>
        <w:jc w:val="both"/>
        <w:outlineLvl w:val="5"/>
        <w:rPr>
          <w:kern w:val="2"/>
        </w:rPr>
      </w:pPr>
      <w:r w:rsidRPr="00FC5566">
        <w:rPr>
          <w:kern w:val="2"/>
        </w:rPr>
        <w:t>c.</w:t>
      </w:r>
      <w:r w:rsidRPr="00FC5566">
        <w:rPr>
          <w:kern w:val="2"/>
        </w:rPr>
        <w:tab/>
        <w:t>Hunters may validate recreationally harvested alligators by utilizing the department web portal or department web portal via LA Wallet or by calling the validation toll free number, 225-267-9998 or using the validation website: www.louisianaOutdoors.com.</w:t>
      </w:r>
    </w:p>
    <w:p w14:paraId="3F80DB3D" w14:textId="77777777" w:rsidR="00FC5566" w:rsidRPr="00FC5566" w:rsidRDefault="00FC5566" w:rsidP="00FC5566">
      <w:pPr>
        <w:tabs>
          <w:tab w:val="left" w:pos="907"/>
        </w:tabs>
        <w:ind w:firstLine="547"/>
        <w:jc w:val="both"/>
        <w:outlineLvl w:val="5"/>
        <w:rPr>
          <w:kern w:val="2"/>
        </w:rPr>
      </w:pPr>
      <w:r w:rsidRPr="00FC5566">
        <w:rPr>
          <w:kern w:val="2"/>
        </w:rPr>
        <w:t>d.</w:t>
      </w:r>
      <w:r w:rsidRPr="00FC5566">
        <w:rPr>
          <w:kern w:val="2"/>
        </w:rPr>
        <w:tab/>
        <w:t>Hunters that fail to validate their harvested alligators will be prohibited from future participation in the recreational alligator hunting lottery.</w:t>
      </w:r>
    </w:p>
    <w:p w14:paraId="4D678FB2"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56:256, R.S. 56:261, R.S. 56:268 and R.S. 56:3002.</w:t>
      </w:r>
    </w:p>
    <w:p w14:paraId="19008605"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Wildlife and Fisheries, Wildlife and Fisheries Commission, LR 52:1393 (August 2026).</w:t>
      </w:r>
    </w:p>
    <w:p w14:paraId="442225F0"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p w14:paraId="6D1643E6" w14:textId="77777777" w:rsidR="00FC5566" w:rsidRPr="00FC5566" w:rsidRDefault="00FC5566" w:rsidP="00FC5566">
      <w:pPr>
        <w:keepNext/>
        <w:ind w:left="2160"/>
        <w:jc w:val="both"/>
      </w:pPr>
      <w:r w:rsidRPr="00FC5566">
        <w:t>Tyler M. Bosworth</w:t>
      </w:r>
    </w:p>
    <w:p w14:paraId="0A37B4FC" w14:textId="77777777" w:rsidR="00FC5566" w:rsidRPr="00FC5566" w:rsidRDefault="00FC5566" w:rsidP="00FC5566">
      <w:pPr>
        <w:keepNext/>
        <w:ind w:left="2160"/>
        <w:jc w:val="both"/>
      </w:pPr>
      <w:r w:rsidRPr="00FC5566">
        <w:t>Secretary</w:t>
      </w:r>
    </w:p>
    <w:p w14:paraId="1626E6B7" w14:textId="77777777" w:rsidR="00FC5566" w:rsidRPr="00FC5566" w:rsidRDefault="00FC5566" w:rsidP="00FC5566">
      <w:pPr>
        <w:rPr>
          <w:noProof/>
          <w:sz w:val="16"/>
        </w:rPr>
      </w:pPr>
      <w:r w:rsidRPr="00FC5566">
        <w:rPr>
          <w:noProof/>
          <w:sz w:val="16"/>
        </w:rPr>
        <w:t>2608#031</w:t>
      </w:r>
    </w:p>
    <w:p w14:paraId="6D6DB2AD" w14:textId="77777777" w:rsidR="00FC5566" w:rsidRPr="00FC5566" w:rsidRDefault="00FC5566" w:rsidP="00FC5566"/>
    <w:p w14:paraId="246C7988" w14:textId="77777777" w:rsidR="00FC5566" w:rsidRPr="00FC5566" w:rsidRDefault="00FC5566" w:rsidP="00FC5566">
      <w:pPr>
        <w:sectPr w:rsidR="00FC5566" w:rsidRPr="00FC5566" w:rsidSect="00FC5566">
          <w:type w:val="continuous"/>
          <w:pgSz w:w="12240" w:h="15840" w:code="1"/>
          <w:pgMar w:top="720" w:right="864" w:bottom="317" w:left="864" w:header="576" w:footer="432" w:gutter="0"/>
          <w:cols w:num="2" w:space="720"/>
        </w:sectPr>
      </w:pPr>
    </w:p>
    <w:p w14:paraId="707F126C" w14:textId="77777777" w:rsidR="00FC5566" w:rsidRPr="00FC5566" w:rsidRDefault="00FC5566" w:rsidP="00FC5566"/>
    <w:p w14:paraId="484B1D5D" w14:textId="77777777" w:rsidR="00FC5566" w:rsidRDefault="00FC5566">
      <w:pPr>
        <w:sectPr w:rsidR="00FC5566" w:rsidSect="00FC5566">
          <w:type w:val="continuous"/>
          <w:pgSz w:w="12240" w:h="15840" w:code="1"/>
          <w:pgMar w:top="720" w:right="864" w:bottom="317" w:left="864" w:header="576" w:footer="432" w:gutter="0"/>
          <w:cols w:num="2" w:space="720"/>
        </w:sectPr>
      </w:pPr>
    </w:p>
    <w:p w14:paraId="0C8DF19F" w14:textId="77777777" w:rsidR="00FC5566" w:rsidRPr="00FC5566" w:rsidRDefault="00FC5566" w:rsidP="00FC5566">
      <w:pPr>
        <w:jc w:val="center"/>
        <w:rPr>
          <w:rFonts w:ascii="Arial" w:hAnsi="Arial"/>
          <w:b/>
          <w:noProof/>
          <w:sz w:val="48"/>
        </w:rPr>
      </w:pPr>
      <w:r w:rsidRPr="00FC5566">
        <w:rPr>
          <w:rFonts w:ascii="Arial" w:hAnsi="Arial"/>
          <w:b/>
          <w:noProof/>
          <w:sz w:val="48"/>
        </w:rPr>
        <w:lastRenderedPageBreak/>
        <w:t>Notices of Intent</w:t>
      </w:r>
    </w:p>
    <w:p w14:paraId="3C7B2506" w14:textId="77777777" w:rsidR="00FC5566" w:rsidRPr="00FC5566" w:rsidRDefault="00FC5566" w:rsidP="00FC5566"/>
    <w:p w14:paraId="5B481CDD" w14:textId="77777777" w:rsidR="00FC5566" w:rsidRPr="00FC5566" w:rsidRDefault="00FC5566" w:rsidP="00FC5566"/>
    <w:p w14:paraId="78882146" w14:textId="77777777" w:rsidR="00FC5566" w:rsidRPr="00FC5566" w:rsidRDefault="00FC5566" w:rsidP="00FC5566">
      <w:pPr>
        <w:sectPr w:rsidR="00FC5566" w:rsidRPr="00FC5566" w:rsidSect="00FC5566">
          <w:footerReference w:type="even" r:id="rId15"/>
          <w:footerReference w:type="default" r:id="rId16"/>
          <w:pgSz w:w="12240" w:h="15840"/>
          <w:pgMar w:top="720" w:right="864" w:bottom="864" w:left="864" w:header="576" w:footer="432" w:gutter="0"/>
          <w:pgNumType w:start="1397"/>
          <w:cols w:space="720"/>
          <w:docGrid w:linePitch="272"/>
        </w:sectPr>
      </w:pPr>
    </w:p>
    <w:p w14:paraId="19717637" w14:textId="77777777" w:rsidR="00FC5566" w:rsidRPr="00FC5566" w:rsidRDefault="00FC5566" w:rsidP="00FC5566">
      <w:pPr>
        <w:keepNext/>
        <w:tabs>
          <w:tab w:val="left" w:pos="-1440"/>
        </w:tabs>
        <w:spacing w:after="120"/>
        <w:jc w:val="center"/>
        <w:rPr>
          <w:b/>
          <w:noProof/>
        </w:rPr>
      </w:pPr>
      <w:r w:rsidRPr="00FC5566">
        <w:rPr>
          <w:b/>
          <w:noProof/>
        </w:rPr>
        <w:t>NOTICE OF INTENT</w:t>
      </w:r>
    </w:p>
    <w:p w14:paraId="30D0D228" w14:textId="77777777" w:rsidR="00FC5566" w:rsidRPr="00FC5566" w:rsidRDefault="00FC5566" w:rsidP="00FC5566">
      <w:pPr>
        <w:keepNext/>
        <w:jc w:val="center"/>
        <w:rPr>
          <w:b/>
          <w:noProof/>
        </w:rPr>
      </w:pPr>
      <w:r w:rsidRPr="00FC5566">
        <w:rPr>
          <w:b/>
          <w:noProof/>
        </w:rPr>
        <w:t>Department of Agriculture and Forestry</w:t>
      </w:r>
    </w:p>
    <w:p w14:paraId="561B0885" w14:textId="77777777" w:rsidR="00FC5566" w:rsidRPr="00FC5566" w:rsidRDefault="00FC5566" w:rsidP="00FC5566">
      <w:pPr>
        <w:keepNext/>
        <w:jc w:val="center"/>
        <w:rPr>
          <w:b/>
          <w:noProof/>
        </w:rPr>
      </w:pPr>
      <w:r w:rsidRPr="00FC5566">
        <w:rPr>
          <w:b/>
          <w:noProof/>
        </w:rPr>
        <w:t>Office of Agricultural and Environmental Sciences</w:t>
      </w:r>
    </w:p>
    <w:p w14:paraId="6622B4CD" w14:textId="77777777" w:rsidR="00FC5566" w:rsidRPr="00FC5566" w:rsidRDefault="00FC5566" w:rsidP="00FC5566">
      <w:pPr>
        <w:keepNext/>
        <w:jc w:val="center"/>
        <w:rPr>
          <w:b/>
          <w:noProof/>
        </w:rPr>
      </w:pPr>
      <w:r w:rsidRPr="00FC5566">
        <w:rPr>
          <w:b/>
          <w:noProof/>
        </w:rPr>
        <w:t>Agricultural Chemistry and Seed Commission</w:t>
      </w:r>
    </w:p>
    <w:p w14:paraId="5C7EF82F" w14:textId="77777777" w:rsidR="00FC5566" w:rsidRPr="00FC5566" w:rsidRDefault="00FC5566" w:rsidP="00FC5566">
      <w:pPr>
        <w:keepNext/>
        <w:spacing w:before="240" w:after="240"/>
        <w:jc w:val="center"/>
        <w:rPr>
          <w:noProof/>
        </w:rPr>
      </w:pPr>
      <w:r w:rsidRPr="00FC5566">
        <w:rPr>
          <w:noProof/>
        </w:rPr>
        <w:t xml:space="preserve">Removal of Sampling for the </w:t>
      </w:r>
      <w:r w:rsidRPr="00FC5566">
        <w:rPr>
          <w:noProof/>
        </w:rPr>
        <w:br/>
        <w:t>Yellow Leaf Virus in the Field (LAC 7:XIII.763)</w:t>
      </w:r>
    </w:p>
    <w:p w14:paraId="0E04098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The Department of Agriculture and Forestry, Office of Agricultural and Environmental Sciences, Agricultural Chemistry and Seed Commission, proposes to amend LAC 7:XIII.763. The proposed Rule is promulgated in accordance with the provisions of the Administrative Procedure Act, R.S. 49:950 et. seq. The proposed Rule change is made in accordance with R.S. 3:1433, which gives the Agricultural Chemistry and Seed Commission the authority to adopt rules and regulations. This proposed Rule is written in plain language in an effort to increase transparency.</w:t>
      </w:r>
    </w:p>
    <w:p w14:paraId="4BED58F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The proposed Rule removes the requirement of testing seedcane grown in fields for sugarcane yellow leaf virus. The proposed Rule removes language that the second inspection to be conducted in June by LDAF inspectors will include the collection of leaf samples for the detection of Sugarcane Yellow Leaf Virus. The proposed Rule also removes the language that individual fields shall be sampled by LDAF inspectors for the detection of Sugarcane Yellow Leaf Virus and the sampling requirements. The proposed Rule removes language that tissue samples shall be submitted to the LSU Ag Center Sugarcane Disease Detection Lab for analysis. The proposed Rule removes language that LDAF shall have the right to re-inspect, re-sample, and re-test fields that are out of tolerance for Sugarcane Yellow Leaf Virus prior to certification. The proposed Rule clarifies Field Standards by removing Sugarcane Yellow Leaf Virus standards, along with removing the factor determined by lab analysis for the LSU Sugarcane Disease Detection Lab.</w:t>
      </w:r>
    </w:p>
    <w:p w14:paraId="6B7A603B" w14:textId="77777777" w:rsidR="00FC5566" w:rsidRPr="00FC5566" w:rsidRDefault="00FC5566" w:rsidP="00FC5566">
      <w:pPr>
        <w:keepNext/>
        <w:jc w:val="center"/>
        <w:rPr>
          <w:b/>
          <w:kern w:val="28"/>
        </w:rPr>
      </w:pPr>
      <w:r w:rsidRPr="00FC5566">
        <w:rPr>
          <w:b/>
          <w:kern w:val="28"/>
        </w:rPr>
        <w:t>Title 7</w:t>
      </w:r>
    </w:p>
    <w:p w14:paraId="50CA9E3C" w14:textId="77777777" w:rsidR="00FC5566" w:rsidRPr="00FC5566" w:rsidRDefault="00FC5566" w:rsidP="00FC5566">
      <w:pPr>
        <w:keepNext/>
        <w:jc w:val="center"/>
        <w:rPr>
          <w:b/>
          <w:kern w:val="28"/>
        </w:rPr>
      </w:pPr>
      <w:r w:rsidRPr="00FC5566">
        <w:rPr>
          <w:b/>
          <w:kern w:val="28"/>
        </w:rPr>
        <w:t>AGRICULTURE AND ANIMALS</w:t>
      </w:r>
    </w:p>
    <w:p w14:paraId="082545BB" w14:textId="77777777" w:rsidR="00FC5566" w:rsidRPr="00FC5566" w:rsidRDefault="00FC5566" w:rsidP="00FC5566">
      <w:pPr>
        <w:keepNext/>
        <w:jc w:val="center"/>
        <w:rPr>
          <w:b/>
          <w:noProof/>
        </w:rPr>
      </w:pPr>
      <w:r w:rsidRPr="00FC5566">
        <w:rPr>
          <w:b/>
          <w:noProof/>
        </w:rPr>
        <w:t>Part XIII.  Seeds</w:t>
      </w:r>
    </w:p>
    <w:p w14:paraId="18F0D9EC"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17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Chapter 7.</w:t>
      </w:r>
      <w:r w:rsidRPr="00FC5566">
        <w:rPr>
          <w:b/>
          <w:kern w:val="2"/>
        </w:rPr>
        <w:tab/>
        <w:t>Certification of Specific Crops/Varieties</w:t>
      </w:r>
    </w:p>
    <w:p w14:paraId="6AE4F50B"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Subchapter B.</w:t>
      </w:r>
      <w:r w:rsidRPr="00FC5566">
        <w:rPr>
          <w:b/>
          <w:kern w:val="2"/>
        </w:rPr>
        <w:tab/>
        <w:t>Grain and Row Crop Seeds</w:t>
      </w:r>
    </w:p>
    <w:p w14:paraId="6C999DAE"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§763.</w:t>
      </w:r>
      <w:r w:rsidRPr="00FC5566">
        <w:rPr>
          <w:b/>
          <w:kern w:val="2"/>
        </w:rPr>
        <w:tab/>
        <w:t>Sugarcane (Tissue Culture) Certification Standards</w:t>
      </w:r>
    </w:p>
    <w:p w14:paraId="5C43119F" w14:textId="77777777" w:rsidR="00FC5566" w:rsidRPr="00FC5566" w:rsidRDefault="00FC5566" w:rsidP="00FC5566">
      <w:pPr>
        <w:tabs>
          <w:tab w:val="left" w:pos="144"/>
          <w:tab w:val="left" w:pos="187"/>
          <w:tab w:val="left" w:pos="540"/>
          <w:tab w:val="left" w:pos="990"/>
          <w:tab w:val="left" w:pos="1080"/>
        </w:tabs>
        <w:ind w:firstLine="187"/>
        <w:jc w:val="both"/>
        <w:outlineLvl w:val="3"/>
        <w:rPr>
          <w:kern w:val="2"/>
        </w:rPr>
      </w:pPr>
      <w:r w:rsidRPr="00FC5566">
        <w:rPr>
          <w:kern w:val="2"/>
        </w:rPr>
        <w:t>A. - C.1.</w:t>
      </w:r>
      <w:r w:rsidRPr="00FC5566">
        <w:rPr>
          <w:kern w:val="2"/>
        </w:rPr>
        <w:tab/>
        <w:t>…</w:t>
      </w:r>
    </w:p>
    <w:p w14:paraId="1407F2E1"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 - 5.</w:t>
      </w:r>
      <w:r w:rsidRPr="00FC5566">
        <w:rPr>
          <w:kern w:val="2"/>
        </w:rPr>
        <w:tab/>
        <w:t>Repealed</w:t>
      </w:r>
    </w:p>
    <w:p w14:paraId="0FFD6DB8"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D.</w:t>
      </w:r>
      <w:r w:rsidRPr="00FC5566">
        <w:rPr>
          <w:kern w:val="2"/>
        </w:rPr>
        <w:tab/>
        <w:t>…</w:t>
      </w:r>
    </w:p>
    <w:p w14:paraId="0866E65E"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E.</w:t>
      </w:r>
      <w:r w:rsidRPr="00FC5566">
        <w:rPr>
          <w:kern w:val="2"/>
        </w:rPr>
        <w:tab/>
        <w:t>Field Standards</w:t>
      </w:r>
    </w:p>
    <w:p w14:paraId="6EA0524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tbl>
      <w:tblPr>
        <w:tblW w:w="4977" w:type="dxa"/>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1774"/>
        <w:gridCol w:w="967"/>
        <w:gridCol w:w="1066"/>
        <w:gridCol w:w="1170"/>
      </w:tblGrid>
      <w:tr w:rsidR="00FC5566" w:rsidRPr="00FC5566" w14:paraId="25DC15B8" w14:textId="77777777" w:rsidTr="00B247D5">
        <w:trPr>
          <w:cantSplit/>
          <w:trHeight w:hRule="exact" w:val="288"/>
          <w:tblHeader/>
          <w:jc w:val="center"/>
        </w:trPr>
        <w:tc>
          <w:tcPr>
            <w:tcW w:w="1774" w:type="dxa"/>
            <w:shd w:val="clear" w:color="BFBFBF" w:fill="BFBFBF"/>
            <w:vAlign w:val="bottom"/>
          </w:tcPr>
          <w:p w14:paraId="17824FFB" w14:textId="77777777" w:rsidR="00FC5566" w:rsidRPr="00FC5566" w:rsidRDefault="00FC5566" w:rsidP="00FC5566">
            <w:pPr>
              <w:keepNext/>
              <w:tabs>
                <w:tab w:val="left" w:pos="641"/>
              </w:tabs>
              <w:ind w:right="1023"/>
              <w:jc w:val="center"/>
              <w:textAlignment w:val="baseline"/>
              <w:rPr>
                <w:b/>
                <w:bCs/>
                <w:sz w:val="16"/>
                <w:szCs w:val="16"/>
              </w:rPr>
            </w:pPr>
            <w:r w:rsidRPr="00FC5566">
              <w:rPr>
                <w:b/>
                <w:bCs/>
                <w:sz w:val="16"/>
                <w:szCs w:val="16"/>
              </w:rPr>
              <w:t>Factor</w:t>
            </w:r>
          </w:p>
        </w:tc>
        <w:tc>
          <w:tcPr>
            <w:tcW w:w="967" w:type="dxa"/>
            <w:shd w:val="clear" w:color="BFBFBF" w:fill="BFBFBF"/>
            <w:vAlign w:val="bottom"/>
          </w:tcPr>
          <w:p w14:paraId="7D431B55" w14:textId="77777777" w:rsidR="00FC5566" w:rsidRPr="00FC5566" w:rsidRDefault="00FC5566" w:rsidP="00FC5566">
            <w:pPr>
              <w:keepNext/>
              <w:jc w:val="center"/>
              <w:textAlignment w:val="baseline"/>
              <w:rPr>
                <w:b/>
                <w:bCs/>
                <w:sz w:val="16"/>
                <w:szCs w:val="16"/>
              </w:rPr>
            </w:pPr>
            <w:r w:rsidRPr="00FC5566">
              <w:rPr>
                <w:b/>
                <w:bCs/>
                <w:sz w:val="16"/>
                <w:szCs w:val="16"/>
              </w:rPr>
              <w:t>Foundation</w:t>
            </w:r>
          </w:p>
        </w:tc>
        <w:tc>
          <w:tcPr>
            <w:tcW w:w="1066" w:type="dxa"/>
            <w:shd w:val="clear" w:color="BFBFBF" w:fill="BFBFBF"/>
            <w:vAlign w:val="bottom"/>
          </w:tcPr>
          <w:p w14:paraId="127C9334" w14:textId="77777777" w:rsidR="00FC5566" w:rsidRPr="00FC5566" w:rsidRDefault="00FC5566" w:rsidP="00FC5566">
            <w:pPr>
              <w:keepNext/>
              <w:jc w:val="center"/>
              <w:textAlignment w:val="baseline"/>
              <w:rPr>
                <w:b/>
                <w:bCs/>
                <w:sz w:val="16"/>
                <w:szCs w:val="16"/>
              </w:rPr>
            </w:pPr>
            <w:r w:rsidRPr="00FC5566">
              <w:rPr>
                <w:b/>
                <w:bCs/>
                <w:sz w:val="16"/>
                <w:szCs w:val="16"/>
              </w:rPr>
              <w:t>Registered</w:t>
            </w:r>
          </w:p>
        </w:tc>
        <w:tc>
          <w:tcPr>
            <w:tcW w:w="1170" w:type="dxa"/>
            <w:shd w:val="clear" w:color="BFBFBF" w:fill="BFBFBF"/>
            <w:vAlign w:val="bottom"/>
          </w:tcPr>
          <w:p w14:paraId="5027E72A" w14:textId="77777777" w:rsidR="00FC5566" w:rsidRPr="00FC5566" w:rsidRDefault="00FC5566" w:rsidP="00FC5566">
            <w:pPr>
              <w:keepNext/>
              <w:jc w:val="center"/>
              <w:textAlignment w:val="baseline"/>
              <w:rPr>
                <w:b/>
                <w:bCs/>
                <w:sz w:val="16"/>
                <w:szCs w:val="16"/>
              </w:rPr>
            </w:pPr>
            <w:r w:rsidRPr="00FC5566">
              <w:rPr>
                <w:b/>
                <w:bCs/>
                <w:sz w:val="16"/>
                <w:szCs w:val="16"/>
              </w:rPr>
              <w:t>Certified</w:t>
            </w:r>
          </w:p>
        </w:tc>
      </w:tr>
      <w:tr w:rsidR="00FC5566" w:rsidRPr="00FC5566" w14:paraId="05DCD223" w14:textId="77777777" w:rsidTr="00B247D5">
        <w:trPr>
          <w:cantSplit/>
          <w:trHeight w:hRule="exact" w:val="197"/>
          <w:jc w:val="center"/>
        </w:trPr>
        <w:tc>
          <w:tcPr>
            <w:tcW w:w="1774" w:type="dxa"/>
            <w:vAlign w:val="center"/>
          </w:tcPr>
          <w:p w14:paraId="0739F70F" w14:textId="77777777" w:rsidR="00FC5566" w:rsidRPr="00FC5566" w:rsidRDefault="00FC5566" w:rsidP="00FC5566">
            <w:pPr>
              <w:keepNext/>
              <w:ind w:left="57"/>
              <w:textAlignment w:val="baseline"/>
              <w:rPr>
                <w:sz w:val="16"/>
                <w:szCs w:val="16"/>
              </w:rPr>
            </w:pPr>
            <w:r w:rsidRPr="00FC5566">
              <w:rPr>
                <w:sz w:val="16"/>
                <w:szCs w:val="16"/>
              </w:rPr>
              <w:t>Isolation</w:t>
            </w:r>
          </w:p>
        </w:tc>
        <w:tc>
          <w:tcPr>
            <w:tcW w:w="967" w:type="dxa"/>
            <w:vAlign w:val="center"/>
          </w:tcPr>
          <w:p w14:paraId="55C7AB4D" w14:textId="77777777" w:rsidR="00FC5566" w:rsidRPr="00FC5566" w:rsidRDefault="00FC5566" w:rsidP="00FC5566">
            <w:pPr>
              <w:keepNext/>
              <w:jc w:val="center"/>
              <w:textAlignment w:val="baseline"/>
              <w:rPr>
                <w:sz w:val="16"/>
                <w:szCs w:val="16"/>
              </w:rPr>
            </w:pPr>
            <w:r w:rsidRPr="00FC5566">
              <w:rPr>
                <w:sz w:val="16"/>
                <w:szCs w:val="16"/>
              </w:rPr>
              <w:t>10 ft.</w:t>
            </w:r>
          </w:p>
        </w:tc>
        <w:tc>
          <w:tcPr>
            <w:tcW w:w="1066" w:type="dxa"/>
            <w:vAlign w:val="center"/>
          </w:tcPr>
          <w:p w14:paraId="6803934B" w14:textId="77777777" w:rsidR="00FC5566" w:rsidRPr="00FC5566" w:rsidRDefault="00FC5566" w:rsidP="00FC5566">
            <w:pPr>
              <w:keepNext/>
              <w:jc w:val="center"/>
              <w:textAlignment w:val="baseline"/>
              <w:rPr>
                <w:sz w:val="16"/>
                <w:szCs w:val="16"/>
              </w:rPr>
            </w:pPr>
            <w:r w:rsidRPr="00FC5566">
              <w:rPr>
                <w:sz w:val="16"/>
                <w:szCs w:val="16"/>
              </w:rPr>
              <w:t>10 ft.</w:t>
            </w:r>
          </w:p>
        </w:tc>
        <w:tc>
          <w:tcPr>
            <w:tcW w:w="1170" w:type="dxa"/>
            <w:vAlign w:val="center"/>
          </w:tcPr>
          <w:p w14:paraId="6C369AC8" w14:textId="77777777" w:rsidR="00FC5566" w:rsidRPr="00FC5566" w:rsidRDefault="00FC5566" w:rsidP="00FC5566">
            <w:pPr>
              <w:keepNext/>
              <w:jc w:val="center"/>
              <w:textAlignment w:val="baseline"/>
              <w:rPr>
                <w:sz w:val="16"/>
                <w:szCs w:val="16"/>
              </w:rPr>
            </w:pPr>
            <w:r w:rsidRPr="00FC5566">
              <w:rPr>
                <w:sz w:val="16"/>
                <w:szCs w:val="16"/>
              </w:rPr>
              <w:t>10 ft.</w:t>
            </w:r>
          </w:p>
        </w:tc>
      </w:tr>
      <w:tr w:rsidR="00FC5566" w:rsidRPr="00FC5566" w14:paraId="37B18AEC" w14:textId="77777777" w:rsidTr="00B247D5">
        <w:trPr>
          <w:cantSplit/>
          <w:trHeight w:hRule="exact" w:val="201"/>
          <w:jc w:val="center"/>
        </w:trPr>
        <w:tc>
          <w:tcPr>
            <w:tcW w:w="1774" w:type="dxa"/>
            <w:vAlign w:val="center"/>
          </w:tcPr>
          <w:p w14:paraId="0376365A" w14:textId="77777777" w:rsidR="00FC5566" w:rsidRPr="00FC5566" w:rsidRDefault="00FC5566" w:rsidP="00FC5566">
            <w:pPr>
              <w:keepNext/>
              <w:ind w:left="57"/>
              <w:textAlignment w:val="baseline"/>
              <w:rPr>
                <w:sz w:val="16"/>
                <w:szCs w:val="16"/>
              </w:rPr>
            </w:pPr>
            <w:r w:rsidRPr="00FC5566">
              <w:rPr>
                <w:sz w:val="16"/>
                <w:szCs w:val="16"/>
              </w:rPr>
              <w:t>Other Varieties (obvious)</w:t>
            </w:r>
          </w:p>
        </w:tc>
        <w:tc>
          <w:tcPr>
            <w:tcW w:w="967" w:type="dxa"/>
            <w:vAlign w:val="center"/>
          </w:tcPr>
          <w:p w14:paraId="690FBF8F" w14:textId="77777777" w:rsidR="00FC5566" w:rsidRPr="00FC5566" w:rsidRDefault="00FC5566" w:rsidP="00FC5566">
            <w:pPr>
              <w:keepNext/>
              <w:jc w:val="center"/>
              <w:textAlignment w:val="baseline"/>
              <w:rPr>
                <w:sz w:val="16"/>
                <w:szCs w:val="16"/>
              </w:rPr>
            </w:pPr>
            <w:r w:rsidRPr="00FC5566">
              <w:rPr>
                <w:sz w:val="16"/>
                <w:szCs w:val="16"/>
              </w:rPr>
              <w:t>None</w:t>
            </w:r>
          </w:p>
        </w:tc>
        <w:tc>
          <w:tcPr>
            <w:tcW w:w="1066" w:type="dxa"/>
            <w:vAlign w:val="center"/>
          </w:tcPr>
          <w:p w14:paraId="1C34B8E1" w14:textId="77777777" w:rsidR="00FC5566" w:rsidRPr="00FC5566" w:rsidRDefault="00FC5566" w:rsidP="00FC5566">
            <w:pPr>
              <w:keepNext/>
              <w:jc w:val="center"/>
              <w:textAlignment w:val="baseline"/>
              <w:rPr>
                <w:sz w:val="16"/>
                <w:szCs w:val="16"/>
              </w:rPr>
            </w:pPr>
            <w:r w:rsidRPr="00FC5566">
              <w:rPr>
                <w:sz w:val="16"/>
                <w:szCs w:val="16"/>
              </w:rPr>
              <w:t>1.00%</w:t>
            </w:r>
          </w:p>
        </w:tc>
        <w:tc>
          <w:tcPr>
            <w:tcW w:w="1170" w:type="dxa"/>
            <w:vAlign w:val="center"/>
          </w:tcPr>
          <w:p w14:paraId="2DA540BE" w14:textId="77777777" w:rsidR="00FC5566" w:rsidRPr="00FC5566" w:rsidRDefault="00FC5566" w:rsidP="00FC5566">
            <w:pPr>
              <w:keepNext/>
              <w:jc w:val="center"/>
              <w:textAlignment w:val="baseline"/>
              <w:rPr>
                <w:sz w:val="16"/>
                <w:szCs w:val="16"/>
              </w:rPr>
            </w:pPr>
            <w:r w:rsidRPr="00FC5566">
              <w:rPr>
                <w:sz w:val="16"/>
                <w:szCs w:val="16"/>
              </w:rPr>
              <w:t>1.00%</w:t>
            </w:r>
          </w:p>
        </w:tc>
      </w:tr>
      <w:tr w:rsidR="00FC5566" w:rsidRPr="00FC5566" w14:paraId="49798385" w14:textId="77777777" w:rsidTr="00B247D5">
        <w:trPr>
          <w:cantSplit/>
          <w:trHeight w:hRule="exact" w:val="197"/>
          <w:jc w:val="center"/>
        </w:trPr>
        <w:tc>
          <w:tcPr>
            <w:tcW w:w="1774" w:type="dxa"/>
            <w:vAlign w:val="center"/>
          </w:tcPr>
          <w:p w14:paraId="312B47AB" w14:textId="77777777" w:rsidR="00FC5566" w:rsidRPr="00FC5566" w:rsidRDefault="00FC5566" w:rsidP="00FC5566">
            <w:pPr>
              <w:keepNext/>
              <w:ind w:left="57"/>
              <w:textAlignment w:val="baseline"/>
              <w:rPr>
                <w:sz w:val="16"/>
                <w:szCs w:val="16"/>
              </w:rPr>
            </w:pPr>
            <w:r w:rsidRPr="00FC5566">
              <w:rPr>
                <w:sz w:val="16"/>
                <w:szCs w:val="16"/>
              </w:rPr>
              <w:t>Off-Type (definite)</w:t>
            </w:r>
          </w:p>
        </w:tc>
        <w:tc>
          <w:tcPr>
            <w:tcW w:w="967" w:type="dxa"/>
            <w:vAlign w:val="center"/>
          </w:tcPr>
          <w:p w14:paraId="64692CFB" w14:textId="77777777" w:rsidR="00FC5566" w:rsidRPr="00FC5566" w:rsidRDefault="00FC5566" w:rsidP="00FC5566">
            <w:pPr>
              <w:keepNext/>
              <w:jc w:val="center"/>
              <w:textAlignment w:val="baseline"/>
              <w:rPr>
                <w:sz w:val="16"/>
                <w:szCs w:val="16"/>
              </w:rPr>
            </w:pPr>
            <w:r w:rsidRPr="00FC5566">
              <w:rPr>
                <w:sz w:val="16"/>
                <w:szCs w:val="16"/>
              </w:rPr>
              <w:t>None</w:t>
            </w:r>
          </w:p>
        </w:tc>
        <w:tc>
          <w:tcPr>
            <w:tcW w:w="1066" w:type="dxa"/>
            <w:vAlign w:val="center"/>
          </w:tcPr>
          <w:p w14:paraId="31EF8C6D" w14:textId="77777777" w:rsidR="00FC5566" w:rsidRPr="00FC5566" w:rsidRDefault="00FC5566" w:rsidP="00FC5566">
            <w:pPr>
              <w:keepNext/>
              <w:jc w:val="center"/>
              <w:textAlignment w:val="baseline"/>
              <w:rPr>
                <w:sz w:val="16"/>
                <w:szCs w:val="16"/>
              </w:rPr>
            </w:pPr>
            <w:r w:rsidRPr="00FC5566">
              <w:rPr>
                <w:sz w:val="16"/>
                <w:szCs w:val="16"/>
              </w:rPr>
              <w:t>1.00%</w:t>
            </w:r>
          </w:p>
        </w:tc>
        <w:tc>
          <w:tcPr>
            <w:tcW w:w="1170" w:type="dxa"/>
            <w:vAlign w:val="center"/>
          </w:tcPr>
          <w:p w14:paraId="4DEAF302" w14:textId="77777777" w:rsidR="00FC5566" w:rsidRPr="00FC5566" w:rsidRDefault="00FC5566" w:rsidP="00FC5566">
            <w:pPr>
              <w:keepNext/>
              <w:jc w:val="center"/>
              <w:textAlignment w:val="baseline"/>
              <w:rPr>
                <w:sz w:val="16"/>
                <w:szCs w:val="16"/>
              </w:rPr>
            </w:pPr>
            <w:r w:rsidRPr="00FC5566">
              <w:rPr>
                <w:sz w:val="16"/>
                <w:szCs w:val="16"/>
              </w:rPr>
              <w:t>1.00%</w:t>
            </w:r>
          </w:p>
        </w:tc>
      </w:tr>
      <w:tr w:rsidR="00FC5566" w:rsidRPr="00FC5566" w14:paraId="76D5D2AF" w14:textId="77777777" w:rsidTr="00B247D5">
        <w:trPr>
          <w:cantSplit/>
          <w:trHeight w:hRule="exact" w:val="202"/>
          <w:jc w:val="center"/>
        </w:trPr>
        <w:tc>
          <w:tcPr>
            <w:tcW w:w="4977" w:type="dxa"/>
            <w:gridSpan w:val="4"/>
            <w:vAlign w:val="center"/>
          </w:tcPr>
          <w:p w14:paraId="55B75F74" w14:textId="77777777" w:rsidR="00FC5566" w:rsidRPr="00FC5566" w:rsidRDefault="00FC5566" w:rsidP="00FC5566">
            <w:pPr>
              <w:keepNext/>
              <w:ind w:left="57"/>
              <w:textAlignment w:val="baseline"/>
              <w:rPr>
                <w:sz w:val="16"/>
                <w:szCs w:val="16"/>
              </w:rPr>
            </w:pPr>
            <w:r w:rsidRPr="00FC5566">
              <w:rPr>
                <w:sz w:val="16"/>
                <w:szCs w:val="16"/>
              </w:rPr>
              <w:t>Noxious Weeds:</w:t>
            </w:r>
          </w:p>
        </w:tc>
      </w:tr>
      <w:tr w:rsidR="00FC5566" w:rsidRPr="00FC5566" w14:paraId="477323F9" w14:textId="77777777" w:rsidTr="00B247D5">
        <w:trPr>
          <w:cantSplit/>
          <w:trHeight w:hRule="exact" w:val="196"/>
          <w:jc w:val="center"/>
        </w:trPr>
        <w:tc>
          <w:tcPr>
            <w:tcW w:w="1774" w:type="dxa"/>
            <w:vAlign w:val="center"/>
          </w:tcPr>
          <w:p w14:paraId="040072D9" w14:textId="77777777" w:rsidR="00FC5566" w:rsidRPr="00FC5566" w:rsidRDefault="00FC5566" w:rsidP="00FC5566">
            <w:pPr>
              <w:keepNext/>
              <w:ind w:left="57"/>
              <w:textAlignment w:val="baseline"/>
              <w:rPr>
                <w:sz w:val="16"/>
                <w:szCs w:val="16"/>
              </w:rPr>
            </w:pPr>
            <w:r w:rsidRPr="00FC5566">
              <w:rPr>
                <w:sz w:val="16"/>
                <w:szCs w:val="16"/>
              </w:rPr>
              <w:t>Johnsongrass</w:t>
            </w:r>
          </w:p>
        </w:tc>
        <w:tc>
          <w:tcPr>
            <w:tcW w:w="967" w:type="dxa"/>
            <w:vAlign w:val="center"/>
          </w:tcPr>
          <w:p w14:paraId="20429845" w14:textId="77777777" w:rsidR="00FC5566" w:rsidRPr="00FC5566" w:rsidRDefault="00FC5566" w:rsidP="00FC5566">
            <w:pPr>
              <w:keepNext/>
              <w:jc w:val="center"/>
              <w:textAlignment w:val="baseline"/>
              <w:rPr>
                <w:sz w:val="16"/>
                <w:szCs w:val="16"/>
              </w:rPr>
            </w:pPr>
            <w:r w:rsidRPr="00FC5566">
              <w:rPr>
                <w:sz w:val="16"/>
                <w:szCs w:val="16"/>
              </w:rPr>
              <w:t>None</w:t>
            </w:r>
          </w:p>
        </w:tc>
        <w:tc>
          <w:tcPr>
            <w:tcW w:w="1066" w:type="dxa"/>
            <w:vAlign w:val="center"/>
          </w:tcPr>
          <w:p w14:paraId="35D853B4" w14:textId="77777777" w:rsidR="00FC5566" w:rsidRPr="00FC5566" w:rsidRDefault="00FC5566" w:rsidP="00FC5566">
            <w:pPr>
              <w:keepNext/>
              <w:jc w:val="center"/>
              <w:textAlignment w:val="baseline"/>
              <w:rPr>
                <w:sz w:val="16"/>
                <w:szCs w:val="16"/>
              </w:rPr>
            </w:pPr>
            <w:r w:rsidRPr="00FC5566">
              <w:rPr>
                <w:sz w:val="16"/>
                <w:szCs w:val="16"/>
              </w:rPr>
              <w:t>5 Plants/Acre</w:t>
            </w:r>
          </w:p>
        </w:tc>
        <w:tc>
          <w:tcPr>
            <w:tcW w:w="1170" w:type="dxa"/>
            <w:vAlign w:val="center"/>
          </w:tcPr>
          <w:p w14:paraId="470FE28D" w14:textId="77777777" w:rsidR="00FC5566" w:rsidRPr="00FC5566" w:rsidRDefault="00FC5566" w:rsidP="00FC5566">
            <w:pPr>
              <w:keepNext/>
              <w:jc w:val="center"/>
              <w:textAlignment w:val="baseline"/>
              <w:rPr>
                <w:sz w:val="16"/>
                <w:szCs w:val="16"/>
              </w:rPr>
            </w:pPr>
            <w:r w:rsidRPr="00FC5566">
              <w:rPr>
                <w:sz w:val="16"/>
                <w:szCs w:val="16"/>
              </w:rPr>
              <w:t>5 Plants/ Acre</w:t>
            </w:r>
          </w:p>
        </w:tc>
      </w:tr>
      <w:tr w:rsidR="00FC5566" w:rsidRPr="00FC5566" w14:paraId="2EBC3733" w14:textId="77777777" w:rsidTr="00B247D5">
        <w:trPr>
          <w:cantSplit/>
          <w:trHeight w:hRule="exact" w:val="202"/>
          <w:jc w:val="center"/>
        </w:trPr>
        <w:tc>
          <w:tcPr>
            <w:tcW w:w="1774" w:type="dxa"/>
            <w:vAlign w:val="center"/>
          </w:tcPr>
          <w:p w14:paraId="2737DEC0" w14:textId="77777777" w:rsidR="00FC5566" w:rsidRPr="00FC5566" w:rsidRDefault="00FC5566" w:rsidP="00FC5566">
            <w:pPr>
              <w:keepNext/>
              <w:ind w:left="57"/>
              <w:textAlignment w:val="baseline"/>
              <w:rPr>
                <w:sz w:val="16"/>
                <w:szCs w:val="16"/>
              </w:rPr>
            </w:pPr>
            <w:r w:rsidRPr="00FC5566">
              <w:rPr>
                <w:sz w:val="16"/>
                <w:szCs w:val="16"/>
              </w:rPr>
              <w:t>Itchgrass</w:t>
            </w:r>
          </w:p>
        </w:tc>
        <w:tc>
          <w:tcPr>
            <w:tcW w:w="967" w:type="dxa"/>
            <w:vAlign w:val="center"/>
          </w:tcPr>
          <w:p w14:paraId="256936AE" w14:textId="77777777" w:rsidR="00FC5566" w:rsidRPr="00FC5566" w:rsidRDefault="00FC5566" w:rsidP="00FC5566">
            <w:pPr>
              <w:keepNext/>
              <w:jc w:val="center"/>
              <w:textAlignment w:val="baseline"/>
              <w:rPr>
                <w:sz w:val="16"/>
                <w:szCs w:val="16"/>
              </w:rPr>
            </w:pPr>
            <w:r w:rsidRPr="00FC5566">
              <w:rPr>
                <w:sz w:val="16"/>
                <w:szCs w:val="16"/>
              </w:rPr>
              <w:t>None</w:t>
            </w:r>
          </w:p>
        </w:tc>
        <w:tc>
          <w:tcPr>
            <w:tcW w:w="1066" w:type="dxa"/>
            <w:vAlign w:val="center"/>
          </w:tcPr>
          <w:p w14:paraId="50637D43" w14:textId="77777777" w:rsidR="00FC5566" w:rsidRPr="00FC5566" w:rsidRDefault="00FC5566" w:rsidP="00FC5566">
            <w:pPr>
              <w:keepNext/>
              <w:jc w:val="center"/>
              <w:textAlignment w:val="baseline"/>
              <w:rPr>
                <w:sz w:val="16"/>
                <w:szCs w:val="16"/>
              </w:rPr>
            </w:pPr>
            <w:r w:rsidRPr="00FC5566">
              <w:rPr>
                <w:sz w:val="16"/>
                <w:szCs w:val="16"/>
              </w:rPr>
              <w:t>1 Plant/Acre</w:t>
            </w:r>
          </w:p>
        </w:tc>
        <w:tc>
          <w:tcPr>
            <w:tcW w:w="1170" w:type="dxa"/>
            <w:vAlign w:val="center"/>
          </w:tcPr>
          <w:p w14:paraId="13C95B32" w14:textId="77777777" w:rsidR="00FC5566" w:rsidRPr="00FC5566" w:rsidRDefault="00FC5566" w:rsidP="00FC5566">
            <w:pPr>
              <w:keepNext/>
              <w:jc w:val="center"/>
              <w:textAlignment w:val="baseline"/>
              <w:rPr>
                <w:sz w:val="16"/>
                <w:szCs w:val="16"/>
              </w:rPr>
            </w:pPr>
            <w:r w:rsidRPr="00FC5566">
              <w:rPr>
                <w:sz w:val="16"/>
                <w:szCs w:val="16"/>
              </w:rPr>
              <w:t>1 Plant/ Acre</w:t>
            </w:r>
          </w:p>
        </w:tc>
      </w:tr>
      <w:tr w:rsidR="00FC5566" w:rsidRPr="00FC5566" w14:paraId="523F4E9F" w14:textId="77777777" w:rsidTr="00B247D5">
        <w:trPr>
          <w:cantSplit/>
          <w:trHeight w:hRule="exact" w:val="197"/>
          <w:jc w:val="center"/>
        </w:trPr>
        <w:tc>
          <w:tcPr>
            <w:tcW w:w="1774" w:type="dxa"/>
            <w:vAlign w:val="center"/>
          </w:tcPr>
          <w:p w14:paraId="059E758D" w14:textId="77777777" w:rsidR="00FC5566" w:rsidRPr="00FC5566" w:rsidRDefault="00FC5566" w:rsidP="00FC5566">
            <w:pPr>
              <w:keepNext/>
              <w:ind w:left="57"/>
              <w:textAlignment w:val="baseline"/>
              <w:rPr>
                <w:sz w:val="16"/>
                <w:szCs w:val="16"/>
              </w:rPr>
            </w:pPr>
            <w:r w:rsidRPr="00FC5566">
              <w:rPr>
                <w:sz w:val="16"/>
                <w:szCs w:val="16"/>
              </w:rPr>
              <w:t>Black Nightshade</w:t>
            </w:r>
          </w:p>
        </w:tc>
        <w:tc>
          <w:tcPr>
            <w:tcW w:w="967" w:type="dxa"/>
            <w:vAlign w:val="center"/>
          </w:tcPr>
          <w:p w14:paraId="2B10436B" w14:textId="77777777" w:rsidR="00FC5566" w:rsidRPr="00FC5566" w:rsidRDefault="00FC5566" w:rsidP="00FC5566">
            <w:pPr>
              <w:keepNext/>
              <w:jc w:val="center"/>
              <w:textAlignment w:val="baseline"/>
              <w:rPr>
                <w:sz w:val="16"/>
                <w:szCs w:val="16"/>
              </w:rPr>
            </w:pPr>
            <w:r w:rsidRPr="00FC5566">
              <w:rPr>
                <w:sz w:val="16"/>
                <w:szCs w:val="16"/>
              </w:rPr>
              <w:t>None</w:t>
            </w:r>
          </w:p>
        </w:tc>
        <w:tc>
          <w:tcPr>
            <w:tcW w:w="1066" w:type="dxa"/>
            <w:vAlign w:val="center"/>
          </w:tcPr>
          <w:p w14:paraId="29F72542" w14:textId="77777777" w:rsidR="00FC5566" w:rsidRPr="00FC5566" w:rsidRDefault="00FC5566" w:rsidP="00FC5566">
            <w:pPr>
              <w:keepNext/>
              <w:jc w:val="center"/>
              <w:textAlignment w:val="baseline"/>
              <w:rPr>
                <w:sz w:val="16"/>
                <w:szCs w:val="16"/>
              </w:rPr>
            </w:pPr>
            <w:r w:rsidRPr="00FC5566">
              <w:rPr>
                <w:sz w:val="16"/>
                <w:szCs w:val="16"/>
              </w:rPr>
              <w:t>3 Plants/Acre</w:t>
            </w:r>
          </w:p>
        </w:tc>
        <w:tc>
          <w:tcPr>
            <w:tcW w:w="1170" w:type="dxa"/>
            <w:vAlign w:val="center"/>
          </w:tcPr>
          <w:p w14:paraId="095D1019" w14:textId="77777777" w:rsidR="00FC5566" w:rsidRPr="00FC5566" w:rsidRDefault="00FC5566" w:rsidP="00FC5566">
            <w:pPr>
              <w:keepNext/>
              <w:jc w:val="center"/>
              <w:textAlignment w:val="baseline"/>
              <w:rPr>
                <w:sz w:val="16"/>
                <w:szCs w:val="16"/>
              </w:rPr>
            </w:pPr>
            <w:r w:rsidRPr="00FC5566">
              <w:rPr>
                <w:sz w:val="16"/>
                <w:szCs w:val="16"/>
              </w:rPr>
              <w:t>3 Plants/Acre</w:t>
            </w:r>
          </w:p>
        </w:tc>
      </w:tr>
      <w:tr w:rsidR="00FC5566" w:rsidRPr="00FC5566" w14:paraId="6B9CFA8C" w14:textId="77777777" w:rsidTr="00B247D5">
        <w:trPr>
          <w:cantSplit/>
          <w:trHeight w:hRule="exact" w:val="201"/>
          <w:jc w:val="center"/>
        </w:trPr>
        <w:tc>
          <w:tcPr>
            <w:tcW w:w="4977" w:type="dxa"/>
            <w:gridSpan w:val="4"/>
            <w:vAlign w:val="center"/>
          </w:tcPr>
          <w:p w14:paraId="61B804CC" w14:textId="77777777" w:rsidR="00FC5566" w:rsidRPr="00FC5566" w:rsidRDefault="00FC5566" w:rsidP="00FC5566">
            <w:pPr>
              <w:keepNext/>
              <w:ind w:left="57"/>
              <w:textAlignment w:val="baseline"/>
              <w:rPr>
                <w:sz w:val="16"/>
                <w:szCs w:val="16"/>
              </w:rPr>
            </w:pPr>
            <w:r w:rsidRPr="00FC5566">
              <w:rPr>
                <w:sz w:val="16"/>
                <w:szCs w:val="16"/>
              </w:rPr>
              <w:t>Harmful Diseases:</w:t>
            </w:r>
          </w:p>
        </w:tc>
      </w:tr>
      <w:tr w:rsidR="00FC5566" w:rsidRPr="00FC5566" w14:paraId="077ABC22" w14:textId="77777777" w:rsidTr="00B247D5">
        <w:trPr>
          <w:cantSplit/>
          <w:trHeight w:hRule="exact" w:val="302"/>
          <w:jc w:val="center"/>
        </w:trPr>
        <w:tc>
          <w:tcPr>
            <w:tcW w:w="1774" w:type="dxa"/>
            <w:vAlign w:val="center"/>
          </w:tcPr>
          <w:p w14:paraId="0044B10B" w14:textId="77777777" w:rsidR="00FC5566" w:rsidRPr="00FC5566" w:rsidRDefault="00FC5566" w:rsidP="00FC5566">
            <w:pPr>
              <w:keepNext/>
              <w:ind w:left="57"/>
              <w:textAlignment w:val="baseline"/>
              <w:rPr>
                <w:sz w:val="16"/>
                <w:szCs w:val="16"/>
              </w:rPr>
            </w:pPr>
            <w:r w:rsidRPr="00FC5566">
              <w:rPr>
                <w:sz w:val="16"/>
                <w:szCs w:val="16"/>
              </w:rPr>
              <w:t>**Sugarcane Mosaic</w:t>
            </w:r>
          </w:p>
        </w:tc>
        <w:tc>
          <w:tcPr>
            <w:tcW w:w="967" w:type="dxa"/>
            <w:vAlign w:val="center"/>
          </w:tcPr>
          <w:p w14:paraId="6648A0ED" w14:textId="77777777" w:rsidR="00FC5566" w:rsidRPr="00FC5566" w:rsidRDefault="00FC5566" w:rsidP="00FC5566">
            <w:pPr>
              <w:keepNext/>
              <w:jc w:val="center"/>
              <w:textAlignment w:val="baseline"/>
              <w:rPr>
                <w:sz w:val="16"/>
                <w:szCs w:val="16"/>
              </w:rPr>
            </w:pPr>
            <w:r w:rsidRPr="00FC5566">
              <w:rPr>
                <w:sz w:val="16"/>
                <w:szCs w:val="16"/>
              </w:rPr>
              <w:t>None</w:t>
            </w:r>
          </w:p>
        </w:tc>
        <w:tc>
          <w:tcPr>
            <w:tcW w:w="1066" w:type="dxa"/>
            <w:vAlign w:val="center"/>
          </w:tcPr>
          <w:p w14:paraId="0B528B34" w14:textId="77777777" w:rsidR="00FC5566" w:rsidRPr="00FC5566" w:rsidRDefault="00FC5566" w:rsidP="00FC5566">
            <w:pPr>
              <w:keepNext/>
              <w:jc w:val="center"/>
              <w:textAlignment w:val="baseline"/>
              <w:rPr>
                <w:sz w:val="16"/>
                <w:szCs w:val="16"/>
              </w:rPr>
            </w:pPr>
            <w:r w:rsidRPr="00FC5566">
              <w:rPr>
                <w:sz w:val="16"/>
                <w:szCs w:val="16"/>
              </w:rPr>
              <w:t>10.00%</w:t>
            </w:r>
          </w:p>
        </w:tc>
        <w:tc>
          <w:tcPr>
            <w:tcW w:w="1170" w:type="dxa"/>
            <w:vAlign w:val="center"/>
          </w:tcPr>
          <w:p w14:paraId="78B3095A" w14:textId="77777777" w:rsidR="00FC5566" w:rsidRPr="00FC5566" w:rsidRDefault="00FC5566" w:rsidP="00FC5566">
            <w:pPr>
              <w:keepNext/>
              <w:jc w:val="center"/>
              <w:textAlignment w:val="baseline"/>
              <w:rPr>
                <w:sz w:val="16"/>
                <w:szCs w:val="16"/>
              </w:rPr>
            </w:pPr>
            <w:r w:rsidRPr="00FC5566">
              <w:rPr>
                <w:sz w:val="16"/>
                <w:szCs w:val="16"/>
              </w:rPr>
              <w:t>10.00%</w:t>
            </w:r>
          </w:p>
        </w:tc>
      </w:tr>
      <w:tr w:rsidR="00FC5566" w:rsidRPr="00FC5566" w14:paraId="6739EDE0" w14:textId="77777777" w:rsidTr="00B247D5">
        <w:trPr>
          <w:cantSplit/>
          <w:trHeight w:hRule="exact" w:val="288"/>
          <w:jc w:val="center"/>
        </w:trPr>
        <w:tc>
          <w:tcPr>
            <w:tcW w:w="1774" w:type="dxa"/>
            <w:vAlign w:val="center"/>
          </w:tcPr>
          <w:p w14:paraId="0A901057" w14:textId="77777777" w:rsidR="00FC5566" w:rsidRPr="00FC5566" w:rsidRDefault="00FC5566" w:rsidP="00FC5566">
            <w:pPr>
              <w:keepNext/>
              <w:ind w:left="57"/>
              <w:textAlignment w:val="baseline"/>
              <w:rPr>
                <w:sz w:val="16"/>
                <w:szCs w:val="16"/>
              </w:rPr>
            </w:pPr>
            <w:r w:rsidRPr="00FC5566">
              <w:rPr>
                <w:sz w:val="16"/>
                <w:szCs w:val="16"/>
              </w:rPr>
              <w:t>**Sugarcane Smut</w:t>
            </w:r>
          </w:p>
        </w:tc>
        <w:tc>
          <w:tcPr>
            <w:tcW w:w="967" w:type="dxa"/>
            <w:vAlign w:val="center"/>
          </w:tcPr>
          <w:p w14:paraId="53CF7E9F" w14:textId="77777777" w:rsidR="00FC5566" w:rsidRPr="00FC5566" w:rsidRDefault="00FC5566" w:rsidP="00FC5566">
            <w:pPr>
              <w:keepNext/>
              <w:jc w:val="center"/>
              <w:textAlignment w:val="baseline"/>
              <w:rPr>
                <w:sz w:val="16"/>
                <w:szCs w:val="16"/>
              </w:rPr>
            </w:pPr>
            <w:r w:rsidRPr="00FC5566">
              <w:rPr>
                <w:sz w:val="16"/>
                <w:szCs w:val="16"/>
              </w:rPr>
              <w:t>None</w:t>
            </w:r>
          </w:p>
        </w:tc>
        <w:tc>
          <w:tcPr>
            <w:tcW w:w="1066" w:type="dxa"/>
            <w:vAlign w:val="center"/>
          </w:tcPr>
          <w:p w14:paraId="5A396942" w14:textId="77777777" w:rsidR="00FC5566" w:rsidRPr="00FC5566" w:rsidRDefault="00FC5566" w:rsidP="00FC5566">
            <w:pPr>
              <w:keepNext/>
              <w:jc w:val="center"/>
              <w:textAlignment w:val="baseline"/>
              <w:rPr>
                <w:sz w:val="16"/>
                <w:szCs w:val="16"/>
              </w:rPr>
            </w:pPr>
            <w:r w:rsidRPr="00FC5566">
              <w:rPr>
                <w:sz w:val="16"/>
                <w:szCs w:val="16"/>
              </w:rPr>
              <w:t>0.50%</w:t>
            </w:r>
          </w:p>
        </w:tc>
        <w:tc>
          <w:tcPr>
            <w:tcW w:w="1170" w:type="dxa"/>
            <w:vAlign w:val="center"/>
          </w:tcPr>
          <w:p w14:paraId="6787FE76" w14:textId="77777777" w:rsidR="00FC5566" w:rsidRPr="00FC5566" w:rsidRDefault="00FC5566" w:rsidP="00FC5566">
            <w:pPr>
              <w:keepNext/>
              <w:jc w:val="center"/>
              <w:textAlignment w:val="baseline"/>
              <w:rPr>
                <w:sz w:val="16"/>
                <w:szCs w:val="16"/>
              </w:rPr>
            </w:pPr>
            <w:r w:rsidRPr="00FC5566">
              <w:rPr>
                <w:sz w:val="16"/>
                <w:szCs w:val="16"/>
              </w:rPr>
              <w:t>0.50%</w:t>
            </w:r>
          </w:p>
        </w:tc>
      </w:tr>
      <w:tr w:rsidR="00FC5566" w:rsidRPr="00FC5566" w14:paraId="7EB3C805" w14:textId="77777777" w:rsidTr="00B247D5">
        <w:trPr>
          <w:cantSplit/>
          <w:trHeight w:hRule="exact" w:val="602"/>
          <w:jc w:val="center"/>
        </w:trPr>
        <w:tc>
          <w:tcPr>
            <w:tcW w:w="1774" w:type="dxa"/>
          </w:tcPr>
          <w:p w14:paraId="346791A1" w14:textId="77777777" w:rsidR="00FC5566" w:rsidRPr="00FC5566" w:rsidRDefault="00FC5566" w:rsidP="00FC5566">
            <w:pPr>
              <w:keepNext/>
              <w:ind w:left="72"/>
              <w:textAlignment w:val="baseline"/>
              <w:rPr>
                <w:sz w:val="16"/>
                <w:szCs w:val="16"/>
              </w:rPr>
            </w:pPr>
            <w:r w:rsidRPr="00FC5566">
              <w:rPr>
                <w:sz w:val="16"/>
                <w:szCs w:val="16"/>
              </w:rPr>
              <w:t>Harmful Insects:</w:t>
            </w:r>
          </w:p>
          <w:p w14:paraId="044A8C82" w14:textId="77777777" w:rsidR="00FC5566" w:rsidRPr="00FC5566" w:rsidRDefault="00FC5566" w:rsidP="00FC5566">
            <w:pPr>
              <w:keepNext/>
              <w:ind w:left="72"/>
              <w:textAlignment w:val="baseline"/>
              <w:rPr>
                <w:sz w:val="16"/>
                <w:szCs w:val="16"/>
              </w:rPr>
            </w:pPr>
            <w:r w:rsidRPr="00FC5566">
              <w:rPr>
                <w:sz w:val="16"/>
                <w:szCs w:val="16"/>
              </w:rPr>
              <w:t>***Sugarcane Stem Borers</w:t>
            </w:r>
          </w:p>
        </w:tc>
        <w:tc>
          <w:tcPr>
            <w:tcW w:w="967" w:type="dxa"/>
          </w:tcPr>
          <w:p w14:paraId="3AFD017D" w14:textId="77777777" w:rsidR="00FC5566" w:rsidRPr="00FC5566" w:rsidRDefault="00FC5566" w:rsidP="00FC5566">
            <w:pPr>
              <w:keepNext/>
              <w:jc w:val="center"/>
              <w:textAlignment w:val="baseline"/>
              <w:rPr>
                <w:sz w:val="16"/>
                <w:szCs w:val="16"/>
              </w:rPr>
            </w:pPr>
            <w:r w:rsidRPr="00FC5566">
              <w:rPr>
                <w:sz w:val="16"/>
                <w:szCs w:val="16"/>
              </w:rPr>
              <w:t xml:space="preserve">None </w:t>
            </w:r>
            <w:r w:rsidRPr="00FC5566">
              <w:rPr>
                <w:sz w:val="16"/>
                <w:szCs w:val="16"/>
              </w:rPr>
              <w:br/>
              <w:t>None</w:t>
            </w:r>
          </w:p>
        </w:tc>
        <w:tc>
          <w:tcPr>
            <w:tcW w:w="1066" w:type="dxa"/>
          </w:tcPr>
          <w:p w14:paraId="172EDCF9" w14:textId="77777777" w:rsidR="00FC5566" w:rsidRPr="00FC5566" w:rsidRDefault="00FC5566" w:rsidP="00FC5566">
            <w:pPr>
              <w:keepNext/>
              <w:jc w:val="center"/>
              <w:textAlignment w:val="baseline"/>
              <w:rPr>
                <w:sz w:val="16"/>
                <w:szCs w:val="16"/>
              </w:rPr>
            </w:pPr>
            <w:r w:rsidRPr="00FC5566">
              <w:rPr>
                <w:sz w:val="16"/>
                <w:szCs w:val="16"/>
              </w:rPr>
              <w:t>None</w:t>
            </w:r>
          </w:p>
          <w:p w14:paraId="7BDFF7A6" w14:textId="77777777" w:rsidR="00FC5566" w:rsidRPr="00FC5566" w:rsidRDefault="00FC5566" w:rsidP="00FC5566">
            <w:pPr>
              <w:keepNext/>
              <w:jc w:val="center"/>
              <w:textAlignment w:val="baseline"/>
              <w:rPr>
                <w:sz w:val="16"/>
                <w:szCs w:val="16"/>
              </w:rPr>
            </w:pPr>
            <w:r w:rsidRPr="00FC5566">
              <w:rPr>
                <w:sz w:val="16"/>
                <w:szCs w:val="16"/>
              </w:rPr>
              <w:t>5.00%</w:t>
            </w:r>
          </w:p>
        </w:tc>
        <w:tc>
          <w:tcPr>
            <w:tcW w:w="1170" w:type="dxa"/>
          </w:tcPr>
          <w:p w14:paraId="5A2C882D" w14:textId="77777777" w:rsidR="00FC5566" w:rsidRPr="00FC5566" w:rsidRDefault="00FC5566" w:rsidP="00FC5566">
            <w:pPr>
              <w:keepNext/>
              <w:jc w:val="center"/>
              <w:textAlignment w:val="baseline"/>
              <w:rPr>
                <w:sz w:val="16"/>
                <w:szCs w:val="16"/>
              </w:rPr>
            </w:pPr>
            <w:r w:rsidRPr="00FC5566">
              <w:rPr>
                <w:sz w:val="16"/>
                <w:szCs w:val="16"/>
              </w:rPr>
              <w:t>None</w:t>
            </w:r>
          </w:p>
          <w:p w14:paraId="7970FD56" w14:textId="77777777" w:rsidR="00FC5566" w:rsidRPr="00FC5566" w:rsidRDefault="00FC5566" w:rsidP="00FC5566">
            <w:pPr>
              <w:keepNext/>
              <w:jc w:val="center"/>
              <w:textAlignment w:val="baseline"/>
              <w:rPr>
                <w:sz w:val="16"/>
                <w:szCs w:val="16"/>
              </w:rPr>
            </w:pPr>
            <w:r w:rsidRPr="00FC5566">
              <w:rPr>
                <w:sz w:val="16"/>
                <w:szCs w:val="16"/>
              </w:rPr>
              <w:t>5.00%</w:t>
            </w:r>
          </w:p>
        </w:tc>
      </w:tr>
      <w:tr w:rsidR="00FC5566" w:rsidRPr="00FC5566" w14:paraId="67C3D4E8" w14:textId="77777777" w:rsidTr="00B247D5">
        <w:trPr>
          <w:cantSplit/>
          <w:trHeight w:hRule="exact" w:val="288"/>
          <w:jc w:val="center"/>
        </w:trPr>
        <w:tc>
          <w:tcPr>
            <w:tcW w:w="4977" w:type="dxa"/>
            <w:gridSpan w:val="4"/>
            <w:vAlign w:val="center"/>
          </w:tcPr>
          <w:p w14:paraId="520D6AB7" w14:textId="77777777" w:rsidR="00FC5566" w:rsidRPr="00FC5566" w:rsidRDefault="00FC5566" w:rsidP="00FC5566">
            <w:pPr>
              <w:keepNext/>
              <w:ind w:left="72"/>
              <w:textAlignment w:val="baseline"/>
              <w:rPr>
                <w:sz w:val="16"/>
                <w:szCs w:val="16"/>
              </w:rPr>
            </w:pPr>
            <w:r w:rsidRPr="00FC5566">
              <w:rPr>
                <w:sz w:val="16"/>
                <w:szCs w:val="16"/>
              </w:rPr>
              <w:t>**Plants exhibiting symptoms</w:t>
            </w:r>
          </w:p>
        </w:tc>
      </w:tr>
      <w:tr w:rsidR="00FC5566" w:rsidRPr="00FC5566" w14:paraId="46D4DCE3" w14:textId="77777777" w:rsidTr="00B247D5">
        <w:trPr>
          <w:cantSplit/>
          <w:trHeight w:hRule="exact" w:val="288"/>
          <w:jc w:val="center"/>
        </w:trPr>
        <w:tc>
          <w:tcPr>
            <w:tcW w:w="4977" w:type="dxa"/>
            <w:gridSpan w:val="4"/>
            <w:vAlign w:val="center"/>
          </w:tcPr>
          <w:p w14:paraId="5ECBADBC" w14:textId="77777777" w:rsidR="00FC5566" w:rsidRPr="00FC5566" w:rsidRDefault="00FC5566" w:rsidP="00FC5566">
            <w:pPr>
              <w:ind w:left="72"/>
              <w:textAlignment w:val="baseline"/>
              <w:rPr>
                <w:sz w:val="16"/>
                <w:szCs w:val="16"/>
              </w:rPr>
            </w:pPr>
            <w:r w:rsidRPr="00FC5566">
              <w:rPr>
                <w:sz w:val="16"/>
                <w:szCs w:val="16"/>
              </w:rPr>
              <w:t>***Determined by percentage of internodes bored</w:t>
            </w:r>
          </w:p>
        </w:tc>
      </w:tr>
    </w:tbl>
    <w:p w14:paraId="6F2AD74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p w14:paraId="59912DA2"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F. - G.2.c.</w:t>
      </w:r>
      <w:r w:rsidRPr="00FC5566">
        <w:rPr>
          <w:kern w:val="2"/>
        </w:rPr>
        <w:tab/>
        <w:t>…</w:t>
      </w:r>
    </w:p>
    <w:p w14:paraId="31908947"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3:1433.</w:t>
      </w:r>
    </w:p>
    <w:p w14:paraId="10EF3213"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Agriculture and Forestry, Office of Agricultural and Environmental Sciences, Seed Commission, LR 12:825 (December 1986), amended by the Department of Agriculture and Forestry, Office of Agricultural and Environmental Sciences, LR 23:1284 (October 1997), amended by the Department of Agriculture and Forestry, Office of the Commissioner, Seed Commission, LR 30:1143 (June 2004), amended by the Department of Agriculture and Forestry, Office of Agricultural and Environmental Sciences, Seed Commission, LR 33:1609 (August 2007), LR 36:1223 (June 2010), repromulgated by the Department of Agriculture and Forestry, Office of Agricultural and Environmental Sciences, Agricultural Chemistry and Seed Commission, LR 39:2729 (October 2013), amended LR 40:756 (April 2014), LR 42:212 (February 2016), LR 43:1898 (October 2017), LR 51:1571 (October 2025),</w:t>
      </w:r>
      <w:r w:rsidRPr="00FC5566">
        <w:rPr>
          <w:color w:val="000000"/>
          <w:kern w:val="2"/>
          <w:sz w:val="18"/>
        </w:rPr>
        <w:t xml:space="preserve"> LR 52</w:t>
      </w:r>
      <w:r w:rsidRPr="00FC5566">
        <w:rPr>
          <w:kern w:val="2"/>
          <w:sz w:val="18"/>
        </w:rPr>
        <w:t>:</w:t>
      </w:r>
    </w:p>
    <w:p w14:paraId="4360CF1B" w14:textId="77777777" w:rsidR="00FC5566" w:rsidRPr="00FC5566" w:rsidRDefault="00FC5566" w:rsidP="00FC5566">
      <w:pPr>
        <w:keepNext/>
        <w:jc w:val="center"/>
        <w:rPr>
          <w:rFonts w:eastAsia="Calibri"/>
          <w:b/>
          <w:kern w:val="28"/>
        </w:rPr>
      </w:pPr>
      <w:r w:rsidRPr="00FC5566">
        <w:rPr>
          <w:rFonts w:eastAsia="Calibri"/>
          <w:b/>
          <w:kern w:val="28"/>
        </w:rPr>
        <w:t>Family Impact Statement</w:t>
      </w:r>
    </w:p>
    <w:p w14:paraId="73F60E3B"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The proposed Rule should not have any known or foreseeable impact on family formation, stability, and autonomy. In particular, the proposed Rule has no known or foreseeable impact on:</w:t>
      </w:r>
    </w:p>
    <w:p w14:paraId="418CDBF4"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1.</w:t>
      </w:r>
      <w:r w:rsidRPr="00FC5566">
        <w:rPr>
          <w:rFonts w:eastAsia="Calibri"/>
          <w:kern w:val="2"/>
        </w:rPr>
        <w:tab/>
        <w:t xml:space="preserve">the stability of the family; </w:t>
      </w:r>
    </w:p>
    <w:p w14:paraId="53DEF67B"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2.</w:t>
      </w:r>
      <w:r w:rsidRPr="00FC5566">
        <w:rPr>
          <w:rFonts w:eastAsia="Calibri"/>
          <w:kern w:val="2"/>
        </w:rPr>
        <w:tab/>
        <w:t>the authority and rights of persons regarding the education and supervision of their children;</w:t>
      </w:r>
    </w:p>
    <w:p w14:paraId="2BA2BA88"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3.</w:t>
      </w:r>
      <w:r w:rsidRPr="00FC5566">
        <w:rPr>
          <w:rFonts w:eastAsia="Calibri"/>
          <w:kern w:val="2"/>
        </w:rPr>
        <w:tab/>
        <w:t>the functioning of the family;</w:t>
      </w:r>
    </w:p>
    <w:p w14:paraId="1CDAB1D3"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4.</w:t>
      </w:r>
      <w:r w:rsidRPr="00FC5566">
        <w:rPr>
          <w:rFonts w:eastAsia="Calibri"/>
          <w:kern w:val="2"/>
        </w:rPr>
        <w:tab/>
        <w:t>family earnings and family budget;</w:t>
      </w:r>
    </w:p>
    <w:p w14:paraId="0CE4AAE5"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5.</w:t>
      </w:r>
      <w:r w:rsidRPr="00FC5566">
        <w:rPr>
          <w:rFonts w:eastAsia="Calibri"/>
          <w:kern w:val="2"/>
        </w:rPr>
        <w:tab/>
        <w:t>the behavior and personal responsibility of children;</w:t>
      </w:r>
    </w:p>
    <w:p w14:paraId="3B7CD25B"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6.</w:t>
      </w:r>
      <w:r w:rsidRPr="00FC5566">
        <w:rPr>
          <w:rFonts w:eastAsia="Calibri"/>
          <w:kern w:val="2"/>
        </w:rPr>
        <w:tab/>
        <w:t>the ability of the family or a local government to perform the function as contained in the proposed Rule.</w:t>
      </w:r>
    </w:p>
    <w:p w14:paraId="3E9ECB9E" w14:textId="77777777" w:rsidR="00FC5566" w:rsidRPr="00FC5566" w:rsidRDefault="00FC5566" w:rsidP="00FC5566">
      <w:pPr>
        <w:keepNext/>
        <w:jc w:val="center"/>
        <w:rPr>
          <w:rFonts w:eastAsia="Calibri"/>
          <w:b/>
          <w:kern w:val="28"/>
        </w:rPr>
      </w:pPr>
      <w:r w:rsidRPr="00FC5566">
        <w:rPr>
          <w:rFonts w:eastAsia="Calibri"/>
          <w:b/>
          <w:kern w:val="28"/>
        </w:rPr>
        <w:br w:type="page"/>
      </w:r>
    </w:p>
    <w:p w14:paraId="6CF64F14" w14:textId="77777777" w:rsidR="00FC5566" w:rsidRPr="00FC5566" w:rsidRDefault="00FC5566" w:rsidP="00FC5566">
      <w:pPr>
        <w:keepNext/>
        <w:jc w:val="center"/>
        <w:rPr>
          <w:rFonts w:eastAsia="Calibri"/>
          <w:b/>
          <w:kern w:val="28"/>
        </w:rPr>
      </w:pPr>
      <w:r w:rsidRPr="00FC5566">
        <w:rPr>
          <w:rFonts w:eastAsia="Calibri"/>
          <w:b/>
          <w:kern w:val="28"/>
        </w:rPr>
        <w:lastRenderedPageBreak/>
        <w:t>Poverty Impact Statement</w:t>
      </w:r>
    </w:p>
    <w:p w14:paraId="40449492"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The proposed Rule should not have any known or foreseeable impact on any child, individual, or family as defined by R.S. 49:973(B). In particular, there should be no known or foreseeable impact on:</w:t>
      </w:r>
    </w:p>
    <w:p w14:paraId="22048ADE"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1.</w:t>
      </w:r>
      <w:r w:rsidRPr="00FC5566">
        <w:rPr>
          <w:rFonts w:eastAsia="Calibri"/>
          <w:kern w:val="2"/>
        </w:rPr>
        <w:tab/>
        <w:t>the effect on household income, assets, and financial security;</w:t>
      </w:r>
    </w:p>
    <w:p w14:paraId="23503AB8"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2.</w:t>
      </w:r>
      <w:r w:rsidRPr="00FC5566">
        <w:rPr>
          <w:rFonts w:eastAsia="Calibri"/>
          <w:kern w:val="2"/>
        </w:rPr>
        <w:tab/>
        <w:t>the effect on early childhood development and preschool through postsecondary education development;</w:t>
      </w:r>
    </w:p>
    <w:p w14:paraId="57E9770A"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3.</w:t>
      </w:r>
      <w:r w:rsidRPr="00FC5566">
        <w:rPr>
          <w:rFonts w:eastAsia="Calibri"/>
          <w:kern w:val="2"/>
        </w:rPr>
        <w:tab/>
        <w:t>the effect on employment and workforce development;</w:t>
      </w:r>
    </w:p>
    <w:p w14:paraId="32889E70"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4.</w:t>
      </w:r>
      <w:r w:rsidRPr="00FC5566">
        <w:rPr>
          <w:rFonts w:eastAsia="Calibri"/>
          <w:kern w:val="2"/>
        </w:rPr>
        <w:tab/>
        <w:t>the effect on taxes and tax credits;</w:t>
      </w:r>
    </w:p>
    <w:p w14:paraId="3E33066E"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5.</w:t>
      </w:r>
      <w:r w:rsidRPr="00FC5566">
        <w:rPr>
          <w:rFonts w:eastAsia="Calibri"/>
          <w:kern w:val="2"/>
        </w:rPr>
        <w:tab/>
        <w:t>the effect on child and dependent care, housing, health care, nutrition, transportation, and utilities assistance.</w:t>
      </w:r>
    </w:p>
    <w:p w14:paraId="468A7856" w14:textId="77777777" w:rsidR="00FC5566" w:rsidRPr="00FC5566" w:rsidRDefault="00FC5566" w:rsidP="00FC5566">
      <w:pPr>
        <w:keepNext/>
        <w:jc w:val="center"/>
        <w:rPr>
          <w:rFonts w:eastAsia="Calibri"/>
          <w:b/>
          <w:kern w:val="28"/>
        </w:rPr>
      </w:pPr>
      <w:r w:rsidRPr="00FC5566">
        <w:rPr>
          <w:rFonts w:eastAsia="Calibri"/>
          <w:b/>
          <w:kern w:val="28"/>
        </w:rPr>
        <w:t>Small Business Analysis</w:t>
      </w:r>
    </w:p>
    <w:p w14:paraId="493754EE"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 xml:space="preserve">The proposed Rule should have no adverse impact on small business as defined in the Regulatory Flexibility Act. </w:t>
      </w:r>
    </w:p>
    <w:p w14:paraId="6AC2188F" w14:textId="77777777" w:rsidR="00FC5566" w:rsidRPr="00FC5566" w:rsidRDefault="00FC5566" w:rsidP="00FC5566">
      <w:pPr>
        <w:keepNext/>
        <w:jc w:val="center"/>
        <w:rPr>
          <w:rFonts w:eastAsia="Calibri"/>
          <w:b/>
          <w:kern w:val="28"/>
        </w:rPr>
      </w:pPr>
      <w:r w:rsidRPr="00FC5566">
        <w:rPr>
          <w:rFonts w:eastAsia="Calibri"/>
          <w:b/>
          <w:kern w:val="28"/>
        </w:rPr>
        <w:t>Provider Impact Statement</w:t>
      </w:r>
    </w:p>
    <w:p w14:paraId="33350795"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The proposed Rule should not have any known or foreseeable impact on providers as defined by HCR 170 of the 2014 Regular Legislative Session. In particular, there should be no known or foreseeable effect on:</w:t>
      </w:r>
    </w:p>
    <w:p w14:paraId="1470AC9C"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1.</w:t>
      </w:r>
      <w:r w:rsidRPr="00FC5566">
        <w:rPr>
          <w:rFonts w:eastAsia="Calibri"/>
          <w:kern w:val="2"/>
        </w:rPr>
        <w:tab/>
        <w:t xml:space="preserve">the effect on the staffing level requirements or qualifications required to provide the same level of </w:t>
      </w:r>
      <w:bookmarkStart w:id="531" w:name="_Int_0YKC3rEN"/>
      <w:r w:rsidRPr="00FC5566">
        <w:rPr>
          <w:rFonts w:eastAsia="Calibri"/>
          <w:kern w:val="2"/>
        </w:rPr>
        <w:t>service;</w:t>
      </w:r>
      <w:bookmarkEnd w:id="531"/>
    </w:p>
    <w:p w14:paraId="419A891B"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2.</w:t>
      </w:r>
      <w:r w:rsidRPr="00FC5566">
        <w:rPr>
          <w:rFonts w:eastAsia="Calibri"/>
          <w:kern w:val="2"/>
        </w:rPr>
        <w:tab/>
        <w:t>the total direct and indirect effect on the cost to the providers to provide the same level of service; or</w:t>
      </w:r>
    </w:p>
    <w:p w14:paraId="608A9FA2"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3.</w:t>
      </w:r>
      <w:r w:rsidRPr="00FC5566">
        <w:rPr>
          <w:rFonts w:eastAsia="Calibri"/>
          <w:kern w:val="2"/>
        </w:rPr>
        <w:tab/>
        <w:t>the overall effect on the ability of the provider to provide the same level of service.</w:t>
      </w:r>
    </w:p>
    <w:p w14:paraId="411AE6FD" w14:textId="77777777" w:rsidR="00FC5566" w:rsidRPr="00FC5566" w:rsidRDefault="00FC5566" w:rsidP="00FC5566">
      <w:pPr>
        <w:keepNext/>
        <w:jc w:val="center"/>
        <w:rPr>
          <w:rFonts w:eastAsia="Calibri"/>
          <w:b/>
          <w:kern w:val="28"/>
        </w:rPr>
      </w:pPr>
      <w:r w:rsidRPr="00FC5566">
        <w:rPr>
          <w:rFonts w:eastAsia="Calibri"/>
          <w:b/>
          <w:kern w:val="28"/>
        </w:rPr>
        <w:t>Public Comments</w:t>
      </w:r>
    </w:p>
    <w:p w14:paraId="401C4948"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 xml:space="preserve">Interested persons may submit written comments, data, opinions and arguments regarding the proposed Rule via U.S. Mail or hand delivery. Written submissions must be directed to Richard Miller, Director, Seed Programs, Louisiana Department of Agriculture and Forestry, 5825 Florida Blvd., LA 70806, and must be received no later than 4:00 p.m. on September 10, 2026. All written comments must be signed and dated. </w:t>
      </w:r>
    </w:p>
    <w:p w14:paraId="1834330A" w14:textId="77777777" w:rsidR="00FC5566" w:rsidRPr="00FC5566" w:rsidRDefault="00FC5566" w:rsidP="00FC5566">
      <w:pPr>
        <w:keepNext/>
        <w:jc w:val="center"/>
        <w:rPr>
          <w:rFonts w:eastAsia="Calibri"/>
          <w:b/>
          <w:kern w:val="28"/>
        </w:rPr>
      </w:pPr>
      <w:r w:rsidRPr="00FC5566">
        <w:rPr>
          <w:rFonts w:eastAsia="Calibri"/>
          <w:b/>
          <w:kern w:val="28"/>
        </w:rPr>
        <w:t xml:space="preserve">Public Hearing </w:t>
      </w:r>
    </w:p>
    <w:p w14:paraId="2596BEFB"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A public hearing will be held on October 5, 2026, from 8:30 a.m. - 12:30 p.m. in the Veterans’ Auditorium at the Louisiana Department of Agriculture and Forestry, 5825 Florida Blvd., Baton Rouge, LA 70806. Interested persons are invited to attend and submit oral comments on the proposed amendments. Should individuals with a disability need an accommodation in order to participate, contact Richard Miller at the address given above in the Public Comments section or at 225-952-8053.</w:t>
      </w:r>
    </w:p>
    <w:p w14:paraId="23296D71"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p>
    <w:p w14:paraId="07583BC1" w14:textId="77777777" w:rsidR="00FC5566" w:rsidRPr="00FC5566" w:rsidRDefault="00FC5566" w:rsidP="00FC5566">
      <w:pPr>
        <w:keepNext/>
        <w:ind w:left="2160"/>
        <w:jc w:val="both"/>
        <w:rPr>
          <w:rFonts w:eastAsia="Calibri"/>
        </w:rPr>
      </w:pPr>
      <w:r w:rsidRPr="00FC5566">
        <w:rPr>
          <w:rFonts w:eastAsia="Calibri"/>
        </w:rPr>
        <w:t>Mike Strain, DVM</w:t>
      </w:r>
    </w:p>
    <w:p w14:paraId="5EF91B53" w14:textId="77777777" w:rsidR="00FC5566" w:rsidRPr="00FC5566" w:rsidRDefault="00FC5566" w:rsidP="00FC5566">
      <w:pPr>
        <w:keepNext/>
        <w:ind w:left="2160"/>
        <w:jc w:val="both"/>
        <w:rPr>
          <w:rFonts w:eastAsia="Calibri"/>
        </w:rPr>
      </w:pPr>
      <w:r w:rsidRPr="00FC5566">
        <w:rPr>
          <w:rFonts w:eastAsia="Calibri"/>
        </w:rPr>
        <w:t xml:space="preserve">Commissioner </w:t>
      </w:r>
    </w:p>
    <w:p w14:paraId="159A328B" w14:textId="77777777" w:rsidR="00FC5566" w:rsidRPr="00FC5566" w:rsidRDefault="00FC5566" w:rsidP="00FC5566">
      <w:pPr>
        <w:keepNext/>
        <w:jc w:val="center"/>
        <w:rPr>
          <w:b/>
        </w:rPr>
      </w:pPr>
    </w:p>
    <w:p w14:paraId="5791CDD8" w14:textId="77777777" w:rsidR="00FC5566" w:rsidRPr="00FC5566" w:rsidRDefault="00FC5566" w:rsidP="00FC5566">
      <w:pPr>
        <w:keepNext/>
        <w:jc w:val="center"/>
        <w:rPr>
          <w:b/>
        </w:rPr>
      </w:pPr>
      <w:r w:rsidRPr="00FC5566">
        <w:rPr>
          <w:b/>
        </w:rPr>
        <w:t>FISCAL AND ECONOMIC IMPACT STATEMENT FOR ADMINISTRATIVE RULES</w:t>
      </w:r>
    </w:p>
    <w:p w14:paraId="0F92BF06" w14:textId="77777777" w:rsidR="00FC5566" w:rsidRPr="00FC5566" w:rsidRDefault="00FC5566" w:rsidP="00FC5566">
      <w:pPr>
        <w:keepNext/>
        <w:jc w:val="center"/>
        <w:rPr>
          <w:b/>
          <w:noProof/>
        </w:rPr>
      </w:pPr>
      <w:r w:rsidRPr="00FC5566">
        <w:rPr>
          <w:b/>
          <w:noProof/>
        </w:rPr>
        <w:t xml:space="preserve">RULE TITLE:  </w:t>
      </w:r>
      <w:bookmarkStart w:id="532" w:name="FE2"/>
      <w:bookmarkEnd w:id="532"/>
      <w:r w:rsidRPr="00FC5566">
        <w:rPr>
          <w:b/>
          <w:noProof/>
        </w:rPr>
        <w:t>Removal of Sampling for the Yellow Leaf Virus in the Field</w:t>
      </w:r>
    </w:p>
    <w:p w14:paraId="0BB6FDB5"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062FC8E5" w14:textId="77777777" w:rsidR="00FC5566" w:rsidRPr="00FC5566" w:rsidRDefault="00FC5566" w:rsidP="00FC5566">
      <w:pPr>
        <w:ind w:left="288" w:hanging="288"/>
        <w:jc w:val="both"/>
        <w:rPr>
          <w:spacing w:val="-10"/>
          <w:sz w:val="18"/>
        </w:rPr>
      </w:pPr>
      <w:r w:rsidRPr="00FC5566">
        <w:rPr>
          <w:spacing w:val="-10"/>
          <w:sz w:val="18"/>
        </w:rPr>
        <w:t>I.</w:t>
      </w:r>
      <w:r w:rsidRPr="00FC5566">
        <w:rPr>
          <w:spacing w:val="-10"/>
          <w:sz w:val="18"/>
        </w:rPr>
        <w:tab/>
        <w:t>ESTIMATED IMPLEMENTATION COSTS (SAVINGS) TO STATE OR LOCAL GOVERNMENT UNITS (Summary)</w:t>
      </w:r>
    </w:p>
    <w:p w14:paraId="723ABF3F" w14:textId="77777777" w:rsidR="00FC5566" w:rsidRPr="00FC5566" w:rsidRDefault="00FC5566" w:rsidP="00FC5566">
      <w:pPr>
        <w:ind w:left="288" w:firstLine="288"/>
        <w:jc w:val="both"/>
        <w:rPr>
          <w:noProof/>
          <w:sz w:val="18"/>
        </w:rPr>
      </w:pPr>
      <w:r w:rsidRPr="00FC5566">
        <w:rPr>
          <w:noProof/>
          <w:sz w:val="18"/>
        </w:rPr>
        <w:t xml:space="preserve">The proposed rule change is not anticipated to result in any costs to state or local governmental units. The proposed rule change eliminates sampling and testing requirements for sugarcane yellow leaf virus; however, a field inspection will still </w:t>
      </w:r>
      <w:r w:rsidRPr="00FC5566">
        <w:rPr>
          <w:noProof/>
          <w:sz w:val="18"/>
        </w:rPr>
        <w:br w:type="column"/>
      </w:r>
      <w:r w:rsidRPr="00FC5566">
        <w:rPr>
          <w:noProof/>
          <w:sz w:val="18"/>
        </w:rPr>
        <w:t>occur for certification purposes. LSU may realize some nominal savings as they are no longer required to test the leaf samples for Sugarcane Yellow Leaf Virus.</w:t>
      </w:r>
    </w:p>
    <w:p w14:paraId="52C7CDB8" w14:textId="77777777" w:rsidR="00FC5566" w:rsidRPr="00FC5566" w:rsidRDefault="00FC5566" w:rsidP="00FC5566">
      <w:pPr>
        <w:ind w:left="288" w:firstLine="288"/>
        <w:jc w:val="both"/>
        <w:rPr>
          <w:sz w:val="18"/>
        </w:rPr>
      </w:pPr>
      <w:r w:rsidRPr="00FC5566">
        <w:rPr>
          <w:sz w:val="18"/>
        </w:rPr>
        <w:t>Currently, three field inspections are required annually by the Louisiana Department of Agriculture and Forestry (LDAF) to verify that certified seedcane meets standards. During the second inspection, leaf samples are taken and submitted to LSU for testing for Sugarcane Yellow Leaf Virus. Due to testing technology, the sensitivity of detecting this disease has increased the likelihood of many of the fields being rejected. The proposed rule change will eliminate the sampling for this disease in field-grown seedcane.</w:t>
      </w:r>
    </w:p>
    <w:p w14:paraId="562BF32B" w14:textId="77777777" w:rsidR="00FC5566" w:rsidRPr="00FC5566" w:rsidRDefault="00FC5566" w:rsidP="00FC5566">
      <w:pPr>
        <w:ind w:left="288" w:hanging="288"/>
        <w:jc w:val="both"/>
        <w:rPr>
          <w:spacing w:val="-10"/>
          <w:sz w:val="18"/>
        </w:rPr>
      </w:pPr>
      <w:r w:rsidRPr="00FC5566">
        <w:rPr>
          <w:spacing w:val="-10"/>
          <w:sz w:val="18"/>
        </w:rPr>
        <w:t>II.</w:t>
      </w:r>
      <w:r w:rsidRPr="00FC5566">
        <w:rPr>
          <w:spacing w:val="-10"/>
          <w:sz w:val="18"/>
        </w:rPr>
        <w:tab/>
        <w:t>ESTIMATED EFFECT ON REVENUE COLLECTIONS OF STATE OR LOCAL GOVERNMENTAL UNITS (Summary)</w:t>
      </w:r>
    </w:p>
    <w:p w14:paraId="6F1CA4F7" w14:textId="77777777" w:rsidR="00FC5566" w:rsidRPr="00FC5566" w:rsidRDefault="00FC5566" w:rsidP="00FC5566">
      <w:pPr>
        <w:ind w:left="288" w:firstLine="288"/>
        <w:jc w:val="both"/>
        <w:rPr>
          <w:sz w:val="18"/>
        </w:rPr>
      </w:pPr>
      <w:r w:rsidRPr="00FC5566">
        <w:rPr>
          <w:sz w:val="18"/>
        </w:rPr>
        <w:t>The proposed rule change is not anticipated to result in any effect on revenue collections. Currently, there is no fee charged for the testing of sugarcane yellow leaf virus.</w:t>
      </w:r>
    </w:p>
    <w:p w14:paraId="38F18A99" w14:textId="77777777" w:rsidR="00FC5566" w:rsidRPr="00FC5566" w:rsidRDefault="00FC5566" w:rsidP="00FC5566">
      <w:pPr>
        <w:ind w:left="288" w:hanging="288"/>
        <w:jc w:val="both"/>
        <w:rPr>
          <w:spacing w:val="-10"/>
          <w:sz w:val="18"/>
        </w:rPr>
      </w:pPr>
      <w:r w:rsidRPr="00FC5566">
        <w:rPr>
          <w:spacing w:val="-10"/>
          <w:sz w:val="18"/>
        </w:rPr>
        <w:t>III.</w:t>
      </w:r>
      <w:r w:rsidRPr="00FC5566">
        <w:rPr>
          <w:spacing w:val="-10"/>
          <w:sz w:val="18"/>
        </w:rPr>
        <w:tab/>
        <w:t>ESTIMATED COSTS AND/OR ECONOMIC BENEFITS TO DIRECTLY AFFECTED PERSONS, SMALL BUSINESSES, OR NONGOVERNMENTAL GROUPS (Summary)</w:t>
      </w:r>
    </w:p>
    <w:p w14:paraId="255ED498" w14:textId="77777777" w:rsidR="00FC5566" w:rsidRPr="00FC5566" w:rsidRDefault="00FC5566" w:rsidP="00FC5566">
      <w:pPr>
        <w:ind w:left="288" w:firstLine="288"/>
        <w:jc w:val="both"/>
        <w:rPr>
          <w:sz w:val="18"/>
        </w:rPr>
      </w:pPr>
      <w:r w:rsidRPr="00FC5566">
        <w:rPr>
          <w:sz w:val="18"/>
        </w:rPr>
        <w:t>The proposed rule change may result in an economic benefit for farmers that previously had their field sampling rejected. The proposed rule change eliminates this sampling; to the extent that field inspections are now allowed to pass inspection and provide seedcane, these farmers will benefit.</w:t>
      </w:r>
    </w:p>
    <w:p w14:paraId="420E89DC" w14:textId="77777777" w:rsidR="00FC5566" w:rsidRPr="00FC5566" w:rsidRDefault="00FC5566" w:rsidP="00FC5566">
      <w:pPr>
        <w:ind w:left="288" w:hanging="288"/>
        <w:jc w:val="both"/>
        <w:rPr>
          <w:spacing w:val="-10"/>
          <w:sz w:val="18"/>
        </w:rPr>
      </w:pPr>
      <w:r w:rsidRPr="00FC5566">
        <w:rPr>
          <w:spacing w:val="-10"/>
          <w:sz w:val="18"/>
        </w:rPr>
        <w:t>IV.</w:t>
      </w:r>
      <w:r w:rsidRPr="00FC5566">
        <w:rPr>
          <w:spacing w:val="-10"/>
          <w:sz w:val="18"/>
        </w:rPr>
        <w:tab/>
        <w:t>ESTIMATED EFFECT ON COMPETITION AND EMPLOYMENT (Summary)</w:t>
      </w:r>
    </w:p>
    <w:p w14:paraId="42CB9111" w14:textId="77777777" w:rsidR="00FC5566" w:rsidRPr="00FC5566" w:rsidRDefault="00FC5566" w:rsidP="00FC5566">
      <w:pPr>
        <w:ind w:left="288" w:firstLine="288"/>
        <w:jc w:val="both"/>
        <w:rPr>
          <w:sz w:val="18"/>
        </w:rPr>
      </w:pPr>
      <w:r w:rsidRPr="00FC5566">
        <w:rPr>
          <w:sz w:val="18"/>
        </w:rPr>
        <w:t>The proposed rule change is not anticipated to have any effect on competition or employment, in either the public or private sectors.</w:t>
      </w:r>
    </w:p>
    <w:p w14:paraId="16891258" w14:textId="77777777" w:rsidR="00FC5566" w:rsidRPr="00FC5566" w:rsidRDefault="00FC5566" w:rsidP="00FC5566">
      <w:pPr>
        <w:ind w:left="288" w:firstLine="288"/>
        <w:jc w:val="both"/>
        <w:rPr>
          <w:sz w:val="18"/>
        </w:rPr>
      </w:pPr>
    </w:p>
    <w:p w14:paraId="2391734A" w14:textId="77777777" w:rsidR="00FC5566" w:rsidRPr="00FC5566" w:rsidRDefault="00FC5566" w:rsidP="00FC5566">
      <w:pPr>
        <w:tabs>
          <w:tab w:val="left" w:pos="2880"/>
          <w:tab w:val="decimal" w:pos="2988"/>
        </w:tabs>
        <w:outlineLvl w:val="8"/>
        <w:rPr>
          <w:kern w:val="2"/>
          <w:sz w:val="18"/>
        </w:rPr>
      </w:pPr>
      <w:r w:rsidRPr="00FC5566">
        <w:rPr>
          <w:kern w:val="2"/>
          <w:sz w:val="18"/>
        </w:rPr>
        <w:t>Dane Morgan</w:t>
      </w:r>
      <w:r w:rsidRPr="00FC5566">
        <w:rPr>
          <w:kern w:val="2"/>
          <w:sz w:val="18"/>
        </w:rPr>
        <w:tab/>
        <w:t>Patrice Thomas</w:t>
      </w:r>
    </w:p>
    <w:p w14:paraId="1E00B600" w14:textId="77777777" w:rsidR="00FC5566" w:rsidRPr="00FC5566" w:rsidRDefault="00FC5566" w:rsidP="00FC5566">
      <w:pPr>
        <w:tabs>
          <w:tab w:val="left" w:pos="2880"/>
          <w:tab w:val="decimal" w:pos="2988"/>
        </w:tabs>
        <w:outlineLvl w:val="8"/>
        <w:rPr>
          <w:kern w:val="2"/>
          <w:sz w:val="18"/>
        </w:rPr>
      </w:pPr>
      <w:r w:rsidRPr="00FC5566">
        <w:rPr>
          <w:kern w:val="2"/>
          <w:sz w:val="18"/>
        </w:rPr>
        <w:t>Assistant Commissioner</w:t>
      </w:r>
      <w:r w:rsidRPr="00FC5566">
        <w:rPr>
          <w:kern w:val="2"/>
          <w:sz w:val="18"/>
        </w:rPr>
        <w:tab/>
        <w:t>Deputy Fiscal Officer</w:t>
      </w:r>
    </w:p>
    <w:p w14:paraId="1C52E8DB" w14:textId="77777777" w:rsidR="00FC5566" w:rsidRPr="00FC5566" w:rsidRDefault="00FC5566" w:rsidP="00FC5566">
      <w:pPr>
        <w:tabs>
          <w:tab w:val="left" w:pos="2880"/>
          <w:tab w:val="decimal" w:pos="2988"/>
        </w:tabs>
        <w:outlineLvl w:val="8"/>
        <w:rPr>
          <w:kern w:val="2"/>
          <w:sz w:val="18"/>
        </w:rPr>
      </w:pPr>
      <w:bookmarkStart w:id="533" w:name="FE1"/>
      <w:bookmarkEnd w:id="533"/>
      <w:r w:rsidRPr="00FC5566">
        <w:rPr>
          <w:noProof/>
          <w:sz w:val="16"/>
        </w:rPr>
        <w:t>2608#052</w:t>
      </w:r>
      <w:r w:rsidRPr="00FC5566">
        <w:rPr>
          <w:kern w:val="2"/>
        </w:rPr>
        <w:tab/>
      </w:r>
      <w:r w:rsidRPr="00FC5566">
        <w:rPr>
          <w:kern w:val="2"/>
          <w:sz w:val="18"/>
        </w:rPr>
        <w:t>Legislative Fiscal Office</w:t>
      </w:r>
    </w:p>
    <w:p w14:paraId="33BBDEA5" w14:textId="77777777" w:rsidR="00FC5566" w:rsidRPr="00FC5566" w:rsidRDefault="00FC5566" w:rsidP="00FC5566"/>
    <w:p w14:paraId="4959258D" w14:textId="77777777" w:rsidR="00FC5566" w:rsidRPr="00FC5566" w:rsidRDefault="00FC5566" w:rsidP="00FC5566">
      <w:pPr>
        <w:keepNext/>
        <w:tabs>
          <w:tab w:val="left" w:pos="-1440"/>
        </w:tabs>
        <w:spacing w:after="120"/>
        <w:jc w:val="center"/>
        <w:rPr>
          <w:b/>
          <w:noProof/>
        </w:rPr>
      </w:pPr>
      <w:r w:rsidRPr="00FC5566">
        <w:rPr>
          <w:b/>
          <w:noProof/>
        </w:rPr>
        <w:t>NOTICE OF INTENT</w:t>
      </w:r>
    </w:p>
    <w:p w14:paraId="7C02623E" w14:textId="77777777" w:rsidR="00FC5566" w:rsidRPr="00FC5566" w:rsidRDefault="00FC5566" w:rsidP="00FC5566">
      <w:pPr>
        <w:keepNext/>
        <w:jc w:val="center"/>
        <w:rPr>
          <w:b/>
          <w:noProof/>
        </w:rPr>
      </w:pPr>
      <w:r w:rsidRPr="00FC5566">
        <w:rPr>
          <w:b/>
          <w:noProof/>
        </w:rPr>
        <w:t>Department of Children and Family Services</w:t>
      </w:r>
    </w:p>
    <w:p w14:paraId="027FE46E" w14:textId="77777777" w:rsidR="00FC5566" w:rsidRPr="00FC5566" w:rsidRDefault="00FC5566" w:rsidP="00FC5566">
      <w:pPr>
        <w:keepNext/>
        <w:jc w:val="center"/>
        <w:rPr>
          <w:b/>
          <w:noProof/>
        </w:rPr>
      </w:pPr>
      <w:r w:rsidRPr="00FC5566">
        <w:rPr>
          <w:b/>
          <w:noProof/>
        </w:rPr>
        <w:t>Office of Management and Finance</w:t>
      </w:r>
    </w:p>
    <w:p w14:paraId="7F6B05D5" w14:textId="77777777" w:rsidR="00FC5566" w:rsidRPr="00FC5566" w:rsidRDefault="00FC5566" w:rsidP="00FC5566">
      <w:pPr>
        <w:keepNext/>
        <w:spacing w:before="240" w:after="240"/>
        <w:jc w:val="center"/>
        <w:rPr>
          <w:noProof/>
        </w:rPr>
      </w:pPr>
      <w:r w:rsidRPr="00FC5566">
        <w:rPr>
          <w:noProof/>
        </w:rPr>
        <w:t>Substance Abuse Testing (LAC 67:I.Chapter 1)</w:t>
      </w:r>
    </w:p>
    <w:p w14:paraId="47CBAD39"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The Department of Children and Family Services, Office of Management and Finance (the department)</w:t>
      </w:r>
      <w:bookmarkStart w:id="534" w:name="_Hlk231475732"/>
      <w:r w:rsidRPr="00FC5566">
        <w:rPr>
          <w:kern w:val="2"/>
        </w:rPr>
        <w:t xml:space="preserve"> </w:t>
      </w:r>
      <w:bookmarkEnd w:id="534"/>
      <w:r w:rsidRPr="00FC5566">
        <w:rPr>
          <w:kern w:val="2"/>
        </w:rPr>
        <w:t>proposes to repeal LAC 67:I.Chapter 1 as authorized by R.S. 36:474 and R.S. 46:102. This proposed Rule is promulgated in accordance with the provisions of the Administrative Procedure Act, R.S. 49:950 et seq.</w:t>
      </w:r>
    </w:p>
    <w:p w14:paraId="6BC14363"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 xml:space="preserve">This rulemaking action proposes to repeal language contained in LAC 67:I.Chapter 1. This Chapter’s content consists of internal agency policy related to employment practices, workplace standards, and associated consequences. Such material is operational in nature and is not appropriate for inclusion in the </w:t>
      </w:r>
      <w:r w:rsidRPr="00FC5566">
        <w:rPr>
          <w:i/>
          <w:iCs/>
          <w:kern w:val="2"/>
        </w:rPr>
        <w:t>Louisiana Administrative Code</w:t>
      </w:r>
      <w:r w:rsidRPr="00FC5566">
        <w:rPr>
          <w:kern w:val="2"/>
        </w:rPr>
        <w:t xml:space="preserve">. Drug testing for public employees is authorized under R.S. 49:1015, and pursuant to this statute, substance abuse testing has been promulgated by agency policy. </w:t>
      </w:r>
    </w:p>
    <w:p w14:paraId="70432B7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 xml:space="preserve">This Chapter’s content does not meet the definition of a rule under R.S. 49:951, and its removal from this </w:t>
      </w:r>
      <w:r w:rsidRPr="00FC5566">
        <w:rPr>
          <w:i/>
          <w:iCs/>
          <w:kern w:val="2"/>
        </w:rPr>
        <w:t>Louisiana Administrative Code</w:t>
      </w:r>
      <w:r w:rsidRPr="00FC5566">
        <w:rPr>
          <w:kern w:val="2"/>
        </w:rPr>
        <w:t xml:space="preserve"> title has been initiated as a result of a review dictated by Act 192 of the 2024 Regular Legislative Session and Executive Order JML 25-038.</w:t>
      </w:r>
    </w:p>
    <w:p w14:paraId="5BE67F4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This Notice of Intent has been drafted utilizing plain language principles to ensure clarity and accessibility for all users. It has also been reviewed and tested for compliance with web accessibility standards.</w:t>
      </w:r>
    </w:p>
    <w:p w14:paraId="34AD3F3A" w14:textId="77777777" w:rsidR="00FC5566" w:rsidRPr="00FC5566" w:rsidRDefault="00FC5566" w:rsidP="00FC5566">
      <w:pPr>
        <w:keepNext/>
        <w:jc w:val="center"/>
        <w:rPr>
          <w:b/>
          <w:kern w:val="28"/>
        </w:rPr>
      </w:pPr>
      <w:r w:rsidRPr="00FC5566">
        <w:rPr>
          <w:b/>
          <w:kern w:val="28"/>
        </w:rPr>
        <w:lastRenderedPageBreak/>
        <w:t>Title 67</w:t>
      </w:r>
    </w:p>
    <w:p w14:paraId="755F60A5" w14:textId="77777777" w:rsidR="00FC5566" w:rsidRPr="00FC5566" w:rsidRDefault="00FC5566" w:rsidP="00FC5566">
      <w:pPr>
        <w:keepNext/>
        <w:jc w:val="center"/>
        <w:rPr>
          <w:b/>
          <w:kern w:val="28"/>
        </w:rPr>
      </w:pPr>
      <w:r w:rsidRPr="00FC5566">
        <w:rPr>
          <w:b/>
          <w:kern w:val="28"/>
        </w:rPr>
        <w:t>SOCIAL SERVICES</w:t>
      </w:r>
    </w:p>
    <w:p w14:paraId="670B8C34" w14:textId="77777777" w:rsidR="00FC5566" w:rsidRPr="00FC5566" w:rsidRDefault="00FC5566" w:rsidP="00FC5566">
      <w:pPr>
        <w:keepNext/>
        <w:jc w:val="center"/>
        <w:rPr>
          <w:b/>
          <w:noProof/>
        </w:rPr>
      </w:pPr>
      <w:bookmarkStart w:id="535" w:name="_Toc240284281"/>
      <w:bookmarkStart w:id="536" w:name="_Toc243875930"/>
      <w:bookmarkStart w:id="537" w:name="_Toc243885327"/>
      <w:bookmarkStart w:id="538" w:name="_Toc248893171"/>
      <w:bookmarkStart w:id="539" w:name="_Toc249850490"/>
      <w:bookmarkStart w:id="540" w:name="_Toc257205291"/>
      <w:bookmarkStart w:id="541" w:name="_Toc259622265"/>
      <w:bookmarkStart w:id="542" w:name="_Toc260833543"/>
      <w:bookmarkStart w:id="543" w:name="_Toc279060018"/>
      <w:bookmarkStart w:id="544" w:name="_Toc288205751"/>
      <w:bookmarkStart w:id="545" w:name="_Toc312144801"/>
      <w:bookmarkStart w:id="546" w:name="_Toc314558686"/>
      <w:bookmarkStart w:id="547" w:name="_Toc322434983"/>
      <w:bookmarkStart w:id="548" w:name="_Toc330278634"/>
      <w:bookmarkStart w:id="549" w:name="_Toc346257108"/>
      <w:bookmarkStart w:id="550" w:name="_Toc364846667"/>
      <w:bookmarkStart w:id="551" w:name="_Toc367167273"/>
      <w:bookmarkStart w:id="552" w:name="_Toc372627367"/>
      <w:bookmarkStart w:id="553" w:name="_Toc377705866"/>
      <w:bookmarkStart w:id="554" w:name="_Toc380397580"/>
      <w:bookmarkStart w:id="555" w:name="_Toc414435022"/>
      <w:bookmarkStart w:id="556" w:name="_Toc444077152"/>
      <w:bookmarkStart w:id="557" w:name="_Toc446332299"/>
      <w:bookmarkStart w:id="558" w:name="_Toc454263390"/>
      <w:bookmarkStart w:id="559" w:name="_Toc475612610"/>
      <w:bookmarkStart w:id="560" w:name="_Toc517789529"/>
      <w:bookmarkStart w:id="561" w:name="_Toc3983312"/>
      <w:bookmarkStart w:id="562" w:name="_Toc7429337"/>
      <w:bookmarkStart w:id="563" w:name="_Toc7517311"/>
      <w:bookmarkStart w:id="564" w:name="_Toc8896739"/>
      <w:bookmarkStart w:id="565" w:name="_Toc40957330"/>
      <w:bookmarkStart w:id="566" w:name="_Toc62029204"/>
      <w:bookmarkStart w:id="567" w:name="_Toc90905091"/>
      <w:bookmarkStart w:id="568" w:name="_Toc135812634"/>
      <w:bookmarkStart w:id="569" w:name="_Toc143773568"/>
      <w:bookmarkStart w:id="570" w:name="_Toc154578628"/>
      <w:bookmarkStart w:id="571" w:name="_Toc180575588"/>
      <w:bookmarkStart w:id="572" w:name="_Toc196823862"/>
      <w:bookmarkStart w:id="573" w:name="_Toc209536998"/>
      <w:bookmarkStart w:id="574" w:name="_Toc230078673"/>
      <w:r w:rsidRPr="00FC5566">
        <w:rPr>
          <w:b/>
          <w:noProof/>
        </w:rPr>
        <w:t>Part I.</w:t>
      </w:r>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r w:rsidRPr="00FC5566">
        <w:rPr>
          <w:b/>
          <w:noProof/>
        </w:rPr>
        <w:t xml:space="preserve">  General Administration</w:t>
      </w:r>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p>
    <w:p w14:paraId="410EA73E"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575" w:name="TOC_Chap26"/>
      <w:bookmarkStart w:id="576" w:name="_Toc215471026"/>
      <w:bookmarkStart w:id="577" w:name="_Toc248893173"/>
      <w:bookmarkStart w:id="578" w:name="_Toc257205293"/>
      <w:bookmarkStart w:id="579" w:name="_Toc230078674"/>
      <w:r w:rsidRPr="00FC5566">
        <w:rPr>
          <w:b/>
          <w:kern w:val="2"/>
        </w:rPr>
        <w:t>Chapter 1.</w:t>
      </w:r>
      <w:bookmarkStart w:id="580" w:name="TOCT_Chap25"/>
      <w:bookmarkStart w:id="581" w:name="TOCT_Chap28"/>
      <w:bookmarkStart w:id="582" w:name="TOCT_Chap26"/>
      <w:bookmarkEnd w:id="575"/>
      <w:r w:rsidRPr="00FC5566">
        <w:rPr>
          <w:b/>
          <w:kern w:val="2"/>
        </w:rPr>
        <w:tab/>
        <w:t>Substance Abuse Testing</w:t>
      </w:r>
      <w:bookmarkEnd w:id="576"/>
      <w:bookmarkEnd w:id="577"/>
      <w:bookmarkEnd w:id="578"/>
      <w:bookmarkEnd w:id="579"/>
      <w:bookmarkEnd w:id="580"/>
      <w:bookmarkEnd w:id="581"/>
      <w:bookmarkEnd w:id="582"/>
    </w:p>
    <w:p w14:paraId="6A32D521"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583" w:name="_Toc215471027"/>
      <w:bookmarkStart w:id="584" w:name="_Toc248893174"/>
      <w:bookmarkStart w:id="585" w:name="_Toc257205294"/>
      <w:bookmarkStart w:id="586" w:name="_Toc230078675"/>
      <w:r w:rsidRPr="00FC5566">
        <w:rPr>
          <w:b/>
          <w:kern w:val="2"/>
        </w:rPr>
        <w:t>§101.</w:t>
      </w:r>
      <w:r w:rsidRPr="00FC5566">
        <w:rPr>
          <w:b/>
          <w:kern w:val="2"/>
        </w:rPr>
        <w:tab/>
        <w:t>Introduction and Purpose</w:t>
      </w:r>
      <w:bookmarkEnd w:id="583"/>
      <w:bookmarkEnd w:id="584"/>
      <w:bookmarkEnd w:id="585"/>
      <w:bookmarkEnd w:id="586"/>
    </w:p>
    <w:p w14:paraId="3B274A80"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Repealed.</w:t>
      </w:r>
    </w:p>
    <w:p w14:paraId="6D61DF79"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49:1001 et seq.</w:t>
      </w:r>
    </w:p>
    <w:p w14:paraId="5EC71007"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the Secretary, LR 25:1145 (June 1999), amended by the Department of Social Services, Office of Management and Finance, LR 32:114 (January 2006), LR 35:967 (May 2009), repealed LR 52:</w:t>
      </w:r>
    </w:p>
    <w:p w14:paraId="15BECC1D"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587" w:name="_Toc215471028"/>
      <w:bookmarkStart w:id="588" w:name="_Toc248893175"/>
      <w:bookmarkStart w:id="589" w:name="_Toc257205295"/>
      <w:bookmarkStart w:id="590" w:name="_Toc230078676"/>
      <w:r w:rsidRPr="00FC5566">
        <w:rPr>
          <w:b/>
          <w:kern w:val="2"/>
        </w:rPr>
        <w:t>§103.</w:t>
      </w:r>
      <w:r w:rsidRPr="00FC5566">
        <w:rPr>
          <w:b/>
          <w:kern w:val="2"/>
        </w:rPr>
        <w:tab/>
        <w:t>Applicability</w:t>
      </w:r>
      <w:bookmarkEnd w:id="587"/>
      <w:bookmarkEnd w:id="588"/>
      <w:bookmarkEnd w:id="589"/>
      <w:bookmarkEnd w:id="590"/>
    </w:p>
    <w:p w14:paraId="53A939C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Repealed.</w:t>
      </w:r>
    </w:p>
    <w:p w14:paraId="1E1A0E1D"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49:1001 et seq.</w:t>
      </w:r>
    </w:p>
    <w:p w14:paraId="689C3650"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the Secretary, LR 25:1145 (June 1999), repealed LR 52:</w:t>
      </w:r>
    </w:p>
    <w:p w14:paraId="4BDC9BB7"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591" w:name="_Toc215471029"/>
      <w:bookmarkStart w:id="592" w:name="_Toc248893176"/>
      <w:bookmarkStart w:id="593" w:name="_Toc257205296"/>
      <w:bookmarkStart w:id="594" w:name="_Toc230078677"/>
      <w:r w:rsidRPr="00FC5566">
        <w:rPr>
          <w:b/>
          <w:kern w:val="2"/>
        </w:rPr>
        <w:t>§105.</w:t>
      </w:r>
      <w:r w:rsidRPr="00FC5566">
        <w:rPr>
          <w:b/>
          <w:kern w:val="2"/>
        </w:rPr>
        <w:tab/>
        <w:t>Definitions</w:t>
      </w:r>
      <w:bookmarkEnd w:id="591"/>
      <w:bookmarkEnd w:id="592"/>
      <w:bookmarkEnd w:id="593"/>
      <w:bookmarkEnd w:id="594"/>
    </w:p>
    <w:p w14:paraId="694E9099"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Repealed.</w:t>
      </w:r>
    </w:p>
    <w:p w14:paraId="060E249D"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49:1001 et seq.</w:t>
      </w:r>
    </w:p>
    <w:p w14:paraId="679F4525"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the Secretary, LR 25:1145 (June 1999), amended by the Department of Social Services, Office of Management and Finance, LR 32:114 (January 2006), repealed LR 52:</w:t>
      </w:r>
    </w:p>
    <w:p w14:paraId="642C796D"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595" w:name="_Toc215471030"/>
      <w:bookmarkStart w:id="596" w:name="_Toc248893177"/>
      <w:bookmarkStart w:id="597" w:name="_Toc257205297"/>
      <w:bookmarkStart w:id="598" w:name="_Toc230078678"/>
      <w:r w:rsidRPr="00FC5566">
        <w:rPr>
          <w:b/>
          <w:kern w:val="2"/>
        </w:rPr>
        <w:t>§107.</w:t>
      </w:r>
      <w:r w:rsidRPr="00FC5566">
        <w:rPr>
          <w:b/>
          <w:kern w:val="2"/>
        </w:rPr>
        <w:tab/>
        <w:t>DSS Drug-Free Workplace Policy</w:t>
      </w:r>
      <w:bookmarkEnd w:id="595"/>
      <w:bookmarkEnd w:id="596"/>
      <w:bookmarkEnd w:id="597"/>
      <w:bookmarkEnd w:id="598"/>
    </w:p>
    <w:p w14:paraId="193B346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Repealed.</w:t>
      </w:r>
    </w:p>
    <w:p w14:paraId="0F55F2D1"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49:1001 et seq.</w:t>
      </w:r>
    </w:p>
    <w:p w14:paraId="6F50F385"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the Secretary, LR 25:1146 (June 1999), amended by the Department of Social Services, Office of Management and Finance, LR 32:114 (January 2006), LR 35:967 (May 2009)</w:t>
      </w:r>
      <w:r w:rsidRPr="00FC5566">
        <w:rPr>
          <w:rFonts w:ascii="Aptos" w:hAnsi="Aptos"/>
          <w:kern w:val="2"/>
          <w:sz w:val="18"/>
        </w:rPr>
        <w:t xml:space="preserve">, </w:t>
      </w:r>
      <w:r w:rsidRPr="00FC5566">
        <w:rPr>
          <w:kern w:val="2"/>
          <w:sz w:val="18"/>
        </w:rPr>
        <w:t>repealed LR 52:</w:t>
      </w:r>
    </w:p>
    <w:p w14:paraId="0F9B2CFB"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599" w:name="_Toc215471031"/>
      <w:bookmarkStart w:id="600" w:name="_Toc248893178"/>
      <w:bookmarkStart w:id="601" w:name="_Toc257205298"/>
      <w:bookmarkStart w:id="602" w:name="_Toc230078679"/>
      <w:r w:rsidRPr="00FC5566">
        <w:rPr>
          <w:b/>
          <w:kern w:val="2"/>
        </w:rPr>
        <w:t>§109.</w:t>
      </w:r>
      <w:r w:rsidRPr="00FC5566">
        <w:rPr>
          <w:b/>
          <w:kern w:val="2"/>
        </w:rPr>
        <w:tab/>
        <w:t>Conditions Requiring Drug Tests</w:t>
      </w:r>
      <w:bookmarkEnd w:id="599"/>
      <w:bookmarkEnd w:id="600"/>
      <w:bookmarkEnd w:id="601"/>
      <w:bookmarkEnd w:id="602"/>
    </w:p>
    <w:p w14:paraId="4F194FCE"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Repealed.</w:t>
      </w:r>
    </w:p>
    <w:p w14:paraId="19177BA3"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49:1001 et seq.</w:t>
      </w:r>
    </w:p>
    <w:p w14:paraId="34EEE1F9"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the Secretary, LR 25:1146 (June 1999), amended by the Department of Social Services, Office of Management and Finance, LR 32:114 (January 2006), LR 35:967 (May 2009), repealed LR 52:</w:t>
      </w:r>
    </w:p>
    <w:p w14:paraId="4B5FEB6B"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03" w:name="_Toc215471032"/>
      <w:bookmarkStart w:id="604" w:name="_Toc248893179"/>
      <w:bookmarkStart w:id="605" w:name="_Toc257205299"/>
      <w:bookmarkStart w:id="606" w:name="_Toc230078680"/>
      <w:r w:rsidRPr="00FC5566">
        <w:rPr>
          <w:b/>
          <w:kern w:val="2"/>
        </w:rPr>
        <w:t>§111.</w:t>
      </w:r>
      <w:r w:rsidRPr="00FC5566">
        <w:rPr>
          <w:b/>
          <w:kern w:val="2"/>
        </w:rPr>
        <w:tab/>
        <w:t>Procedure</w:t>
      </w:r>
      <w:bookmarkEnd w:id="603"/>
      <w:bookmarkEnd w:id="604"/>
      <w:bookmarkEnd w:id="605"/>
      <w:bookmarkEnd w:id="606"/>
    </w:p>
    <w:p w14:paraId="39D7392B"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Repealed.</w:t>
      </w:r>
    </w:p>
    <w:p w14:paraId="10B90389"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49:1001 et seq.</w:t>
      </w:r>
    </w:p>
    <w:p w14:paraId="24C95B3D"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the Secretary, LR 25:1146 (June 1999), amended by the Department of Social Services, Office of Management and Finance, LR 32:115 (January 2006), LR 35:967 (May 2009), repealed LR 52:</w:t>
      </w:r>
    </w:p>
    <w:p w14:paraId="5BBDFD0A"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07" w:name="_Toc215471033"/>
      <w:bookmarkStart w:id="608" w:name="_Toc248893180"/>
      <w:bookmarkStart w:id="609" w:name="_Toc257205300"/>
      <w:bookmarkStart w:id="610" w:name="_Toc230078681"/>
      <w:r w:rsidRPr="00FC5566">
        <w:rPr>
          <w:b/>
          <w:kern w:val="2"/>
        </w:rPr>
        <w:t>§113.</w:t>
      </w:r>
      <w:r w:rsidRPr="00FC5566">
        <w:rPr>
          <w:b/>
          <w:kern w:val="2"/>
        </w:rPr>
        <w:tab/>
        <w:t>Confidentiality</w:t>
      </w:r>
      <w:bookmarkEnd w:id="607"/>
      <w:bookmarkEnd w:id="608"/>
      <w:bookmarkEnd w:id="609"/>
      <w:bookmarkEnd w:id="610"/>
    </w:p>
    <w:p w14:paraId="22A14638"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Repealed.</w:t>
      </w:r>
    </w:p>
    <w:p w14:paraId="200FA72A"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49:1001 et seq.</w:t>
      </w:r>
    </w:p>
    <w:p w14:paraId="138CC16A"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the Secretary, LR 25:1147 (June 1999), amended by the Department of Social Services, Office of Management and Finance, LR 32:115 (January 2006), repealed LR 52:</w:t>
      </w:r>
    </w:p>
    <w:p w14:paraId="19E4BA1B"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11" w:name="_Toc215471034"/>
      <w:bookmarkStart w:id="612" w:name="_Toc248893181"/>
      <w:bookmarkStart w:id="613" w:name="_Toc257205301"/>
      <w:bookmarkStart w:id="614" w:name="_Toc230078682"/>
      <w:r w:rsidRPr="00FC5566">
        <w:rPr>
          <w:b/>
          <w:kern w:val="2"/>
        </w:rPr>
        <w:br w:type="column"/>
      </w:r>
      <w:r w:rsidRPr="00FC5566">
        <w:rPr>
          <w:b/>
          <w:kern w:val="2"/>
        </w:rPr>
        <w:t>§115.</w:t>
      </w:r>
      <w:r w:rsidRPr="00FC5566">
        <w:rPr>
          <w:b/>
          <w:kern w:val="2"/>
        </w:rPr>
        <w:tab/>
        <w:t>Responsibilities</w:t>
      </w:r>
      <w:bookmarkEnd w:id="611"/>
      <w:bookmarkEnd w:id="612"/>
      <w:bookmarkEnd w:id="613"/>
      <w:bookmarkEnd w:id="614"/>
    </w:p>
    <w:p w14:paraId="76C452EE"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Repealed.</w:t>
      </w:r>
    </w:p>
    <w:p w14:paraId="64AE6C58"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49:1001 et seq.</w:t>
      </w:r>
    </w:p>
    <w:p w14:paraId="127F5DCA"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the Secretary, LR 25:1147 (June 1999), amended by the Department of Social Services, Office of Management and Finance, LR 32:115 (January 2006), LR 35:967 (May 2009), repealed LR 52:</w:t>
      </w:r>
    </w:p>
    <w:p w14:paraId="3B3DBE7D"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15" w:name="_Toc215471035"/>
      <w:bookmarkStart w:id="616" w:name="_Toc248893182"/>
      <w:bookmarkStart w:id="617" w:name="_Toc257205302"/>
      <w:bookmarkStart w:id="618" w:name="_Toc230078683"/>
      <w:r w:rsidRPr="00FC5566">
        <w:rPr>
          <w:b/>
          <w:kern w:val="2"/>
        </w:rPr>
        <w:t>§117.</w:t>
      </w:r>
      <w:r w:rsidRPr="00FC5566">
        <w:rPr>
          <w:b/>
          <w:kern w:val="2"/>
        </w:rPr>
        <w:tab/>
        <w:t>Violation of the Policy</w:t>
      </w:r>
      <w:bookmarkEnd w:id="615"/>
      <w:bookmarkEnd w:id="616"/>
      <w:bookmarkEnd w:id="617"/>
      <w:bookmarkEnd w:id="618"/>
    </w:p>
    <w:p w14:paraId="4AC18C6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Repealed.</w:t>
      </w:r>
    </w:p>
    <w:p w14:paraId="7E34918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49:1001 et seq.</w:t>
      </w:r>
    </w:p>
    <w:p w14:paraId="41BFCBC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the Secretary, LR 25:1147 (June 1999), amended by the Department of Social Services, Office of Management and Finance, LR 32:115 (January 2006), LR 35:968 (May 2009), repealed LR 52:</w:t>
      </w:r>
    </w:p>
    <w:p w14:paraId="75F93BC6"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19" w:name="_Toc215471036"/>
      <w:bookmarkStart w:id="620" w:name="_Toc248893183"/>
      <w:bookmarkStart w:id="621" w:name="_Toc257205303"/>
      <w:bookmarkStart w:id="622" w:name="_Toc230078684"/>
      <w:r w:rsidRPr="00FC5566">
        <w:rPr>
          <w:b/>
          <w:kern w:val="2"/>
        </w:rPr>
        <w:t>§119.</w:t>
      </w:r>
      <w:r w:rsidRPr="00FC5566">
        <w:rPr>
          <w:b/>
          <w:kern w:val="2"/>
        </w:rPr>
        <w:tab/>
        <w:t>Attachment A―Safety-Sensitive and Security-Sensitive Positions within DSS</w:t>
      </w:r>
      <w:bookmarkEnd w:id="619"/>
      <w:bookmarkEnd w:id="620"/>
      <w:bookmarkEnd w:id="621"/>
      <w:bookmarkEnd w:id="622"/>
    </w:p>
    <w:p w14:paraId="75771AC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Repealed.</w:t>
      </w:r>
    </w:p>
    <w:p w14:paraId="754A59D1"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49:1001 et seq.</w:t>
      </w:r>
    </w:p>
    <w:p w14:paraId="4064A2EF"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the Secretary, LR 25:1148 (June 1999), amended by the Department of Social Services, Office of Management and Finance, LR 32:116 (January 2006), repealed LR 52:</w:t>
      </w:r>
    </w:p>
    <w:p w14:paraId="6FCB75FA"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23" w:name="_Toc215471037"/>
      <w:bookmarkStart w:id="624" w:name="_Toc248893184"/>
      <w:bookmarkStart w:id="625" w:name="_Toc257205304"/>
      <w:bookmarkStart w:id="626" w:name="_Toc230078685"/>
      <w:r w:rsidRPr="00FC5566">
        <w:rPr>
          <w:b/>
          <w:kern w:val="2"/>
        </w:rPr>
        <w:t>§121.</w:t>
      </w:r>
      <w:r w:rsidRPr="00FC5566">
        <w:rPr>
          <w:b/>
          <w:kern w:val="2"/>
        </w:rPr>
        <w:tab/>
        <w:t>Attachment B―Procedures for Scheduling Drug Testing</w:t>
      </w:r>
      <w:bookmarkEnd w:id="623"/>
      <w:bookmarkEnd w:id="624"/>
      <w:bookmarkEnd w:id="625"/>
      <w:bookmarkEnd w:id="626"/>
    </w:p>
    <w:p w14:paraId="6B79D8C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Repealed.</w:t>
      </w:r>
    </w:p>
    <w:p w14:paraId="3C7E25EE"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49:1001 et seq.</w:t>
      </w:r>
    </w:p>
    <w:p w14:paraId="4E81FAFE"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the Secretary, LR 25:1148 (June 1999), amended LR 35:968 (May 2009), repealed LR 52:</w:t>
      </w:r>
    </w:p>
    <w:p w14:paraId="6B86D2D0" w14:textId="77777777" w:rsidR="00FC5566" w:rsidRPr="00FC5566" w:rsidRDefault="00FC5566" w:rsidP="00FC5566">
      <w:pPr>
        <w:keepNext/>
        <w:jc w:val="center"/>
        <w:rPr>
          <w:b/>
          <w:kern w:val="28"/>
        </w:rPr>
      </w:pPr>
      <w:r w:rsidRPr="00FC5566">
        <w:rPr>
          <w:b/>
          <w:kern w:val="28"/>
        </w:rPr>
        <w:t>Family Impact Statement</w:t>
      </w:r>
    </w:p>
    <w:p w14:paraId="2E526F0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In compliance with Act 1183 of the 1999 Regular Session of the Louisiana Legislature, the impact of this proposed Rule on the family has been considered. It is anticipated that this proposed Rule will not have an impact on family functioning, stability, and autonomy as described in R.S. 49:972.</w:t>
      </w:r>
    </w:p>
    <w:p w14:paraId="2B79FD97" w14:textId="77777777" w:rsidR="00FC5566" w:rsidRPr="00FC5566" w:rsidRDefault="00FC5566" w:rsidP="00FC5566">
      <w:pPr>
        <w:keepNext/>
        <w:jc w:val="center"/>
        <w:rPr>
          <w:b/>
          <w:kern w:val="28"/>
        </w:rPr>
      </w:pPr>
      <w:r w:rsidRPr="00FC5566">
        <w:rPr>
          <w:b/>
          <w:kern w:val="28"/>
        </w:rPr>
        <w:t>Poverty Impact Statement</w:t>
      </w:r>
    </w:p>
    <w:p w14:paraId="02025D7B"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In compliance with Act 854 of the 2012 Regular Session of the Louisiana Legislature, the poverty impact of this proposed Rule has been considered. It is anticipated that this proposed Rule will not have an impact on child, individual, or family poverty in relation to individual or community asset development as described in R.S. 49:973.</w:t>
      </w:r>
    </w:p>
    <w:p w14:paraId="2FC8E012" w14:textId="77777777" w:rsidR="00FC5566" w:rsidRPr="00FC5566" w:rsidRDefault="00FC5566" w:rsidP="00FC5566">
      <w:pPr>
        <w:keepNext/>
        <w:jc w:val="center"/>
        <w:rPr>
          <w:b/>
          <w:kern w:val="28"/>
        </w:rPr>
      </w:pPr>
      <w:r w:rsidRPr="00FC5566">
        <w:rPr>
          <w:b/>
          <w:kern w:val="28"/>
        </w:rPr>
        <w:t>Small Business Analysis</w:t>
      </w:r>
    </w:p>
    <w:p w14:paraId="4848E8B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In compliance with the Small Business Protection Act, the economic impact of this proposed Rule on small businesses has been considered. It is anticipated that this proposed Rule will not have a fiscal impact on small businesses.</w:t>
      </w:r>
    </w:p>
    <w:p w14:paraId="30145440" w14:textId="77777777" w:rsidR="00FC5566" w:rsidRPr="00FC5566" w:rsidRDefault="00FC5566" w:rsidP="00FC5566">
      <w:pPr>
        <w:keepNext/>
        <w:jc w:val="center"/>
        <w:rPr>
          <w:b/>
          <w:kern w:val="28"/>
        </w:rPr>
      </w:pPr>
      <w:r w:rsidRPr="00FC5566">
        <w:rPr>
          <w:b/>
          <w:kern w:val="28"/>
        </w:rPr>
        <w:t>Provider Impact Statement</w:t>
      </w:r>
    </w:p>
    <w:p w14:paraId="16F0F5B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In compliance with House Concurrent Resolution (HCR) 170 of the 2014 Regular Session of the Louisiana Legislature, the provider impact of this proposed Rule has been considered. It is anticipated that this proposed Rule will not have a fiscal impact on providers.</w:t>
      </w:r>
    </w:p>
    <w:p w14:paraId="350E43FE" w14:textId="77777777" w:rsidR="00FC5566" w:rsidRPr="00FC5566" w:rsidRDefault="00FC5566" w:rsidP="00FC5566">
      <w:pPr>
        <w:keepNext/>
        <w:jc w:val="center"/>
        <w:rPr>
          <w:b/>
          <w:kern w:val="28"/>
        </w:rPr>
      </w:pPr>
      <w:r w:rsidRPr="00FC5566">
        <w:rPr>
          <w:b/>
          <w:kern w:val="28"/>
        </w:rPr>
        <w:br w:type="page"/>
      </w:r>
    </w:p>
    <w:p w14:paraId="7F53460E" w14:textId="77777777" w:rsidR="00FC5566" w:rsidRPr="00FC5566" w:rsidRDefault="00FC5566" w:rsidP="00FC5566">
      <w:pPr>
        <w:keepNext/>
        <w:jc w:val="center"/>
        <w:rPr>
          <w:b/>
          <w:kern w:val="28"/>
        </w:rPr>
      </w:pPr>
      <w:r w:rsidRPr="00FC5566">
        <w:rPr>
          <w:b/>
          <w:kern w:val="28"/>
        </w:rPr>
        <w:lastRenderedPageBreak/>
        <w:t>Public Comments</w:t>
      </w:r>
    </w:p>
    <w:p w14:paraId="38B37EAC"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Interested individuals may submit written comments to Catherine S. Brindley, DCFS Policy and Rulemaking Director, Department of Children and Family Services, P.O. Box 3776, Baton Rouge, LA 70821. The deadline for submitting written comments is 4:30 p.m. on September 9, 2026.</w:t>
      </w:r>
    </w:p>
    <w:p w14:paraId="590F626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p w14:paraId="3E3FD68D" w14:textId="77777777" w:rsidR="00FC5566" w:rsidRPr="00FC5566" w:rsidRDefault="00FC5566" w:rsidP="00FC5566">
      <w:pPr>
        <w:keepNext/>
        <w:ind w:left="2160"/>
        <w:jc w:val="both"/>
      </w:pPr>
      <w:r w:rsidRPr="00FC5566">
        <w:t>Christopher Bahm</w:t>
      </w:r>
    </w:p>
    <w:p w14:paraId="3216A8BA" w14:textId="77777777" w:rsidR="00FC5566" w:rsidRPr="00FC5566" w:rsidRDefault="00FC5566" w:rsidP="00FC5566">
      <w:pPr>
        <w:keepNext/>
        <w:ind w:left="2160"/>
        <w:jc w:val="both"/>
      </w:pPr>
      <w:r w:rsidRPr="00FC5566">
        <w:t>Undersecretary</w:t>
      </w:r>
    </w:p>
    <w:p w14:paraId="2A53C8AE" w14:textId="77777777" w:rsidR="00FC5566" w:rsidRPr="00FC5566" w:rsidRDefault="00FC5566" w:rsidP="00FC5566">
      <w:pPr>
        <w:keepNext/>
        <w:jc w:val="center"/>
        <w:rPr>
          <w:b/>
        </w:rPr>
      </w:pPr>
    </w:p>
    <w:p w14:paraId="6B467E45" w14:textId="77777777" w:rsidR="00FC5566" w:rsidRPr="00FC5566" w:rsidRDefault="00FC5566" w:rsidP="00FC5566">
      <w:pPr>
        <w:keepNext/>
        <w:jc w:val="center"/>
        <w:rPr>
          <w:b/>
        </w:rPr>
      </w:pPr>
      <w:r w:rsidRPr="00FC5566">
        <w:rPr>
          <w:b/>
        </w:rPr>
        <w:t>FISCAL AND ECONOMIC IMPACT STATEMENT FOR ADMINISTRATIVE RULES</w:t>
      </w:r>
    </w:p>
    <w:p w14:paraId="0A670CB7" w14:textId="77777777" w:rsidR="00FC5566" w:rsidRPr="00FC5566" w:rsidRDefault="00FC5566" w:rsidP="00FC5566">
      <w:pPr>
        <w:keepNext/>
        <w:jc w:val="center"/>
        <w:rPr>
          <w:b/>
          <w:noProof/>
        </w:rPr>
      </w:pPr>
      <w:r w:rsidRPr="00FC5566">
        <w:rPr>
          <w:b/>
          <w:noProof/>
        </w:rPr>
        <w:t>RULE TITLE:  Substance Abuse Testing</w:t>
      </w:r>
    </w:p>
    <w:p w14:paraId="2E5F6E78"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1E1DCEF5" w14:textId="77777777" w:rsidR="00FC5566" w:rsidRPr="00FC5566" w:rsidRDefault="00FC5566" w:rsidP="00FC5566">
      <w:pPr>
        <w:ind w:left="288" w:hanging="288"/>
        <w:jc w:val="both"/>
        <w:rPr>
          <w:spacing w:val="-10"/>
          <w:sz w:val="18"/>
        </w:rPr>
      </w:pPr>
      <w:r w:rsidRPr="00FC5566">
        <w:rPr>
          <w:spacing w:val="-10"/>
          <w:sz w:val="18"/>
        </w:rPr>
        <w:t>I.</w:t>
      </w:r>
      <w:r w:rsidRPr="00FC5566">
        <w:rPr>
          <w:spacing w:val="-10"/>
          <w:sz w:val="18"/>
        </w:rPr>
        <w:tab/>
        <w:t>ESTIMATED IMPLEMENTATION COSTS (SAVINGS) TO STATE OR LOCAL GOVERNMENT UNITS (Summary)</w:t>
      </w:r>
    </w:p>
    <w:p w14:paraId="78994CEA" w14:textId="77777777" w:rsidR="00FC5566" w:rsidRPr="00FC5566" w:rsidRDefault="00FC5566" w:rsidP="00FC5566">
      <w:pPr>
        <w:ind w:left="288" w:firstLine="288"/>
        <w:jc w:val="both"/>
        <w:rPr>
          <w:noProof/>
          <w:sz w:val="18"/>
        </w:rPr>
      </w:pPr>
      <w:r w:rsidRPr="00FC5566">
        <w:rPr>
          <w:noProof/>
          <w:sz w:val="18"/>
        </w:rPr>
        <w:t>It is not anticipated that state or local government units will incur any costs or savings as a result of this proposed rule.</w:t>
      </w:r>
    </w:p>
    <w:p w14:paraId="2C28AAE4" w14:textId="77777777" w:rsidR="00FC5566" w:rsidRPr="00FC5566" w:rsidRDefault="00FC5566" w:rsidP="00FC5566">
      <w:pPr>
        <w:ind w:left="288" w:firstLine="288"/>
        <w:jc w:val="both"/>
        <w:rPr>
          <w:sz w:val="18"/>
        </w:rPr>
      </w:pPr>
      <w:r w:rsidRPr="00FC5566">
        <w:rPr>
          <w:sz w:val="18"/>
        </w:rPr>
        <w:t>The Department of Children and Family Services (DCFS) proposed to repeal Sections 101, 103, 105, 107, 109, 111, 113, 115, 117, 119, and 121 of Chapter 1 (Substance Abuse Testing) within Part I of Title 67 (Social Services) of the Louisiana Administrative Code. The proposed rule removes language related to internal agency policies governing employment practices, workplace standards, and associated disciplinary actions. Due to the operational nature of these matters, they are not appropriate for inclusion in the Louisiana Administrative Code. Drug testing for public employees is authorized by R.S. 49:1015, and, pursuant to that statute, the agency has established its substance abuse testing requirements through internal policy.</w:t>
      </w:r>
    </w:p>
    <w:p w14:paraId="2F30A64D" w14:textId="77777777" w:rsidR="00FC5566" w:rsidRPr="00FC5566" w:rsidRDefault="00FC5566" w:rsidP="00FC5566">
      <w:pPr>
        <w:ind w:left="288" w:hanging="288"/>
        <w:jc w:val="both"/>
        <w:rPr>
          <w:spacing w:val="-10"/>
          <w:sz w:val="18"/>
        </w:rPr>
      </w:pPr>
      <w:r w:rsidRPr="00FC5566">
        <w:rPr>
          <w:spacing w:val="-10"/>
          <w:sz w:val="18"/>
        </w:rPr>
        <w:t>II.</w:t>
      </w:r>
      <w:r w:rsidRPr="00FC5566">
        <w:rPr>
          <w:spacing w:val="-10"/>
          <w:sz w:val="18"/>
        </w:rPr>
        <w:tab/>
        <w:t>ESTIMATED EFFECT ON REVENUE COLLECTIONS OF STATE OR LOCAL GOVERNMENTAL UNITS (Summary)</w:t>
      </w:r>
    </w:p>
    <w:p w14:paraId="786897A9" w14:textId="77777777" w:rsidR="00FC5566" w:rsidRPr="00FC5566" w:rsidRDefault="00FC5566" w:rsidP="00FC5566">
      <w:pPr>
        <w:ind w:left="288" w:firstLine="288"/>
        <w:jc w:val="both"/>
        <w:rPr>
          <w:sz w:val="18"/>
        </w:rPr>
      </w:pPr>
      <w:r w:rsidRPr="00FC5566">
        <w:rPr>
          <w:sz w:val="18"/>
        </w:rPr>
        <w:t>There is no anticipated effect on revenue collections of state or local governmental units.</w:t>
      </w:r>
    </w:p>
    <w:p w14:paraId="5F8F175E" w14:textId="77777777" w:rsidR="00FC5566" w:rsidRPr="00FC5566" w:rsidRDefault="00FC5566" w:rsidP="00FC5566">
      <w:pPr>
        <w:ind w:left="288" w:hanging="288"/>
        <w:jc w:val="both"/>
        <w:rPr>
          <w:spacing w:val="-10"/>
          <w:sz w:val="18"/>
        </w:rPr>
      </w:pPr>
      <w:r w:rsidRPr="00FC5566">
        <w:rPr>
          <w:spacing w:val="-10"/>
          <w:sz w:val="18"/>
        </w:rPr>
        <w:t>III.</w:t>
      </w:r>
      <w:r w:rsidRPr="00FC5566">
        <w:rPr>
          <w:spacing w:val="-10"/>
          <w:sz w:val="18"/>
        </w:rPr>
        <w:tab/>
        <w:t>ESTIMATED COSTS AND/OR ECONOMIC BENEFITS TO DIRECTLY AFFECTED PERSONS, SMALL BUSINESSES, OR NONGOVERNMENTAL GROUPS (Summary)</w:t>
      </w:r>
    </w:p>
    <w:p w14:paraId="0F805D6C" w14:textId="77777777" w:rsidR="00FC5566" w:rsidRPr="00FC5566" w:rsidRDefault="00FC5566" w:rsidP="00FC5566">
      <w:pPr>
        <w:ind w:left="288" w:firstLine="288"/>
        <w:jc w:val="both"/>
        <w:rPr>
          <w:sz w:val="18"/>
        </w:rPr>
      </w:pPr>
      <w:bookmarkStart w:id="627" w:name="_Hlk233874661"/>
      <w:r w:rsidRPr="00FC5566">
        <w:rPr>
          <w:sz w:val="18"/>
        </w:rPr>
        <w:t>There are no anticipated costs or economic benefits to directly affected persons, small businesses, or non-governmental groups.</w:t>
      </w:r>
      <w:bookmarkEnd w:id="627"/>
    </w:p>
    <w:p w14:paraId="4A8CBDC4" w14:textId="77777777" w:rsidR="00FC5566" w:rsidRPr="00FC5566" w:rsidRDefault="00FC5566" w:rsidP="00FC5566">
      <w:pPr>
        <w:ind w:left="288" w:hanging="288"/>
        <w:jc w:val="both"/>
        <w:rPr>
          <w:spacing w:val="-10"/>
          <w:sz w:val="18"/>
        </w:rPr>
      </w:pPr>
      <w:r w:rsidRPr="00FC5566">
        <w:rPr>
          <w:spacing w:val="-10"/>
          <w:sz w:val="18"/>
        </w:rPr>
        <w:t>IV.</w:t>
      </w:r>
      <w:r w:rsidRPr="00FC5566">
        <w:rPr>
          <w:spacing w:val="-10"/>
          <w:sz w:val="18"/>
        </w:rPr>
        <w:tab/>
        <w:t>ESTIMATED EFFECT ON COMPETITION AND EMPLOYMENT (Summary)</w:t>
      </w:r>
    </w:p>
    <w:p w14:paraId="1458F7A0" w14:textId="77777777" w:rsidR="00FC5566" w:rsidRPr="00FC5566" w:rsidRDefault="00FC5566" w:rsidP="00FC5566">
      <w:pPr>
        <w:ind w:left="288" w:firstLine="288"/>
        <w:jc w:val="both"/>
        <w:rPr>
          <w:sz w:val="18"/>
        </w:rPr>
      </w:pPr>
      <w:r w:rsidRPr="00FC5566">
        <w:rPr>
          <w:sz w:val="18"/>
        </w:rPr>
        <w:t>Implementation of this proposed rule is not anticipated to have an effect on competition and employment.</w:t>
      </w:r>
    </w:p>
    <w:p w14:paraId="34206C6C" w14:textId="77777777" w:rsidR="00FC5566" w:rsidRPr="00FC5566" w:rsidRDefault="00FC5566" w:rsidP="00FC5566">
      <w:pPr>
        <w:ind w:left="288" w:firstLine="288"/>
        <w:jc w:val="both"/>
        <w:rPr>
          <w:sz w:val="18"/>
        </w:rPr>
      </w:pPr>
    </w:p>
    <w:p w14:paraId="5AEC4705" w14:textId="77777777" w:rsidR="00FC5566" w:rsidRPr="00FC5566" w:rsidRDefault="00FC5566" w:rsidP="00FC5566">
      <w:pPr>
        <w:tabs>
          <w:tab w:val="left" w:pos="2880"/>
          <w:tab w:val="decimal" w:pos="2988"/>
        </w:tabs>
        <w:outlineLvl w:val="8"/>
        <w:rPr>
          <w:kern w:val="2"/>
          <w:sz w:val="18"/>
        </w:rPr>
      </w:pPr>
      <w:r w:rsidRPr="00FC5566">
        <w:rPr>
          <w:kern w:val="2"/>
          <w:sz w:val="18"/>
        </w:rPr>
        <w:t>DeEdra Lamotte</w:t>
      </w:r>
      <w:r w:rsidRPr="00FC5566">
        <w:rPr>
          <w:kern w:val="2"/>
          <w:sz w:val="18"/>
        </w:rPr>
        <w:tab/>
        <w:t>Patrice Thomas</w:t>
      </w:r>
    </w:p>
    <w:p w14:paraId="356D7836" w14:textId="77777777" w:rsidR="00FC5566" w:rsidRPr="00FC5566" w:rsidRDefault="00FC5566" w:rsidP="00FC5566">
      <w:pPr>
        <w:tabs>
          <w:tab w:val="left" w:pos="2880"/>
          <w:tab w:val="decimal" w:pos="2988"/>
        </w:tabs>
        <w:outlineLvl w:val="8"/>
        <w:rPr>
          <w:kern w:val="2"/>
          <w:sz w:val="18"/>
        </w:rPr>
      </w:pPr>
      <w:r w:rsidRPr="00FC5566">
        <w:rPr>
          <w:kern w:val="2"/>
          <w:sz w:val="18"/>
        </w:rPr>
        <w:t>Deputy Undersecretary</w:t>
      </w:r>
      <w:r w:rsidRPr="00FC5566">
        <w:rPr>
          <w:kern w:val="2"/>
          <w:sz w:val="18"/>
        </w:rPr>
        <w:tab/>
        <w:t>Deputy Fiscal Officer</w:t>
      </w:r>
    </w:p>
    <w:p w14:paraId="43A990F3" w14:textId="77777777" w:rsidR="00FC5566" w:rsidRPr="00FC5566" w:rsidRDefault="00FC5566" w:rsidP="00FC5566">
      <w:pPr>
        <w:tabs>
          <w:tab w:val="left" w:pos="2880"/>
          <w:tab w:val="decimal" w:pos="2988"/>
        </w:tabs>
        <w:outlineLvl w:val="8"/>
        <w:rPr>
          <w:kern w:val="2"/>
          <w:sz w:val="18"/>
        </w:rPr>
      </w:pPr>
      <w:r w:rsidRPr="00FC5566">
        <w:rPr>
          <w:noProof/>
          <w:sz w:val="16"/>
        </w:rPr>
        <w:t>2608#038</w:t>
      </w:r>
      <w:r w:rsidRPr="00FC5566">
        <w:rPr>
          <w:kern w:val="2"/>
        </w:rPr>
        <w:tab/>
      </w:r>
      <w:r w:rsidRPr="00FC5566">
        <w:rPr>
          <w:kern w:val="2"/>
          <w:sz w:val="18"/>
        </w:rPr>
        <w:t>Legislative Fiscal Office</w:t>
      </w:r>
    </w:p>
    <w:p w14:paraId="5B2A923E" w14:textId="77777777" w:rsidR="00FC5566" w:rsidRPr="00FC5566" w:rsidRDefault="00FC5566" w:rsidP="00FC5566"/>
    <w:p w14:paraId="0B3937CF" w14:textId="77777777" w:rsidR="00FC5566" w:rsidRPr="00FC5566" w:rsidRDefault="00FC5566" w:rsidP="00FC5566">
      <w:pPr>
        <w:keepNext/>
        <w:tabs>
          <w:tab w:val="left" w:pos="-1440"/>
        </w:tabs>
        <w:spacing w:after="120"/>
        <w:jc w:val="center"/>
        <w:rPr>
          <w:b/>
          <w:noProof/>
        </w:rPr>
      </w:pPr>
      <w:r w:rsidRPr="00FC5566">
        <w:rPr>
          <w:b/>
          <w:noProof/>
        </w:rPr>
        <w:t>NOTICE OF INTENT</w:t>
      </w:r>
    </w:p>
    <w:p w14:paraId="2D1EA72A" w14:textId="77777777" w:rsidR="00FC5566" w:rsidRPr="00FC5566" w:rsidRDefault="00FC5566" w:rsidP="00FC5566">
      <w:pPr>
        <w:keepNext/>
        <w:jc w:val="center"/>
        <w:rPr>
          <w:b/>
          <w:noProof/>
        </w:rPr>
      </w:pPr>
      <w:r w:rsidRPr="00FC5566">
        <w:rPr>
          <w:b/>
          <w:noProof/>
        </w:rPr>
        <w:t>Department of Environmental Quality</w:t>
      </w:r>
    </w:p>
    <w:p w14:paraId="0BFFBB1F" w14:textId="77777777" w:rsidR="00FC5566" w:rsidRPr="00FC5566" w:rsidRDefault="00FC5566" w:rsidP="00FC5566">
      <w:pPr>
        <w:keepNext/>
        <w:jc w:val="center"/>
        <w:rPr>
          <w:b/>
          <w:noProof/>
        </w:rPr>
      </w:pPr>
      <w:r w:rsidRPr="00FC5566">
        <w:rPr>
          <w:b/>
          <w:noProof/>
        </w:rPr>
        <w:t>Office of the Secretary</w:t>
      </w:r>
    </w:p>
    <w:p w14:paraId="6CBA44F6" w14:textId="77777777" w:rsidR="00FC5566" w:rsidRPr="00FC5566" w:rsidRDefault="00FC5566" w:rsidP="00FC5566">
      <w:pPr>
        <w:keepNext/>
        <w:jc w:val="center"/>
        <w:rPr>
          <w:b/>
          <w:noProof/>
        </w:rPr>
      </w:pPr>
      <w:r w:rsidRPr="00FC5566">
        <w:rPr>
          <w:b/>
          <w:noProof/>
        </w:rPr>
        <w:t>Legal Affairs Division</w:t>
      </w:r>
    </w:p>
    <w:p w14:paraId="40F4941E" w14:textId="77777777" w:rsidR="00FC5566" w:rsidRPr="00FC5566" w:rsidRDefault="00FC5566" w:rsidP="00FC5566">
      <w:pPr>
        <w:keepNext/>
        <w:spacing w:before="240" w:after="240"/>
        <w:jc w:val="center"/>
        <w:rPr>
          <w:noProof/>
        </w:rPr>
      </w:pPr>
      <w:r w:rsidRPr="00FC5566">
        <w:rPr>
          <w:noProof/>
        </w:rPr>
        <w:t>Definitions (LAC 33:V.3813)</w:t>
      </w:r>
    </w:p>
    <w:p w14:paraId="01E31B6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 xml:space="preserve">Under the authority of the Louisiana Environmental Quality Act, R.S. 30:2001 et seq., and in accordance with the provisions of the Administrative Procedure Act, R.S. 49:950 et seq., the secretary gives notice that rulemaking procedures have been initiated to amend the </w:t>
      </w:r>
      <w:r w:rsidRPr="00FC5566">
        <w:rPr>
          <w:noProof/>
          <w:kern w:val="2"/>
        </w:rPr>
        <w:t>Hazardous Waste</w:t>
      </w:r>
      <w:r w:rsidRPr="00FC5566">
        <w:rPr>
          <w:kern w:val="2"/>
        </w:rPr>
        <w:t xml:space="preserve"> regulations, </w:t>
      </w:r>
      <w:r w:rsidRPr="00FC5566">
        <w:rPr>
          <w:noProof/>
          <w:kern w:val="2"/>
        </w:rPr>
        <w:t>LAC 33:V.3813</w:t>
      </w:r>
      <w:r w:rsidRPr="00FC5566">
        <w:rPr>
          <w:kern w:val="2"/>
        </w:rPr>
        <w:t xml:space="preserve"> (</w:t>
      </w:r>
      <w:r w:rsidRPr="00FC5566">
        <w:rPr>
          <w:noProof/>
          <w:kern w:val="2"/>
        </w:rPr>
        <w:t>HW141</w:t>
      </w:r>
      <w:r w:rsidRPr="00FC5566">
        <w:rPr>
          <w:kern w:val="2"/>
        </w:rPr>
        <w:t>).</w:t>
      </w:r>
    </w:p>
    <w:p w14:paraId="009E92A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noProof/>
          <w:kern w:val="2"/>
        </w:rPr>
        <w:t xml:space="preserve">Act 658 of the 2026 Regular Legislative Session facilitates recycling of electronics associated with renewable energy </w:t>
      </w:r>
      <w:r w:rsidRPr="00FC5566">
        <w:rPr>
          <w:noProof/>
          <w:kern w:val="2"/>
        </w:rPr>
        <w:t>resource components. The proposed Rule will update the current definition of electronics or electronic device. The previous definition was created prior to the widespread advent of utilizing renewable energy, which entails multiple forms of electronic devices that are valuable and can be recycled.</w:t>
      </w:r>
      <w:r w:rsidRPr="00FC5566">
        <w:rPr>
          <w:kern w:val="2"/>
        </w:rPr>
        <w:t xml:space="preserve"> </w:t>
      </w:r>
      <w:r w:rsidRPr="00FC5566">
        <w:rPr>
          <w:noProof/>
          <w:kern w:val="2"/>
        </w:rPr>
        <w:t>The basis and rationale for the proposed Rule are to facilitate the recycling of renewable energy resource electronic components.</w:t>
      </w:r>
      <w:r w:rsidRPr="00FC5566">
        <w:rPr>
          <w:kern w:val="2"/>
        </w:rPr>
        <w:t xml:space="preserve"> The proposed Rule meets an exception listed in R.S. 30:2019(D)(2) and R.S. 49:963.B(3); therefore, no report regarding environmental/health benefits and social/economic costs is required.</w:t>
      </w:r>
    </w:p>
    <w:p w14:paraId="5E6D343D" w14:textId="77777777" w:rsidR="00FC5566" w:rsidRPr="00FC5566" w:rsidRDefault="00FC5566" w:rsidP="00FC5566">
      <w:pPr>
        <w:keepNext/>
        <w:jc w:val="center"/>
        <w:rPr>
          <w:b/>
          <w:kern w:val="28"/>
        </w:rPr>
      </w:pPr>
      <w:r w:rsidRPr="00FC5566">
        <w:rPr>
          <w:b/>
          <w:kern w:val="28"/>
        </w:rPr>
        <w:t>Title 33</w:t>
      </w:r>
    </w:p>
    <w:p w14:paraId="1E79E6A4" w14:textId="77777777" w:rsidR="00FC5566" w:rsidRPr="00FC5566" w:rsidRDefault="00FC5566" w:rsidP="00FC5566">
      <w:pPr>
        <w:keepNext/>
        <w:jc w:val="center"/>
        <w:rPr>
          <w:b/>
          <w:kern w:val="28"/>
        </w:rPr>
      </w:pPr>
      <w:r w:rsidRPr="00FC5566">
        <w:rPr>
          <w:b/>
          <w:kern w:val="28"/>
        </w:rPr>
        <w:t>ENVIRONMENTAL QUALITY</w:t>
      </w:r>
    </w:p>
    <w:p w14:paraId="4591EA2F" w14:textId="77777777" w:rsidR="00FC5566" w:rsidRPr="00FC5566" w:rsidRDefault="00FC5566" w:rsidP="00FC5566">
      <w:pPr>
        <w:keepNext/>
        <w:jc w:val="center"/>
        <w:rPr>
          <w:b/>
          <w:noProof/>
        </w:rPr>
      </w:pPr>
      <w:r w:rsidRPr="00FC5566">
        <w:rPr>
          <w:b/>
          <w:noProof/>
        </w:rPr>
        <w:t>Part V.  Hazardous Waste and Hazardous Materials</w:t>
      </w:r>
    </w:p>
    <w:p w14:paraId="09D1E74B" w14:textId="77777777" w:rsidR="00FC5566" w:rsidRPr="00FC5566" w:rsidRDefault="00FC5566" w:rsidP="00FC5566">
      <w:pPr>
        <w:keepNext/>
        <w:jc w:val="center"/>
        <w:rPr>
          <w:b/>
          <w:noProof/>
        </w:rPr>
      </w:pPr>
      <w:bookmarkStart w:id="628" w:name="TOC_SubP1"/>
      <w:r w:rsidRPr="00FC5566">
        <w:rPr>
          <w:b/>
          <w:noProof/>
        </w:rPr>
        <w:t>Subpart 1.  Department of Environmental Quality—Hazardous Waste</w:t>
      </w:r>
      <w:bookmarkEnd w:id="628"/>
    </w:p>
    <w:p w14:paraId="54A2D008"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Chapter 38.</w:t>
      </w:r>
      <w:r w:rsidRPr="00FC5566">
        <w:rPr>
          <w:b/>
          <w:kern w:val="2"/>
        </w:rPr>
        <w:tab/>
        <w:t>Universal Wastes</w:t>
      </w:r>
    </w:p>
    <w:p w14:paraId="0513AE0F"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Subchapter A.</w:t>
      </w:r>
      <w:r w:rsidRPr="00FC5566">
        <w:rPr>
          <w:b/>
          <w:kern w:val="2"/>
        </w:rPr>
        <w:tab/>
        <w:t>General</w:t>
      </w:r>
    </w:p>
    <w:p w14:paraId="5F091F2F"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§3813.</w:t>
      </w:r>
      <w:r w:rsidRPr="00FC5566">
        <w:rPr>
          <w:b/>
          <w:kern w:val="2"/>
        </w:rPr>
        <w:tab/>
        <w:t>Definitions</w:t>
      </w:r>
    </w:p>
    <w:p w14:paraId="7BFE2E94"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FC5566">
        <w:rPr>
          <w:kern w:val="2"/>
        </w:rPr>
        <w:t>* * *</w:t>
      </w:r>
    </w:p>
    <w:p w14:paraId="614DE22B"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i/>
          <w:kern w:val="2"/>
        </w:rPr>
        <w:t>Electronics or Electronic Device</w:t>
      </w:r>
      <w:r w:rsidRPr="00FC5566">
        <w:rPr>
          <w:kern w:val="2"/>
        </w:rPr>
        <w:t>—a device or a component thereof that contains one or more circuit boards and is used primarily for:</w:t>
      </w:r>
    </w:p>
    <w:p w14:paraId="03EA75F3"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data transfer or storage, communication, or entertainment purposes, including but not limited to, desktop and laptop computers, computer peripherals, monitors, copying machines, scanners, printers, radios, televisions, camcorders, video cassette recorders (VCRs), compact disc players, digital video disc players, MP3 players, telephones, including cellular and portable telephones, and stereos; and/or</w:t>
      </w:r>
    </w:p>
    <w:p w14:paraId="54BB9516"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energy production, including but not limited to a: component from renewable energy production, energy transmission, and/or ancillary equipment associated with energy production and/or transmission.</w:t>
      </w:r>
    </w:p>
    <w:p w14:paraId="3B535478"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FC5566">
        <w:rPr>
          <w:kern w:val="2"/>
        </w:rPr>
        <w:t>* * *</w:t>
      </w:r>
    </w:p>
    <w:p w14:paraId="06DC5384"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30:2180 et seq.</w:t>
      </w:r>
    </w:p>
    <w:p w14:paraId="4D7CB33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Environmental Quality, Office of Solid and Hazardous Waste, Hazardous Waste Division, LR 23:570 (May 1997), amended by the Office of Waste Services, Hazardous Waste Division, LR 24:1760 (September 1998), amended by the Office of Environmental Assessment, Environmental Planning Division, LR 26:287 (February 2000), LR 27:302 (March 2001), amended by the Office of the Secretary, Legal Affairs Division, LR 31:3118 (December 2005), LR 51:1852 (November 2025), LR 52:</w:t>
      </w:r>
    </w:p>
    <w:p w14:paraId="43F40AAA" w14:textId="77777777" w:rsidR="00FC5566" w:rsidRPr="00FC5566" w:rsidRDefault="00FC5566" w:rsidP="00FC5566">
      <w:pPr>
        <w:keepNext/>
        <w:jc w:val="center"/>
        <w:rPr>
          <w:b/>
          <w:kern w:val="28"/>
        </w:rPr>
      </w:pPr>
      <w:r w:rsidRPr="00FC5566">
        <w:rPr>
          <w:b/>
          <w:kern w:val="28"/>
        </w:rPr>
        <w:t>Family Impact Statement</w:t>
      </w:r>
    </w:p>
    <w:p w14:paraId="0449F2C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The proposed Rule has no known impact on family formation, stability, and autonomy as described in R.S. 49:972.</w:t>
      </w:r>
    </w:p>
    <w:p w14:paraId="23F2852C" w14:textId="77777777" w:rsidR="00FC5566" w:rsidRPr="00FC5566" w:rsidRDefault="00FC5566" w:rsidP="00FC5566">
      <w:pPr>
        <w:keepNext/>
        <w:jc w:val="center"/>
        <w:rPr>
          <w:b/>
          <w:kern w:val="28"/>
        </w:rPr>
      </w:pPr>
      <w:r w:rsidRPr="00FC5566">
        <w:rPr>
          <w:b/>
          <w:kern w:val="28"/>
        </w:rPr>
        <w:t>Poverty Impact Statement</w:t>
      </w:r>
    </w:p>
    <w:p w14:paraId="29EB9F29" w14:textId="77777777" w:rsidR="00FC5566" w:rsidRPr="00FC5566" w:rsidRDefault="00FC5566" w:rsidP="00FC5566">
      <w:pPr>
        <w:tabs>
          <w:tab w:val="left" w:pos="144"/>
          <w:tab w:val="left" w:pos="187"/>
          <w:tab w:val="left" w:pos="540"/>
          <w:tab w:val="left" w:pos="907"/>
          <w:tab w:val="left" w:pos="1080"/>
        </w:tabs>
        <w:ind w:firstLine="187"/>
        <w:jc w:val="both"/>
        <w:outlineLvl w:val="3"/>
        <w:rPr>
          <w:color w:val="000000"/>
          <w:kern w:val="2"/>
        </w:rPr>
      </w:pPr>
      <w:r w:rsidRPr="00FC5566">
        <w:rPr>
          <w:kern w:val="2"/>
        </w:rPr>
        <w:t xml:space="preserve">The proposed Rule has no known impact on </w:t>
      </w:r>
      <w:r w:rsidRPr="00FC5566">
        <w:rPr>
          <w:color w:val="000000"/>
          <w:kern w:val="2"/>
        </w:rPr>
        <w:t>poverty as described in R.S. 49:973.</w:t>
      </w:r>
    </w:p>
    <w:p w14:paraId="4F45A7E2" w14:textId="77777777" w:rsidR="00FC5566" w:rsidRPr="00FC5566" w:rsidRDefault="00FC5566" w:rsidP="00FC5566">
      <w:pPr>
        <w:keepNext/>
        <w:jc w:val="center"/>
        <w:rPr>
          <w:b/>
          <w:kern w:val="28"/>
        </w:rPr>
      </w:pPr>
      <w:r w:rsidRPr="00FC5566">
        <w:rPr>
          <w:b/>
          <w:kern w:val="28"/>
        </w:rPr>
        <w:t>Small Business Analysis</w:t>
      </w:r>
    </w:p>
    <w:p w14:paraId="3E46679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color w:val="000000"/>
          <w:kern w:val="2"/>
        </w:rPr>
        <w:t xml:space="preserve">Small businesses should not be significantly impacted by the proposed Rule as described in </w:t>
      </w:r>
      <w:r w:rsidRPr="00FC5566">
        <w:rPr>
          <w:kern w:val="2"/>
        </w:rPr>
        <w:t>R.S. 49:974.1 - 974.8. This is a technical clarification in the universal waste category simplifying the handling of these items, reducing the regulatory burden compared to managing them as fully hazardous waste.</w:t>
      </w:r>
    </w:p>
    <w:p w14:paraId="2E00C135" w14:textId="77777777" w:rsidR="00FC5566" w:rsidRPr="00FC5566" w:rsidRDefault="00FC5566" w:rsidP="00FC5566">
      <w:pPr>
        <w:keepNext/>
        <w:jc w:val="center"/>
        <w:rPr>
          <w:b/>
          <w:kern w:val="28"/>
        </w:rPr>
      </w:pPr>
      <w:r w:rsidRPr="00FC5566">
        <w:rPr>
          <w:b/>
          <w:kern w:val="28"/>
        </w:rPr>
        <w:t>Provider Impact Statement</w:t>
      </w:r>
    </w:p>
    <w:p w14:paraId="6E00CE5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The proposed Rule has no known impact on providers as described in HCR 170 of 2014.</w:t>
      </w:r>
    </w:p>
    <w:p w14:paraId="2FF7DEE1" w14:textId="77777777" w:rsidR="00FC5566" w:rsidRPr="00FC5566" w:rsidRDefault="00FC5566" w:rsidP="00FC5566">
      <w:pPr>
        <w:keepNext/>
        <w:jc w:val="center"/>
        <w:rPr>
          <w:b/>
          <w:kern w:val="28"/>
        </w:rPr>
      </w:pPr>
      <w:r w:rsidRPr="00FC5566">
        <w:rPr>
          <w:b/>
          <w:kern w:val="28"/>
        </w:rPr>
        <w:lastRenderedPageBreak/>
        <w:t>Public Comments</w:t>
      </w:r>
    </w:p>
    <w:p w14:paraId="532E357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 xml:space="preserve">All interested persons are invited to submit written comments on the proposed Rule. Persons commenting should reference the proposed Rule by </w:t>
      </w:r>
      <w:r w:rsidRPr="00FC5566">
        <w:rPr>
          <w:noProof/>
          <w:kern w:val="2"/>
        </w:rPr>
        <w:t>HW141</w:t>
      </w:r>
      <w:r w:rsidRPr="00FC5566">
        <w:rPr>
          <w:kern w:val="2"/>
        </w:rPr>
        <w:t xml:space="preserve">. Such comments must be received no later than </w:t>
      </w:r>
      <w:r w:rsidRPr="00FC5566">
        <w:rPr>
          <w:noProof/>
          <w:kern w:val="2"/>
        </w:rPr>
        <w:t>October 6, 2026</w:t>
      </w:r>
      <w:r w:rsidRPr="00FC5566">
        <w:rPr>
          <w:kern w:val="2"/>
        </w:rPr>
        <w:t xml:space="preserve">, at 4:30 p.m., and should be sent to William Little, Attorney Supervisor, </w:t>
      </w:r>
      <w:r w:rsidRPr="00FC5566">
        <w:rPr>
          <w:kern w:val="2"/>
          <w:szCs w:val="24"/>
        </w:rPr>
        <w:t xml:space="preserve">Office of the Secretary, </w:t>
      </w:r>
      <w:r w:rsidRPr="00FC5566">
        <w:rPr>
          <w:kern w:val="2"/>
        </w:rPr>
        <w:t>Legal Affairs Division</w:t>
      </w:r>
      <w:r w:rsidRPr="00FC5566">
        <w:rPr>
          <w:kern w:val="2"/>
          <w:szCs w:val="24"/>
        </w:rPr>
        <w:t xml:space="preserve">, P.O. Box 4302, Baton Rouge, LA 70821-4302, by fax </w:t>
      </w:r>
      <w:r w:rsidRPr="00FC5566">
        <w:rPr>
          <w:kern w:val="2"/>
        </w:rPr>
        <w:t xml:space="preserve">(225) 219-4068, or by E-mail to DEQ.Reg.Dev.Comments@la.gov. Copies of the proposed Rule can be purchased by contacting the LDEQ Public Records Center at (225) 219-3168. Check or money order is required in advance for each copy of </w:t>
      </w:r>
      <w:r w:rsidRPr="00FC5566">
        <w:rPr>
          <w:noProof/>
          <w:kern w:val="2"/>
        </w:rPr>
        <w:t>HW141</w:t>
      </w:r>
      <w:r w:rsidRPr="00FC5566">
        <w:rPr>
          <w:kern w:val="2"/>
        </w:rPr>
        <w:t>. The proposed Rule is available on the Internet at https://www.deq.louisiana.gov/about-ldeq/monthly-regulation-changes-2026.</w:t>
      </w:r>
    </w:p>
    <w:p w14:paraId="2EC67E0F" w14:textId="77777777" w:rsidR="00FC5566" w:rsidRPr="00FC5566" w:rsidRDefault="00FC5566" w:rsidP="00FC5566">
      <w:pPr>
        <w:keepNext/>
        <w:jc w:val="center"/>
        <w:rPr>
          <w:b/>
          <w:kern w:val="28"/>
        </w:rPr>
      </w:pPr>
      <w:r w:rsidRPr="00FC5566">
        <w:rPr>
          <w:b/>
          <w:kern w:val="28"/>
        </w:rPr>
        <w:t>Public Hearing</w:t>
      </w:r>
    </w:p>
    <w:p w14:paraId="0FDEDF2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 xml:space="preserve">A public hearing will be held on </w:t>
      </w:r>
      <w:r w:rsidRPr="00FC5566">
        <w:rPr>
          <w:noProof/>
          <w:kern w:val="2"/>
        </w:rPr>
        <w:t>September 29, 2026</w:t>
      </w:r>
      <w:r w:rsidRPr="00FC5566">
        <w:rPr>
          <w:kern w:val="2"/>
        </w:rPr>
        <w:t xml:space="preserve">, at 1:30 p.m. in the Galvez Building, Conference Room 1051, 602 N. Fifth Street, Baton Rouge, LA 70802. Interested persons are invited to attend in person or online via Microsoft Teams at </w:t>
      </w:r>
      <w:r w:rsidRPr="00FC5566">
        <w:rPr>
          <w:kern w:val="2"/>
          <w:sz w:val="18"/>
          <w:szCs w:val="18"/>
        </w:rPr>
        <w:t xml:space="preserve">https://teams.microsoft.com/meet/258064616943533?p=5ue6C1ACMvfyjkFpE8 </w:t>
      </w:r>
      <w:r w:rsidRPr="00FC5566">
        <w:rPr>
          <w:kern w:val="2"/>
          <w:szCs w:val="24"/>
        </w:rPr>
        <w:t>Meeting ID: 258 064 616 943 533, Passcode: Bc2D3tG6 or</w:t>
      </w:r>
      <w:r w:rsidRPr="00FC5566">
        <w:rPr>
          <w:kern w:val="2"/>
        </w:rPr>
        <w:t xml:space="preserve"> by phone (872) 239-6160 using phone conference ID: 971 330 262#. Should individuals with a disability need an accommodation in order to participate, contact Doug Bordelon at the address given below or at (225) 219-1325.</w:t>
      </w:r>
    </w:p>
    <w:p w14:paraId="74232BCF"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The proposed Rule is available for inspection at the following LDEQ office locations from 8 a.m. until 4:30 p.m.: 602 N. Fifth Street, Baton Rouge, LA 70802; 508 Downing Pines Road, West Monroe, LA 71292; State Office Building, 1525 Fairfield Avenue, Shreveport, LA 71101; 1301 Gadwall Street, Lake Charles, LA 70615;</w:t>
      </w:r>
      <w:r w:rsidRPr="00FC5566">
        <w:rPr>
          <w:rFonts w:ascii="CG Times (W1)" w:hAnsi="CG Times (W1)"/>
          <w:kern w:val="2"/>
        </w:rPr>
        <w:t xml:space="preserve"> </w:t>
      </w:r>
      <w:r w:rsidRPr="00FC5566">
        <w:rPr>
          <w:kern w:val="2"/>
        </w:rPr>
        <w:t xml:space="preserve">111 New Center Drive, Lafayette, LA 70508; 110 Barataria Street, Lockport, LA 70374; </w:t>
      </w:r>
      <w:r w:rsidRPr="00FC5566">
        <w:rPr>
          <w:kern w:val="2"/>
          <w:szCs w:val="24"/>
        </w:rPr>
        <w:t>201 Evans Road, Bldg. 4, Suite 420, New Orleans, LA 70123</w:t>
      </w:r>
      <w:r w:rsidRPr="00FC5566">
        <w:rPr>
          <w:kern w:val="2"/>
        </w:rPr>
        <w:t>.</w:t>
      </w:r>
    </w:p>
    <w:p w14:paraId="0454AC33"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p w14:paraId="3F5EC7B7" w14:textId="77777777" w:rsidR="00FC5566" w:rsidRPr="00FC5566" w:rsidRDefault="00FC5566" w:rsidP="00FC5566">
      <w:pPr>
        <w:keepNext/>
        <w:ind w:left="2160"/>
        <w:jc w:val="both"/>
      </w:pPr>
      <w:r w:rsidRPr="00FC5566">
        <w:t>Jill C. Clark</w:t>
      </w:r>
    </w:p>
    <w:p w14:paraId="3220913F" w14:textId="77777777" w:rsidR="00FC5566" w:rsidRPr="00FC5566" w:rsidRDefault="00FC5566" w:rsidP="00FC5566">
      <w:pPr>
        <w:keepNext/>
        <w:ind w:left="2160"/>
        <w:jc w:val="both"/>
      </w:pPr>
      <w:r w:rsidRPr="00FC5566">
        <w:t>General Counsel</w:t>
      </w:r>
    </w:p>
    <w:p w14:paraId="2670E898" w14:textId="77777777" w:rsidR="00FC5566" w:rsidRPr="00FC5566" w:rsidRDefault="00FC5566" w:rsidP="00FC5566">
      <w:pPr>
        <w:keepNext/>
        <w:jc w:val="center"/>
        <w:rPr>
          <w:b/>
        </w:rPr>
      </w:pPr>
    </w:p>
    <w:p w14:paraId="5497C65D" w14:textId="77777777" w:rsidR="00FC5566" w:rsidRPr="00FC5566" w:rsidRDefault="00FC5566" w:rsidP="00FC5566">
      <w:pPr>
        <w:keepNext/>
        <w:jc w:val="center"/>
        <w:rPr>
          <w:b/>
        </w:rPr>
      </w:pPr>
      <w:r w:rsidRPr="00FC5566">
        <w:rPr>
          <w:b/>
        </w:rPr>
        <w:t>FISCAL AND ECONOMIC IMPACT STATEMENT FOR ADMINISTRATIVE RULES</w:t>
      </w:r>
    </w:p>
    <w:p w14:paraId="5DA1D1FF" w14:textId="77777777" w:rsidR="00FC5566" w:rsidRPr="00FC5566" w:rsidRDefault="00FC5566" w:rsidP="00FC5566">
      <w:pPr>
        <w:keepNext/>
        <w:jc w:val="center"/>
        <w:rPr>
          <w:b/>
          <w:noProof/>
        </w:rPr>
      </w:pPr>
      <w:r w:rsidRPr="00FC5566">
        <w:rPr>
          <w:b/>
          <w:noProof/>
        </w:rPr>
        <w:t>RULE TITLE:  Definitions</w:t>
      </w:r>
    </w:p>
    <w:p w14:paraId="24021947"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7F907302" w14:textId="77777777" w:rsidR="00FC5566" w:rsidRPr="00FC5566" w:rsidRDefault="00FC5566" w:rsidP="00FC5566">
      <w:pPr>
        <w:ind w:left="288" w:hanging="288"/>
        <w:jc w:val="both"/>
        <w:rPr>
          <w:spacing w:val="-10"/>
          <w:sz w:val="18"/>
        </w:rPr>
      </w:pPr>
      <w:r w:rsidRPr="00FC5566">
        <w:rPr>
          <w:spacing w:val="-10"/>
          <w:sz w:val="18"/>
        </w:rPr>
        <w:t>I.</w:t>
      </w:r>
      <w:r w:rsidRPr="00FC5566">
        <w:rPr>
          <w:spacing w:val="-10"/>
          <w:sz w:val="18"/>
        </w:rPr>
        <w:tab/>
        <w:t>ESTIMATED IMPLEMENTATION COSTS (SAVINGS) TO STATE OR LOCAL GOVERNMENT UNITS (Summary)</w:t>
      </w:r>
    </w:p>
    <w:p w14:paraId="63991919" w14:textId="77777777" w:rsidR="00FC5566" w:rsidRPr="00FC5566" w:rsidRDefault="00FC5566" w:rsidP="00FC5566">
      <w:pPr>
        <w:ind w:left="288" w:firstLine="288"/>
        <w:jc w:val="both"/>
        <w:rPr>
          <w:sz w:val="18"/>
        </w:rPr>
      </w:pPr>
      <w:r w:rsidRPr="00FC5566">
        <w:rPr>
          <w:sz w:val="18"/>
        </w:rPr>
        <w:t>The proposed rule change is not anticipated to impact costs or savings to state or local government units. The proposed rule change is a technical clarification of the definition of electronics and electronic devices in the existing definition of the universal waste regulations (LAC 33:V.3813.Definitions). The technical clarification of the definition of “Electronics or Electronic Devices” is proposed because the current definition was created before the widespread advent of utilizing renewable energy, which entails multiple forms of electronic devices that are valuable and can be recycled when decommissioned.</w:t>
      </w:r>
    </w:p>
    <w:p w14:paraId="0364BA37" w14:textId="77777777" w:rsidR="00FC5566" w:rsidRPr="00FC5566" w:rsidRDefault="00FC5566" w:rsidP="00FC5566">
      <w:pPr>
        <w:ind w:left="288" w:hanging="288"/>
        <w:jc w:val="both"/>
        <w:rPr>
          <w:spacing w:val="-10"/>
          <w:sz w:val="18"/>
        </w:rPr>
      </w:pPr>
      <w:r w:rsidRPr="00FC5566">
        <w:rPr>
          <w:spacing w:val="-10"/>
          <w:sz w:val="18"/>
        </w:rPr>
        <w:t>II.</w:t>
      </w:r>
      <w:r w:rsidRPr="00FC5566">
        <w:rPr>
          <w:spacing w:val="-10"/>
          <w:sz w:val="18"/>
        </w:rPr>
        <w:tab/>
        <w:t>ESTIMATED EFFECT ON REVENUE COLLECTIONS OF STATE OR LOCAL GOVERNMENTAL UNITS (Summary)</w:t>
      </w:r>
    </w:p>
    <w:p w14:paraId="4A487332" w14:textId="77777777" w:rsidR="00FC5566" w:rsidRPr="00FC5566" w:rsidRDefault="00FC5566" w:rsidP="00FC5566">
      <w:pPr>
        <w:ind w:left="288" w:firstLine="288"/>
        <w:jc w:val="both"/>
        <w:rPr>
          <w:sz w:val="18"/>
        </w:rPr>
      </w:pPr>
      <w:r w:rsidRPr="00FC5566">
        <w:rPr>
          <w:sz w:val="18"/>
        </w:rPr>
        <w:t>The proposed rule change is not anticipated to impact revenue collections of state or local government units. The proposed rule change is optional for facilities to implement and has no revenue mechanism provided for in the enabling legislation or these regulations.</w:t>
      </w:r>
    </w:p>
    <w:p w14:paraId="58782D3D" w14:textId="77777777" w:rsidR="00FC5566" w:rsidRPr="00FC5566" w:rsidRDefault="00FC5566" w:rsidP="00FC5566">
      <w:pPr>
        <w:ind w:left="288" w:hanging="288"/>
        <w:jc w:val="both"/>
        <w:rPr>
          <w:spacing w:val="-10"/>
          <w:sz w:val="18"/>
        </w:rPr>
      </w:pPr>
      <w:r w:rsidRPr="00FC5566">
        <w:rPr>
          <w:spacing w:val="-10"/>
          <w:sz w:val="18"/>
        </w:rPr>
        <w:t>III.</w:t>
      </w:r>
      <w:r w:rsidRPr="00FC5566">
        <w:rPr>
          <w:spacing w:val="-10"/>
          <w:sz w:val="18"/>
        </w:rPr>
        <w:tab/>
        <w:t>ESTIMATED COSTS AND/OR ECONOMIC BENEFITS TO DIRECTLY AFFECTED PERSONS, SMALL BUSINESSES, OR NONGOVERNMENTAL GROUPS (Summary)</w:t>
      </w:r>
    </w:p>
    <w:p w14:paraId="156C6277" w14:textId="77777777" w:rsidR="00FC5566" w:rsidRPr="00FC5566" w:rsidRDefault="00FC5566" w:rsidP="00FC5566">
      <w:pPr>
        <w:ind w:left="288" w:firstLine="288"/>
        <w:jc w:val="both"/>
        <w:rPr>
          <w:sz w:val="18"/>
        </w:rPr>
      </w:pPr>
      <w:r w:rsidRPr="00FC5566">
        <w:rPr>
          <w:sz w:val="18"/>
        </w:rPr>
        <w:t>The proposed rule change may benefit facilities that process electronics. Managing decommissioned electronics and electronic devices as universal waste is optional, but may bring benefits to businesses. If implemented, this approach simplifies storage requirements and reduces transportation and disposal costs. If industries choose to apply the rule, retail and manufacturing businesses may benefit from cost savings, while waste management and recycling companies may experience growth opportunities.</w:t>
      </w:r>
    </w:p>
    <w:p w14:paraId="7A0A38E2" w14:textId="77777777" w:rsidR="00FC5566" w:rsidRPr="00FC5566" w:rsidRDefault="00FC5566" w:rsidP="00FC5566">
      <w:pPr>
        <w:ind w:left="288" w:hanging="288"/>
        <w:jc w:val="both"/>
        <w:rPr>
          <w:spacing w:val="-10"/>
          <w:sz w:val="18"/>
        </w:rPr>
      </w:pPr>
      <w:r w:rsidRPr="00FC5566">
        <w:rPr>
          <w:spacing w:val="-10"/>
          <w:sz w:val="18"/>
        </w:rPr>
        <w:t>IV.</w:t>
      </w:r>
      <w:r w:rsidRPr="00FC5566">
        <w:rPr>
          <w:spacing w:val="-10"/>
          <w:sz w:val="18"/>
        </w:rPr>
        <w:tab/>
        <w:t>ESTIMATED EFFECT ON COMPETITION AND EMPLOYMENT (Summary)</w:t>
      </w:r>
    </w:p>
    <w:p w14:paraId="75352524" w14:textId="77777777" w:rsidR="00FC5566" w:rsidRPr="00FC5566" w:rsidRDefault="00FC5566" w:rsidP="00FC5566">
      <w:pPr>
        <w:ind w:left="288" w:firstLine="288"/>
        <w:jc w:val="both"/>
        <w:rPr>
          <w:sz w:val="18"/>
        </w:rPr>
      </w:pPr>
      <w:r w:rsidRPr="00FC5566">
        <w:rPr>
          <w:sz w:val="18"/>
        </w:rPr>
        <w:t>The proposed rule change may boost recycling sectors by increasing the collection and recycling of electronics and electronic devices, including those generated from renewable energy resource components, thereby fostering new businesses and competition for waste management and recycling companies.</w:t>
      </w:r>
    </w:p>
    <w:p w14:paraId="12DEDDC7" w14:textId="77777777" w:rsidR="00FC5566" w:rsidRPr="00FC5566" w:rsidRDefault="00FC5566" w:rsidP="00FC5566">
      <w:pPr>
        <w:ind w:left="288" w:firstLine="288"/>
        <w:jc w:val="both"/>
        <w:rPr>
          <w:sz w:val="18"/>
        </w:rPr>
      </w:pPr>
    </w:p>
    <w:p w14:paraId="0AEECCF9" w14:textId="77777777" w:rsidR="00FC5566" w:rsidRPr="00FC5566" w:rsidRDefault="00FC5566" w:rsidP="00FC5566">
      <w:pPr>
        <w:tabs>
          <w:tab w:val="left" w:pos="2880"/>
          <w:tab w:val="decimal" w:pos="2988"/>
        </w:tabs>
        <w:outlineLvl w:val="8"/>
        <w:rPr>
          <w:kern w:val="2"/>
          <w:sz w:val="18"/>
        </w:rPr>
      </w:pPr>
      <w:r w:rsidRPr="00FC5566">
        <w:rPr>
          <w:kern w:val="2"/>
          <w:sz w:val="18"/>
        </w:rPr>
        <w:t>Jill C. Counsel</w:t>
      </w:r>
      <w:r w:rsidRPr="00FC5566">
        <w:rPr>
          <w:kern w:val="2"/>
          <w:sz w:val="18"/>
        </w:rPr>
        <w:tab/>
        <w:t>Patrice Thomas</w:t>
      </w:r>
    </w:p>
    <w:p w14:paraId="063A3059" w14:textId="77777777" w:rsidR="00FC5566" w:rsidRPr="00FC5566" w:rsidRDefault="00FC5566" w:rsidP="00FC5566">
      <w:pPr>
        <w:tabs>
          <w:tab w:val="left" w:pos="2880"/>
          <w:tab w:val="decimal" w:pos="2988"/>
        </w:tabs>
        <w:outlineLvl w:val="8"/>
        <w:rPr>
          <w:kern w:val="2"/>
          <w:sz w:val="18"/>
        </w:rPr>
      </w:pPr>
      <w:r w:rsidRPr="00FC5566">
        <w:rPr>
          <w:kern w:val="2"/>
          <w:sz w:val="18"/>
        </w:rPr>
        <w:t>General Counsel</w:t>
      </w:r>
      <w:r w:rsidRPr="00FC5566">
        <w:rPr>
          <w:kern w:val="2"/>
          <w:sz w:val="18"/>
        </w:rPr>
        <w:tab/>
        <w:t>Deputy Fiscal Officer</w:t>
      </w:r>
    </w:p>
    <w:p w14:paraId="015D692E" w14:textId="77777777" w:rsidR="00FC5566" w:rsidRPr="00FC5566" w:rsidRDefault="00FC5566" w:rsidP="00FC5566">
      <w:pPr>
        <w:tabs>
          <w:tab w:val="left" w:pos="2880"/>
          <w:tab w:val="decimal" w:pos="2988"/>
        </w:tabs>
        <w:outlineLvl w:val="8"/>
        <w:rPr>
          <w:kern w:val="2"/>
          <w:sz w:val="18"/>
        </w:rPr>
      </w:pPr>
      <w:r w:rsidRPr="00FC5566">
        <w:rPr>
          <w:noProof/>
          <w:sz w:val="16"/>
        </w:rPr>
        <w:t>2608#043</w:t>
      </w:r>
      <w:r w:rsidRPr="00FC5566">
        <w:rPr>
          <w:kern w:val="2"/>
        </w:rPr>
        <w:tab/>
      </w:r>
      <w:r w:rsidRPr="00FC5566">
        <w:rPr>
          <w:kern w:val="2"/>
          <w:sz w:val="18"/>
        </w:rPr>
        <w:t>Legislative Fiscal Office</w:t>
      </w:r>
    </w:p>
    <w:p w14:paraId="7798A894" w14:textId="77777777" w:rsidR="00FC5566" w:rsidRPr="00FC5566" w:rsidRDefault="00FC5566" w:rsidP="00FC5566"/>
    <w:p w14:paraId="36882FAD" w14:textId="77777777" w:rsidR="00FC5566" w:rsidRPr="00FC5566" w:rsidRDefault="00FC5566" w:rsidP="00FC5566">
      <w:pPr>
        <w:keepNext/>
        <w:tabs>
          <w:tab w:val="left" w:pos="-1440"/>
        </w:tabs>
        <w:spacing w:after="120"/>
        <w:jc w:val="center"/>
        <w:rPr>
          <w:b/>
          <w:noProof/>
        </w:rPr>
      </w:pPr>
      <w:r w:rsidRPr="00FC5566">
        <w:rPr>
          <w:b/>
          <w:noProof/>
        </w:rPr>
        <w:t>NOTICE OF INTENT</w:t>
      </w:r>
    </w:p>
    <w:p w14:paraId="2199D33F" w14:textId="77777777" w:rsidR="00FC5566" w:rsidRPr="00FC5566" w:rsidRDefault="00FC5566" w:rsidP="00FC5566">
      <w:pPr>
        <w:keepNext/>
        <w:jc w:val="center"/>
        <w:rPr>
          <w:b/>
          <w:noProof/>
        </w:rPr>
      </w:pPr>
      <w:r w:rsidRPr="00FC5566">
        <w:rPr>
          <w:b/>
          <w:noProof/>
        </w:rPr>
        <w:t>Office of the Governor</w:t>
      </w:r>
    </w:p>
    <w:p w14:paraId="2549D1BC" w14:textId="77777777" w:rsidR="00FC5566" w:rsidRPr="00FC5566" w:rsidRDefault="00FC5566" w:rsidP="00FC5566">
      <w:pPr>
        <w:keepNext/>
        <w:jc w:val="center"/>
        <w:rPr>
          <w:b/>
          <w:noProof/>
        </w:rPr>
      </w:pPr>
      <w:r w:rsidRPr="00FC5566">
        <w:rPr>
          <w:b/>
          <w:noProof/>
        </w:rPr>
        <w:t>Office of Elderly Affairs</w:t>
      </w:r>
    </w:p>
    <w:p w14:paraId="1BFFD578" w14:textId="77777777" w:rsidR="00FC5566" w:rsidRPr="00FC5566" w:rsidRDefault="00FC5566" w:rsidP="00FC5566">
      <w:pPr>
        <w:keepNext/>
        <w:spacing w:before="240" w:after="240"/>
        <w:jc w:val="center"/>
        <w:rPr>
          <w:noProof/>
        </w:rPr>
      </w:pPr>
      <w:r w:rsidRPr="00FC5566">
        <w:rPr>
          <w:noProof/>
        </w:rPr>
        <w:t xml:space="preserve">Office of Elderly Affairs </w:t>
      </w:r>
      <w:r w:rsidRPr="00FC5566">
        <w:rPr>
          <w:noProof/>
        </w:rPr>
        <w:br/>
        <w:t>(LAC 4:VII.1101, 1229, 1281, and 1283)</w:t>
      </w:r>
    </w:p>
    <w:p w14:paraId="40AD0A9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In accordance with the Administrative Procedure Act, R.S. 49:950 et seq., the Office of the Governor, Office of Elderly Affairs (“GOEA”) has amended LAC 4:VII.1101, 1229, 1281, and 1283. These amendments repeal the sections and are adopted on the date of promulgation.</w:t>
      </w:r>
    </w:p>
    <w:p w14:paraId="497C7DA7" w14:textId="77777777" w:rsidR="00FC5566" w:rsidRPr="00FC5566" w:rsidRDefault="00FC5566" w:rsidP="00FC5566">
      <w:pPr>
        <w:keepNext/>
        <w:jc w:val="center"/>
        <w:rPr>
          <w:b/>
          <w:kern w:val="28"/>
        </w:rPr>
      </w:pPr>
      <w:r w:rsidRPr="00FC5566">
        <w:rPr>
          <w:b/>
          <w:kern w:val="28"/>
        </w:rPr>
        <w:t>Title 4</w:t>
      </w:r>
    </w:p>
    <w:p w14:paraId="47ED42FD" w14:textId="77777777" w:rsidR="00FC5566" w:rsidRPr="00FC5566" w:rsidRDefault="00FC5566" w:rsidP="00FC5566">
      <w:pPr>
        <w:keepNext/>
        <w:jc w:val="center"/>
        <w:rPr>
          <w:b/>
          <w:kern w:val="28"/>
        </w:rPr>
      </w:pPr>
      <w:r w:rsidRPr="00FC5566">
        <w:rPr>
          <w:b/>
          <w:kern w:val="28"/>
        </w:rPr>
        <w:t>ADMINISTRATION</w:t>
      </w:r>
    </w:p>
    <w:p w14:paraId="742FBD26" w14:textId="77777777" w:rsidR="00FC5566" w:rsidRPr="00FC5566" w:rsidRDefault="00FC5566" w:rsidP="00FC5566">
      <w:pPr>
        <w:keepNext/>
        <w:jc w:val="center"/>
        <w:rPr>
          <w:b/>
          <w:noProof/>
        </w:rPr>
      </w:pPr>
      <w:r w:rsidRPr="00FC5566">
        <w:rPr>
          <w:b/>
          <w:noProof/>
        </w:rPr>
        <w:t>Part VII.  Governor’s Office</w:t>
      </w:r>
    </w:p>
    <w:p w14:paraId="66784174"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629" w:name="_Toc182996843"/>
      <w:bookmarkStart w:id="630" w:name="_Toc210119582"/>
      <w:r w:rsidRPr="00FC5566">
        <w:rPr>
          <w:b/>
          <w:kern w:val="2"/>
        </w:rPr>
        <w:t>Chapter 11.</w:t>
      </w:r>
      <w:r w:rsidRPr="00FC5566">
        <w:rPr>
          <w:b/>
          <w:kern w:val="2"/>
        </w:rPr>
        <w:tab/>
        <w:t>Elderly Affairs</w:t>
      </w:r>
    </w:p>
    <w:p w14:paraId="2E73F9A6"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Subchapter A.</w:t>
      </w:r>
      <w:r w:rsidRPr="00FC5566">
        <w:rPr>
          <w:b/>
          <w:kern w:val="2"/>
        </w:rPr>
        <w:tab/>
        <w:t>State Agency on Aging</w:t>
      </w:r>
    </w:p>
    <w:p w14:paraId="323D2E78"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w:t>
      </w:r>
      <w:bookmarkEnd w:id="629"/>
      <w:bookmarkEnd w:id="630"/>
      <w:r w:rsidRPr="00FC5566">
        <w:rPr>
          <w:b/>
          <w:kern w:val="2"/>
        </w:rPr>
        <w:t>1101.</w:t>
      </w:r>
      <w:r w:rsidRPr="00FC5566">
        <w:rPr>
          <w:b/>
          <w:kern w:val="2"/>
        </w:rPr>
        <w:tab/>
        <w:t>Office of Elderly Affairs</w:t>
      </w:r>
    </w:p>
    <w:p w14:paraId="702C914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Repealed.</w:t>
      </w:r>
    </w:p>
    <w:p w14:paraId="78CE28E8"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46:931 to R.S. 46:935, R.S. 14:403.2, OAA Sections 203, 305, 307 and 731, and 45 CFR 1321.</w:t>
      </w:r>
    </w:p>
    <w:p w14:paraId="18043D80"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spacing w:val="-2"/>
          <w:kern w:val="2"/>
          <w:sz w:val="18"/>
        </w:rPr>
      </w:pPr>
      <w:r w:rsidRPr="00FC5566">
        <w:rPr>
          <w:kern w:val="2"/>
          <w:sz w:val="18"/>
        </w:rPr>
        <w:t>HISTORICAL NOTE:</w:t>
      </w:r>
      <w:r w:rsidRPr="00FC5566">
        <w:rPr>
          <w:kern w:val="2"/>
          <w:sz w:val="18"/>
        </w:rPr>
        <w:tab/>
        <w:t>Promulgated by the Office of the Governor, Office of Elderly Affairs, LR 10:464 (June 1984), amended LR 11:1078 (November 1985), LR 25:2199 (November 1999), LR 28:1016 (May 2002), LR 31:1330 (June 2005), LR 42:1508 (September 2016)</w:t>
      </w:r>
      <w:r w:rsidRPr="00FC5566">
        <w:rPr>
          <w:spacing w:val="-2"/>
          <w:kern w:val="2"/>
          <w:sz w:val="18"/>
        </w:rPr>
        <w:t>, repealed LR 52:</w:t>
      </w:r>
    </w:p>
    <w:p w14:paraId="75B81CA8"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631" w:name="_Toc182996844"/>
      <w:bookmarkStart w:id="632" w:name="_Toc210119583"/>
      <w:r w:rsidRPr="00FC5566">
        <w:rPr>
          <w:b/>
          <w:kern w:val="2"/>
        </w:rPr>
        <w:t>Subchapter C.</w:t>
      </w:r>
      <w:r w:rsidRPr="00FC5566">
        <w:rPr>
          <w:b/>
          <w:kern w:val="2"/>
        </w:rPr>
        <w:tab/>
        <w:t>Councils on Aging</w:t>
      </w:r>
    </w:p>
    <w:p w14:paraId="33304BF9"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w:t>
      </w:r>
      <w:bookmarkEnd w:id="631"/>
      <w:bookmarkEnd w:id="632"/>
      <w:r w:rsidRPr="00FC5566">
        <w:rPr>
          <w:b/>
          <w:kern w:val="2"/>
        </w:rPr>
        <w:t>1229.</w:t>
      </w:r>
      <w:r w:rsidRPr="00FC5566">
        <w:rPr>
          <w:b/>
          <w:kern w:val="2"/>
        </w:rPr>
        <w:tab/>
        <w:t>Office of the Long-Term Care Ombudsman</w:t>
      </w:r>
    </w:p>
    <w:p w14:paraId="5EDF5B82"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Repealed.</w:t>
      </w:r>
    </w:p>
    <w:p w14:paraId="39C67214"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 Promulgated in accordance with R.S. 49:2010.4 and OAA Section 307(a)(12)</w:t>
      </w:r>
    </w:p>
    <w:p w14:paraId="0D1339AB"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 Promulgated by the Office of the Governor, Office of Elderly Affairs, LR 10:464 (June 1984), amended LR 11:35 (January 1985), LR 11:1078 (November 1985), LR 13:742 (December 1987), LR 15:379 (May 1989), LR 17:600 (June 1991), repromulgated LR 17:661 (July 1991), amended LR 18:267 (March 1992), LR 24:1928 (October 1998), LR 28:1018 (May 2002), LR 42:1513 (September 2016), repealed LR 52:</w:t>
      </w:r>
    </w:p>
    <w:p w14:paraId="359804C7"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lastRenderedPageBreak/>
        <w:t>Subchapter G.</w:t>
      </w:r>
      <w:r w:rsidRPr="00FC5566">
        <w:rPr>
          <w:b/>
          <w:kern w:val="2"/>
        </w:rPr>
        <w:tab/>
        <w:t>Drug Testing for Employees</w:t>
      </w:r>
    </w:p>
    <w:p w14:paraId="23FC0DDA"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§1281.</w:t>
      </w:r>
      <w:r w:rsidRPr="00FC5566">
        <w:rPr>
          <w:b/>
          <w:kern w:val="2"/>
        </w:rPr>
        <w:tab/>
        <w:t>Definitions</w:t>
      </w:r>
    </w:p>
    <w:p w14:paraId="17AC299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Repealed.</w:t>
      </w:r>
    </w:p>
    <w:p w14:paraId="42C3F43F"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 Promulgated in accordance with Executive Order MFJ 98-38 and R.S.49:1015 et seq.</w:t>
      </w:r>
    </w:p>
    <w:p w14:paraId="727DFAC9"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Office of the Governor, Office Elderly Affairs, LR 28:2510 (December 2002), repealed LR 52:</w:t>
      </w:r>
    </w:p>
    <w:p w14:paraId="660AF26B"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§1283.</w:t>
      </w:r>
      <w:r w:rsidRPr="00FC5566">
        <w:rPr>
          <w:b/>
          <w:kern w:val="2"/>
        </w:rPr>
        <w:tab/>
        <w:t>Policy Provisions</w:t>
      </w:r>
    </w:p>
    <w:p w14:paraId="4D02E762"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Repealed.</w:t>
      </w:r>
    </w:p>
    <w:p w14:paraId="037385C1"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 Promulgated in accordance with Executive Order MFJ 98-38 and R.S. 49:1015 et seq.</w:t>
      </w:r>
    </w:p>
    <w:p w14:paraId="01DEE6DA"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Office of the Governor, Office Elderly Affairs, LR 28:2510 (December 2002), repealed LR 52:</w:t>
      </w:r>
    </w:p>
    <w:p w14:paraId="5F4AF357" w14:textId="77777777" w:rsidR="00FC5566" w:rsidRPr="00FC5566" w:rsidRDefault="00FC5566" w:rsidP="00FC5566">
      <w:pPr>
        <w:keepNext/>
        <w:jc w:val="center"/>
        <w:rPr>
          <w:b/>
          <w:kern w:val="28"/>
        </w:rPr>
      </w:pPr>
      <w:r w:rsidRPr="00FC5566">
        <w:rPr>
          <w:b/>
          <w:kern w:val="28"/>
        </w:rPr>
        <w:t>Family Impact Statement</w:t>
      </w:r>
    </w:p>
    <w:p w14:paraId="596628A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 xml:space="preserve">The proposed repeals should not have any known or foreseeable impact on family formation, stability, and autonomy. In particular, the proposed repeals have no known or foreseeable impact on: </w:t>
      </w:r>
    </w:p>
    <w:p w14:paraId="3F324331"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bCs/>
          <w:kern w:val="2"/>
        </w:rPr>
        <w:tab/>
      </w:r>
      <w:r w:rsidRPr="00FC5566">
        <w:rPr>
          <w:kern w:val="2"/>
        </w:rPr>
        <w:t xml:space="preserve">the stability of the family; </w:t>
      </w:r>
    </w:p>
    <w:p w14:paraId="0648954E"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bCs/>
          <w:kern w:val="2"/>
        </w:rPr>
        <w:tab/>
      </w:r>
      <w:r w:rsidRPr="00FC5566">
        <w:rPr>
          <w:kern w:val="2"/>
        </w:rPr>
        <w:t xml:space="preserve">the authority and rights of persons regarding the education and supervision of their children; </w:t>
      </w:r>
    </w:p>
    <w:p w14:paraId="29949765"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bCs/>
          <w:kern w:val="2"/>
        </w:rPr>
        <w:tab/>
      </w:r>
      <w:r w:rsidRPr="00FC5566">
        <w:rPr>
          <w:kern w:val="2"/>
        </w:rPr>
        <w:t xml:space="preserve">the functioning of the family; </w:t>
      </w:r>
    </w:p>
    <w:p w14:paraId="4480D129"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w:t>
      </w:r>
      <w:r w:rsidRPr="00FC5566">
        <w:rPr>
          <w:bCs/>
          <w:kern w:val="2"/>
        </w:rPr>
        <w:tab/>
      </w:r>
      <w:r w:rsidRPr="00FC5566">
        <w:rPr>
          <w:kern w:val="2"/>
        </w:rPr>
        <w:t>family earnings and family budget;</w:t>
      </w:r>
    </w:p>
    <w:p w14:paraId="1CE4F913"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5.</w:t>
      </w:r>
      <w:r w:rsidRPr="00FC5566">
        <w:rPr>
          <w:bCs/>
          <w:kern w:val="2"/>
        </w:rPr>
        <w:tab/>
      </w:r>
      <w:r w:rsidRPr="00FC5566">
        <w:rPr>
          <w:kern w:val="2"/>
        </w:rPr>
        <w:t>the behavior and personal responsibility of children;</w:t>
      </w:r>
    </w:p>
    <w:p w14:paraId="173405F4"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6.</w:t>
      </w:r>
      <w:r w:rsidRPr="00FC5566">
        <w:rPr>
          <w:bCs/>
          <w:kern w:val="2"/>
        </w:rPr>
        <w:tab/>
      </w:r>
      <w:r w:rsidRPr="00FC5566">
        <w:rPr>
          <w:kern w:val="2"/>
        </w:rPr>
        <w:t>the ability of the family or a local government to perform the function as contained in the proposed Rule.</w:t>
      </w:r>
    </w:p>
    <w:p w14:paraId="41D51005" w14:textId="77777777" w:rsidR="00FC5566" w:rsidRPr="00FC5566" w:rsidRDefault="00FC5566" w:rsidP="00FC5566">
      <w:pPr>
        <w:keepNext/>
        <w:jc w:val="center"/>
        <w:rPr>
          <w:b/>
          <w:kern w:val="28"/>
        </w:rPr>
      </w:pPr>
      <w:r w:rsidRPr="00FC5566">
        <w:rPr>
          <w:b/>
          <w:kern w:val="28"/>
        </w:rPr>
        <w:t>Poverty Impact Statement</w:t>
      </w:r>
    </w:p>
    <w:p w14:paraId="25D47A5E"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 xml:space="preserve">The proposed repeals should not have any known or foreseeable impact on any child, individual or family as defined by R.S. 49:973(B). In particular, there should be no known or foreseeable effect on: </w:t>
      </w:r>
    </w:p>
    <w:p w14:paraId="636726DD"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bCs/>
          <w:kern w:val="2"/>
        </w:rPr>
        <w:tab/>
      </w:r>
      <w:r w:rsidRPr="00FC5566">
        <w:rPr>
          <w:kern w:val="2"/>
        </w:rPr>
        <w:t>the effect on household income, assets, and financial security;</w:t>
      </w:r>
    </w:p>
    <w:p w14:paraId="074AC767"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bCs/>
          <w:kern w:val="2"/>
        </w:rPr>
        <w:tab/>
      </w:r>
      <w:r w:rsidRPr="00FC5566">
        <w:rPr>
          <w:kern w:val="2"/>
        </w:rPr>
        <w:t>the effect on early childhood development and preschool through postsecondary education development;</w:t>
      </w:r>
    </w:p>
    <w:p w14:paraId="5AD06919"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the effect on employment and workforce development;</w:t>
      </w:r>
    </w:p>
    <w:p w14:paraId="085CC425"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w:t>
      </w:r>
      <w:r w:rsidRPr="00FC5566">
        <w:rPr>
          <w:bCs/>
          <w:kern w:val="2"/>
        </w:rPr>
        <w:tab/>
      </w:r>
      <w:r w:rsidRPr="00FC5566">
        <w:rPr>
          <w:kern w:val="2"/>
        </w:rPr>
        <w:t>the effect on taxes and tax credits;</w:t>
      </w:r>
    </w:p>
    <w:p w14:paraId="69DD6DAC"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5.</w:t>
      </w:r>
      <w:r w:rsidRPr="00FC5566">
        <w:rPr>
          <w:kern w:val="2"/>
        </w:rPr>
        <w:tab/>
        <w:t>the effect on child and dependent care, housing, health care, nutrition, transportation, and utilities assistance.</w:t>
      </w:r>
    </w:p>
    <w:p w14:paraId="6EC53C18" w14:textId="77777777" w:rsidR="00FC5566" w:rsidRPr="00FC5566" w:rsidRDefault="00FC5566" w:rsidP="00FC5566">
      <w:pPr>
        <w:keepNext/>
        <w:jc w:val="center"/>
        <w:rPr>
          <w:b/>
          <w:kern w:val="28"/>
        </w:rPr>
      </w:pPr>
      <w:r w:rsidRPr="00FC5566">
        <w:rPr>
          <w:b/>
          <w:kern w:val="28"/>
        </w:rPr>
        <w:t>Small Business Analysis</w:t>
      </w:r>
    </w:p>
    <w:p w14:paraId="1F9F520B"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The proposed repeals should have no adverse impact on small businesses as defined in the Regulatory Flexibility Act.</w:t>
      </w:r>
    </w:p>
    <w:p w14:paraId="3E1B2412" w14:textId="77777777" w:rsidR="00FC5566" w:rsidRPr="00FC5566" w:rsidRDefault="00FC5566" w:rsidP="00FC5566">
      <w:pPr>
        <w:keepNext/>
        <w:jc w:val="center"/>
        <w:rPr>
          <w:b/>
          <w:kern w:val="28"/>
        </w:rPr>
      </w:pPr>
      <w:r w:rsidRPr="00FC5566">
        <w:rPr>
          <w:b/>
          <w:kern w:val="28"/>
        </w:rPr>
        <w:t>Provider Impact Statement</w:t>
      </w:r>
    </w:p>
    <w:p w14:paraId="3243A998"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The proposed repeals should not have any known or foreseeable impact on providers as defined by HCR 170 of the 2014 Regular Legislative Session. In particular, there should be no known or foreseeable effect on:</w:t>
      </w:r>
    </w:p>
    <w:p w14:paraId="68CE0B00"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bCs/>
          <w:kern w:val="2"/>
        </w:rPr>
        <w:tab/>
      </w:r>
      <w:r w:rsidRPr="00FC5566">
        <w:rPr>
          <w:kern w:val="2"/>
        </w:rPr>
        <w:t>the effect on the staffing level requirements or qualifications required to provide the same level of service;</w:t>
      </w:r>
    </w:p>
    <w:p w14:paraId="4388F696"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the total direct and indirect effect on the cost to the providers to provide the same level of service; or</w:t>
      </w:r>
    </w:p>
    <w:p w14:paraId="7868AE6F"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 xml:space="preserve">the overall effect on the ability of the provider to provide the same level of service. </w:t>
      </w:r>
    </w:p>
    <w:p w14:paraId="62F8BF46" w14:textId="77777777" w:rsidR="00FC5566" w:rsidRPr="00FC5566" w:rsidRDefault="00FC5566" w:rsidP="00FC5566">
      <w:pPr>
        <w:keepNext/>
        <w:jc w:val="center"/>
        <w:rPr>
          <w:b/>
          <w:kern w:val="28"/>
        </w:rPr>
      </w:pPr>
      <w:r w:rsidRPr="00FC5566">
        <w:rPr>
          <w:b/>
          <w:kern w:val="28"/>
        </w:rPr>
        <w:t>Public Comments</w:t>
      </w:r>
    </w:p>
    <w:p w14:paraId="7BCED072"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 xml:space="preserve">Interested parties may submit written comments to the Office of the Governor, Office of Elderly Affairs, Attention: Steve Kabel, General Counsel, via U.S Mail at 602 North 5th Street, Suite 435, Baton Rouge, LA 70802, or via e-mail attachment to stephen.kabel2@la.gov or via hand delivery. Comments will be accepted until 3 p.m. on Friday, September </w:t>
      </w:r>
      <w:r w:rsidRPr="00FC5566">
        <w:rPr>
          <w:kern w:val="2"/>
        </w:rPr>
        <w:t>10, 2026. All written comments must be dated and must include the first and last name, email address, mailing address, phone number, and the original signature of the person submitting the comments.</w:t>
      </w:r>
    </w:p>
    <w:p w14:paraId="481F9475" w14:textId="77777777" w:rsidR="00FC5566" w:rsidRPr="00FC5566" w:rsidRDefault="00FC5566" w:rsidP="00FC5566">
      <w:pPr>
        <w:keepNext/>
        <w:jc w:val="center"/>
        <w:rPr>
          <w:b/>
          <w:kern w:val="28"/>
        </w:rPr>
      </w:pPr>
      <w:r w:rsidRPr="00FC5566">
        <w:rPr>
          <w:b/>
          <w:kern w:val="28"/>
        </w:rPr>
        <w:t>Public Hearing</w:t>
      </w:r>
    </w:p>
    <w:p w14:paraId="7E8F2DD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Interested parties may submit a written request to conduct a public hearing to the Office of the Governor, Office of Elderly Affairs, Attention: Steve Kabel, General Counsel, via U.S Mail at 602 North 5th Street, Suite 435, Baton Rouge, LA 70802, or via e-mail attachment to stephen.kabel2@la.gov or via hand delivery; however, such request must be received by no later than 3 p.m. on Friday, September 10, 2026. If the criteria set forth in R.S. 49:953(A)(2)(a) are satisfied, a public hearing will be conducted at 1 p.m. on Monday, September 28, 2026 in the Oliver Pollock Room at 602 North 5th Street, Baton Rouge, LA 70806. To confirm whether or not a public hearing will be held, interested parties should visit the Office of Elderly Affairs website at goea.louisiana.gov after Tuesday, September 15, 2026. If a public hearing is to be held, all interested parties are invited to attend and present data, views, comments, or arguments, orally or in writing. In the event of a hearing, parking is available to the public in the Galvez Parking Garage, across the street from the Galvez Building at 602 North 5th Street, Baton Rouge, LA 70806.</w:t>
      </w:r>
    </w:p>
    <w:p w14:paraId="55DE42B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p w14:paraId="4AB1FD2F" w14:textId="77777777" w:rsidR="00FC5566" w:rsidRPr="00FC5566" w:rsidRDefault="00FC5566" w:rsidP="00FC5566">
      <w:pPr>
        <w:keepNext/>
        <w:ind w:left="2160"/>
        <w:jc w:val="both"/>
      </w:pPr>
      <w:r w:rsidRPr="00FC5566">
        <w:t>Steve Kabel</w:t>
      </w:r>
    </w:p>
    <w:p w14:paraId="294ACF57" w14:textId="77777777" w:rsidR="00FC5566" w:rsidRPr="00FC5566" w:rsidRDefault="00FC5566" w:rsidP="00FC5566">
      <w:pPr>
        <w:keepNext/>
        <w:ind w:left="2160"/>
        <w:jc w:val="both"/>
      </w:pPr>
      <w:r w:rsidRPr="00FC5566">
        <w:t>General Counsel</w:t>
      </w:r>
    </w:p>
    <w:p w14:paraId="3600F939" w14:textId="77777777" w:rsidR="00FC5566" w:rsidRPr="00FC5566" w:rsidRDefault="00FC5566" w:rsidP="00FC5566">
      <w:pPr>
        <w:keepNext/>
        <w:jc w:val="center"/>
        <w:rPr>
          <w:b/>
        </w:rPr>
      </w:pPr>
    </w:p>
    <w:p w14:paraId="5E65D785" w14:textId="77777777" w:rsidR="00FC5566" w:rsidRPr="00FC5566" w:rsidRDefault="00FC5566" w:rsidP="00FC5566">
      <w:pPr>
        <w:keepNext/>
        <w:jc w:val="center"/>
        <w:rPr>
          <w:b/>
        </w:rPr>
      </w:pPr>
      <w:r w:rsidRPr="00FC5566">
        <w:rPr>
          <w:b/>
        </w:rPr>
        <w:t>FISCAL AND ECONOMIC IMPACT STATEMENT FOR ADMINISTRATIVE RULES</w:t>
      </w:r>
    </w:p>
    <w:p w14:paraId="040A0507" w14:textId="77777777" w:rsidR="00FC5566" w:rsidRPr="00FC5566" w:rsidRDefault="00FC5566" w:rsidP="00FC5566">
      <w:pPr>
        <w:keepNext/>
        <w:jc w:val="center"/>
        <w:rPr>
          <w:b/>
          <w:noProof/>
        </w:rPr>
      </w:pPr>
      <w:r w:rsidRPr="00FC5566">
        <w:rPr>
          <w:b/>
          <w:noProof/>
        </w:rPr>
        <w:t>RULE TITLE:  Office of Elderly Affairs</w:t>
      </w:r>
    </w:p>
    <w:p w14:paraId="0F6F8CC0"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457765DC" w14:textId="77777777" w:rsidR="00FC5566" w:rsidRPr="00FC5566" w:rsidRDefault="00FC5566" w:rsidP="00FC5566">
      <w:pPr>
        <w:ind w:left="288" w:hanging="288"/>
        <w:jc w:val="both"/>
        <w:rPr>
          <w:spacing w:val="-10"/>
          <w:sz w:val="18"/>
        </w:rPr>
      </w:pPr>
      <w:r w:rsidRPr="00FC5566">
        <w:rPr>
          <w:spacing w:val="-10"/>
          <w:sz w:val="18"/>
        </w:rPr>
        <w:t>I.</w:t>
      </w:r>
      <w:r w:rsidRPr="00FC5566">
        <w:rPr>
          <w:spacing w:val="-10"/>
          <w:sz w:val="18"/>
        </w:rPr>
        <w:tab/>
        <w:t>ESTIMATED IMPLEMENTATION COSTS (SAVINGS) TO STATE OR LOCAL GOVERNMENT UNITS (Summary)</w:t>
      </w:r>
    </w:p>
    <w:p w14:paraId="108B8709" w14:textId="77777777" w:rsidR="00FC5566" w:rsidRPr="00FC5566" w:rsidRDefault="00FC5566" w:rsidP="00FC5566">
      <w:pPr>
        <w:ind w:left="288" w:firstLine="288"/>
        <w:jc w:val="both"/>
        <w:rPr>
          <w:noProof/>
          <w:sz w:val="18"/>
        </w:rPr>
      </w:pPr>
      <w:r w:rsidRPr="00FC5566">
        <w:rPr>
          <w:noProof/>
          <w:sz w:val="18"/>
        </w:rPr>
        <w:t>Implementation of this proposed rule is not anticipated to have a fiscal impact on the state, other than the cost or promulgation in FY 27. It is anticipated that $639 SGF will be expended in FY 27 for the administrative costs associated with promulgation of the proposed and final rules.</w:t>
      </w:r>
    </w:p>
    <w:p w14:paraId="53C81D24" w14:textId="77777777" w:rsidR="00FC5566" w:rsidRPr="00FC5566" w:rsidRDefault="00FC5566" w:rsidP="00FC5566">
      <w:pPr>
        <w:ind w:left="288" w:firstLine="288"/>
        <w:jc w:val="both"/>
        <w:rPr>
          <w:sz w:val="18"/>
        </w:rPr>
      </w:pPr>
      <w:r w:rsidRPr="00FC5566">
        <w:rPr>
          <w:sz w:val="18"/>
        </w:rPr>
        <w:t>This proposed rule repeals provisions of the Louisiana Administrative Code (LAC) that are duplicative of existing state law and internal office policy of the Governor’s Office of Elderly Affairs (GOEA), in accordance with Act 192 of the 2024 R.S. The proposed repeals are not expected to result in implementation costs beyond the administrative expense of promulgating the proposed and final rules in FY 27. The repeal of LAC 4:VII.1101 merely eliminates language of the LAC that is duplicative of R.S. 46:931-932. The repeal of LAC 4:VII.1229 merely eliminates language of the LAC that is duplicative of R.S. 40:2010.2 and 2010.3. The repeal of LAC 4:VII.1281 &amp; 1283 eliminates the inclusion of a GOEA internal office policy in the LAC.</w:t>
      </w:r>
    </w:p>
    <w:p w14:paraId="3F12C2BF" w14:textId="77777777" w:rsidR="00FC5566" w:rsidRPr="00FC5566" w:rsidRDefault="00FC5566" w:rsidP="00FC5566">
      <w:pPr>
        <w:ind w:left="288" w:hanging="288"/>
        <w:jc w:val="both"/>
        <w:rPr>
          <w:spacing w:val="-10"/>
          <w:sz w:val="18"/>
        </w:rPr>
      </w:pPr>
      <w:r w:rsidRPr="00FC5566">
        <w:rPr>
          <w:spacing w:val="-10"/>
          <w:sz w:val="18"/>
        </w:rPr>
        <w:t>II.</w:t>
      </w:r>
      <w:r w:rsidRPr="00FC5566">
        <w:rPr>
          <w:spacing w:val="-10"/>
          <w:sz w:val="18"/>
        </w:rPr>
        <w:tab/>
        <w:t>ESTIMATED EFFECT ON REVENUE COLLECTIONS OF STATE OR LOCAL GOVERNMENTAL UNITS (Summary)</w:t>
      </w:r>
    </w:p>
    <w:p w14:paraId="4DC5FCF7" w14:textId="77777777" w:rsidR="00FC5566" w:rsidRPr="00FC5566" w:rsidRDefault="00FC5566" w:rsidP="00FC5566">
      <w:pPr>
        <w:ind w:left="288" w:firstLine="288"/>
        <w:jc w:val="both"/>
        <w:rPr>
          <w:sz w:val="18"/>
        </w:rPr>
      </w:pPr>
      <w:r w:rsidRPr="00FC5566">
        <w:rPr>
          <w:sz w:val="18"/>
        </w:rPr>
        <w:t>It is anticipated that implementation of this proposed rule will have no impact on state or local revenue collections.</w:t>
      </w:r>
    </w:p>
    <w:p w14:paraId="3F8678EE" w14:textId="77777777" w:rsidR="00FC5566" w:rsidRPr="00FC5566" w:rsidRDefault="00FC5566" w:rsidP="00FC5566">
      <w:pPr>
        <w:ind w:left="288" w:hanging="288"/>
        <w:jc w:val="both"/>
        <w:rPr>
          <w:spacing w:val="-10"/>
          <w:sz w:val="18"/>
        </w:rPr>
      </w:pPr>
      <w:r w:rsidRPr="00FC5566">
        <w:rPr>
          <w:spacing w:val="-10"/>
          <w:sz w:val="18"/>
        </w:rPr>
        <w:t>III.</w:t>
      </w:r>
      <w:r w:rsidRPr="00FC5566">
        <w:rPr>
          <w:spacing w:val="-10"/>
          <w:sz w:val="18"/>
        </w:rPr>
        <w:tab/>
        <w:t>ESTIMATED COSTS AND/OR ECONOMIC BENEFITS TO DIRECTLY AFFECTED PERSONS, SMALL BUSINESSES, OR NONGOVERNMENTAL GROUPS (Summary)</w:t>
      </w:r>
    </w:p>
    <w:p w14:paraId="24DA1D33" w14:textId="77777777" w:rsidR="00FC5566" w:rsidRPr="00FC5566" w:rsidRDefault="00FC5566" w:rsidP="00FC5566">
      <w:pPr>
        <w:ind w:left="288" w:firstLine="288"/>
        <w:jc w:val="both"/>
        <w:rPr>
          <w:sz w:val="18"/>
        </w:rPr>
      </w:pPr>
      <w:r w:rsidRPr="00FC5566">
        <w:rPr>
          <w:sz w:val="18"/>
        </w:rPr>
        <w:t>It is anticipated that implementation of the proposed rule will have no impact on directly affected persons, small businesses, or non-governmental groups.</w:t>
      </w:r>
    </w:p>
    <w:p w14:paraId="5E9F0617" w14:textId="77777777" w:rsidR="00FC5566" w:rsidRPr="00FC5566" w:rsidRDefault="00FC5566" w:rsidP="00FC5566">
      <w:pPr>
        <w:ind w:left="288" w:hanging="288"/>
        <w:jc w:val="both"/>
        <w:rPr>
          <w:spacing w:val="-10"/>
          <w:sz w:val="18"/>
        </w:rPr>
      </w:pPr>
      <w:r w:rsidRPr="00FC5566">
        <w:rPr>
          <w:spacing w:val="-10"/>
          <w:sz w:val="18"/>
        </w:rPr>
        <w:t>IV.</w:t>
      </w:r>
      <w:r w:rsidRPr="00FC5566">
        <w:rPr>
          <w:spacing w:val="-10"/>
          <w:sz w:val="18"/>
        </w:rPr>
        <w:tab/>
        <w:t>ESTIMATED EFFECT ON COMPETITION AND EMPLOYMENT (Summary)</w:t>
      </w:r>
    </w:p>
    <w:p w14:paraId="15B99506" w14:textId="77777777" w:rsidR="00FC5566" w:rsidRPr="00FC5566" w:rsidRDefault="00FC5566" w:rsidP="00FC5566">
      <w:pPr>
        <w:ind w:left="288" w:firstLine="288"/>
        <w:jc w:val="both"/>
        <w:rPr>
          <w:sz w:val="18"/>
        </w:rPr>
      </w:pPr>
      <w:r w:rsidRPr="00FC5566">
        <w:rPr>
          <w:sz w:val="18"/>
        </w:rPr>
        <w:t>The proposed rule has no known effect on competition and employment.</w:t>
      </w:r>
    </w:p>
    <w:p w14:paraId="0B96B38A" w14:textId="77777777" w:rsidR="00FC5566" w:rsidRPr="00FC5566" w:rsidRDefault="00FC5566" w:rsidP="00FC5566">
      <w:pPr>
        <w:ind w:left="288" w:firstLine="288"/>
        <w:jc w:val="both"/>
        <w:rPr>
          <w:sz w:val="18"/>
        </w:rPr>
      </w:pPr>
    </w:p>
    <w:p w14:paraId="2F727CFE" w14:textId="77777777" w:rsidR="00FC5566" w:rsidRPr="00FC5566" w:rsidRDefault="00FC5566" w:rsidP="00FC5566">
      <w:pPr>
        <w:tabs>
          <w:tab w:val="left" w:pos="2880"/>
          <w:tab w:val="decimal" w:pos="2988"/>
        </w:tabs>
        <w:outlineLvl w:val="8"/>
        <w:rPr>
          <w:kern w:val="2"/>
          <w:sz w:val="18"/>
        </w:rPr>
      </w:pPr>
      <w:r w:rsidRPr="00FC5566">
        <w:rPr>
          <w:kern w:val="2"/>
          <w:sz w:val="18"/>
        </w:rPr>
        <w:t>Steve Kabel</w:t>
      </w:r>
      <w:r w:rsidRPr="00FC5566">
        <w:rPr>
          <w:kern w:val="2"/>
          <w:sz w:val="18"/>
        </w:rPr>
        <w:tab/>
        <w:t>Alan M. Boxberger</w:t>
      </w:r>
    </w:p>
    <w:p w14:paraId="5631D72B" w14:textId="77777777" w:rsidR="00FC5566" w:rsidRPr="00FC5566" w:rsidRDefault="00FC5566" w:rsidP="00FC5566">
      <w:pPr>
        <w:tabs>
          <w:tab w:val="left" w:pos="2880"/>
          <w:tab w:val="decimal" w:pos="2988"/>
        </w:tabs>
        <w:outlineLvl w:val="8"/>
        <w:rPr>
          <w:kern w:val="2"/>
          <w:sz w:val="18"/>
        </w:rPr>
      </w:pPr>
      <w:r w:rsidRPr="00FC5566">
        <w:rPr>
          <w:kern w:val="2"/>
          <w:sz w:val="18"/>
        </w:rPr>
        <w:t>General Counsel</w:t>
      </w:r>
      <w:r w:rsidRPr="00FC5566">
        <w:rPr>
          <w:kern w:val="2"/>
          <w:sz w:val="18"/>
        </w:rPr>
        <w:tab/>
        <w:t>Legislative Fiscal Officer</w:t>
      </w:r>
    </w:p>
    <w:p w14:paraId="51185D9E" w14:textId="77777777" w:rsidR="00FC5566" w:rsidRPr="00FC5566" w:rsidRDefault="00FC5566" w:rsidP="00FC5566">
      <w:pPr>
        <w:tabs>
          <w:tab w:val="left" w:pos="2880"/>
          <w:tab w:val="decimal" w:pos="2988"/>
        </w:tabs>
        <w:outlineLvl w:val="8"/>
        <w:rPr>
          <w:kern w:val="2"/>
          <w:sz w:val="18"/>
        </w:rPr>
      </w:pPr>
      <w:r w:rsidRPr="00FC5566">
        <w:rPr>
          <w:noProof/>
          <w:sz w:val="16"/>
        </w:rPr>
        <w:t>2608#023</w:t>
      </w:r>
      <w:r w:rsidRPr="00FC5566">
        <w:rPr>
          <w:kern w:val="2"/>
        </w:rPr>
        <w:tab/>
      </w:r>
      <w:r w:rsidRPr="00FC5566">
        <w:rPr>
          <w:kern w:val="2"/>
          <w:sz w:val="18"/>
        </w:rPr>
        <w:t>Legislative Fiscal Office</w:t>
      </w:r>
    </w:p>
    <w:p w14:paraId="2ECC5DCD" w14:textId="77777777" w:rsidR="00FC5566" w:rsidRPr="00FC5566" w:rsidRDefault="00FC5566" w:rsidP="00FC5566"/>
    <w:p w14:paraId="71374E6C" w14:textId="77777777" w:rsidR="00FC5566" w:rsidRPr="00FC5566" w:rsidRDefault="00FC5566" w:rsidP="00FC5566">
      <w:pPr>
        <w:keepNext/>
        <w:tabs>
          <w:tab w:val="left" w:pos="-1440"/>
        </w:tabs>
        <w:spacing w:after="120"/>
        <w:jc w:val="center"/>
        <w:rPr>
          <w:rFonts w:eastAsia="Calibri"/>
          <w:b/>
          <w:noProof/>
        </w:rPr>
      </w:pPr>
      <w:bookmarkStart w:id="633" w:name="_Hlk213313544"/>
      <w:bookmarkStart w:id="634" w:name="_Hlk213302679"/>
      <w:bookmarkStart w:id="635" w:name="_Toc293304274"/>
      <w:bookmarkStart w:id="636" w:name="_Toc536435982"/>
      <w:bookmarkStart w:id="637" w:name="_Toc406567651"/>
      <w:bookmarkStart w:id="638" w:name="_Toc406567650"/>
      <w:bookmarkStart w:id="639" w:name="_Toc8977384"/>
      <w:bookmarkStart w:id="640" w:name="_Toc293304273"/>
      <w:r w:rsidRPr="00FC5566">
        <w:rPr>
          <w:rFonts w:eastAsia="Calibri"/>
          <w:b/>
          <w:noProof/>
        </w:rPr>
        <w:t>NOTICE OF INTENT</w:t>
      </w:r>
    </w:p>
    <w:p w14:paraId="71C873FA" w14:textId="77777777" w:rsidR="00FC5566" w:rsidRPr="00FC5566" w:rsidRDefault="00FC5566" w:rsidP="00FC5566">
      <w:pPr>
        <w:keepNext/>
        <w:jc w:val="center"/>
        <w:rPr>
          <w:rFonts w:eastAsia="Calibri"/>
          <w:b/>
          <w:noProof/>
        </w:rPr>
      </w:pPr>
      <w:r w:rsidRPr="00FC5566">
        <w:rPr>
          <w:rFonts w:eastAsia="Calibri"/>
          <w:b/>
          <w:noProof/>
        </w:rPr>
        <w:t>Office of the Governor</w:t>
      </w:r>
    </w:p>
    <w:p w14:paraId="321629A5" w14:textId="77777777" w:rsidR="00FC5566" w:rsidRPr="00FC5566" w:rsidRDefault="00FC5566" w:rsidP="00FC5566">
      <w:pPr>
        <w:keepNext/>
        <w:jc w:val="center"/>
        <w:rPr>
          <w:rFonts w:eastAsia="Calibri"/>
          <w:b/>
          <w:noProof/>
        </w:rPr>
      </w:pPr>
      <w:r w:rsidRPr="00FC5566">
        <w:rPr>
          <w:rFonts w:eastAsia="Calibri"/>
          <w:b/>
          <w:noProof/>
        </w:rPr>
        <w:t>Uniform Construction Code Commission</w:t>
      </w:r>
    </w:p>
    <w:bookmarkEnd w:id="633"/>
    <w:p w14:paraId="1748611B" w14:textId="77777777" w:rsidR="00FC5566" w:rsidRPr="00FC5566" w:rsidRDefault="00FC5566" w:rsidP="00FC5566">
      <w:pPr>
        <w:keepNext/>
        <w:spacing w:before="240" w:after="240"/>
        <w:jc w:val="center"/>
        <w:rPr>
          <w:rFonts w:eastAsia="Calibri"/>
          <w:noProof/>
        </w:rPr>
      </w:pPr>
      <w:r w:rsidRPr="00FC5566">
        <w:rPr>
          <w:rFonts w:eastAsia="Calibri"/>
          <w:noProof/>
        </w:rPr>
        <w:t>Uniform Construction Code</w:t>
      </w:r>
      <w:r w:rsidRPr="00FC5566">
        <w:rPr>
          <w:rFonts w:eastAsia="Calibri"/>
          <w:noProof/>
        </w:rPr>
        <w:br/>
        <w:t>Adoption of the 2023 NEC and the 2024 I-Codes</w:t>
      </w:r>
      <w:r w:rsidRPr="00FC5566">
        <w:rPr>
          <w:rFonts w:eastAsia="Calibri"/>
          <w:noProof/>
        </w:rPr>
        <w:br/>
        <w:t>(LAC 17:I.Chapter 1)</w:t>
      </w:r>
    </w:p>
    <w:p w14:paraId="4EC20B32"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bookmarkStart w:id="641" w:name="_Hlk213238209"/>
      <w:r w:rsidRPr="00FC5566">
        <w:rPr>
          <w:rFonts w:eastAsia="Calibri"/>
          <w:kern w:val="2"/>
        </w:rPr>
        <w:t xml:space="preserve">Notice is hereby given that in accordance with the Louisiana Administrative Procedure Act, R.S. 49:950 et seq., and pursuant to the authority of R.S. 37:3727-3750, the Louisiana </w:t>
      </w:r>
      <w:r w:rsidRPr="00FC5566">
        <w:rPr>
          <w:rFonts w:eastAsia="Calibri"/>
          <w:bCs/>
          <w:kern w:val="2"/>
        </w:rPr>
        <w:t>Uniform Construction Code Commission</w:t>
      </w:r>
      <w:r w:rsidRPr="00FC5566">
        <w:rPr>
          <w:rFonts w:eastAsia="Calibri"/>
          <w:kern w:val="2"/>
        </w:rPr>
        <w:t xml:space="preserve"> (LUCCC) </w:t>
      </w:r>
      <w:bookmarkStart w:id="642" w:name="_Hlk213239578"/>
      <w:bookmarkStart w:id="643" w:name="_Hlk213239479"/>
      <w:bookmarkEnd w:id="634"/>
      <w:r w:rsidRPr="00FC5566">
        <w:rPr>
          <w:rFonts w:eastAsia="Calibri"/>
          <w:kern w:val="2"/>
        </w:rPr>
        <w:t xml:space="preserve">is proposing to repeal the current language under LAC 17:I.101 - 117, Uniform Construction Code, and to adopt new language under Sections 101 – 117 </w:t>
      </w:r>
      <w:bookmarkEnd w:id="641"/>
      <w:bookmarkEnd w:id="642"/>
      <w:bookmarkEnd w:id="643"/>
      <w:r w:rsidRPr="00FC5566">
        <w:rPr>
          <w:rFonts w:eastAsia="Calibri"/>
          <w:kern w:val="2"/>
        </w:rPr>
        <w:t>for the purpose of amending and adopting the 2023 edition of the National Electrical Code (NEC) and the 2024 editions of the I-codes in the state of Louisiana with an effective date of January 1, 2027. The I-Codes reviewed by the commission consists of the following: International Building Code (IBC), International Existing Building Code (IEBC), International Residential Code (IRC), International Mechanical Code (IMC), International Plumbing Code (IPC), International Fuel Gas Code (IFGC), and the International Energy Conservation Code (IECC).</w:t>
      </w:r>
    </w:p>
    <w:p w14:paraId="05345476"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Reviewing, amending, and adopting the current nationally recognized standards of the National Electrical Code 2023 and the International Building Codes 2024 benefits the state of Louisiana by improving overall public safety, strengthening buildings against severe weather, and raising construction quality statewide, while also supporting more efficient energy use and reducing long</w:t>
      </w:r>
      <w:r w:rsidRPr="00FC5566">
        <w:rPr>
          <w:rFonts w:eastAsia="Calibri"/>
          <w:kern w:val="2"/>
        </w:rPr>
        <w:noBreakHyphen/>
        <w:t>term operating costs for homeowners.</w:t>
      </w:r>
    </w:p>
    <w:p w14:paraId="4398D76F"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The adopted codes give the building community clearer standards, more flexibility, and more cost</w:t>
      </w:r>
      <w:r w:rsidRPr="00FC5566">
        <w:rPr>
          <w:rFonts w:eastAsia="Calibri"/>
          <w:kern w:val="2"/>
        </w:rPr>
        <w:noBreakHyphen/>
        <w:t>effective compliance options, making projects easier to deliver while ensuring communities are resilient from the natural hazards we face. Additionally, these codes help move Louisiana into a healthier insurance marketplace while also staying competitive for Federal grant assistance.</w:t>
      </w:r>
      <w:r w:rsidRPr="00FC5566">
        <w:rPr>
          <w:rFonts w:ascii="Aptos" w:eastAsia="Aptos" w:hAnsi="Aptos" w:cs="Arial"/>
          <w:kern w:val="2"/>
        </w:rPr>
        <w:t xml:space="preserve"> </w:t>
      </w:r>
      <w:bookmarkEnd w:id="635"/>
      <w:bookmarkEnd w:id="636"/>
      <w:bookmarkEnd w:id="637"/>
      <w:bookmarkEnd w:id="638"/>
      <w:bookmarkEnd w:id="639"/>
      <w:bookmarkEnd w:id="640"/>
    </w:p>
    <w:p w14:paraId="598D8960" w14:textId="77777777" w:rsidR="00FC5566" w:rsidRPr="00FC5566" w:rsidRDefault="00FC5566" w:rsidP="00FC5566">
      <w:pPr>
        <w:keepNext/>
        <w:jc w:val="center"/>
        <w:rPr>
          <w:b/>
          <w:kern w:val="28"/>
        </w:rPr>
      </w:pPr>
      <w:r w:rsidRPr="00FC5566">
        <w:rPr>
          <w:b/>
          <w:kern w:val="28"/>
        </w:rPr>
        <w:br w:type="column"/>
      </w:r>
      <w:r w:rsidRPr="00FC5566">
        <w:rPr>
          <w:b/>
          <w:kern w:val="28"/>
        </w:rPr>
        <w:t>T</w:t>
      </w:r>
      <w:r w:rsidRPr="00FC5566">
        <w:rPr>
          <w:b/>
          <w:spacing w:val="-1"/>
          <w:kern w:val="28"/>
        </w:rPr>
        <w:t>i</w:t>
      </w:r>
      <w:r w:rsidRPr="00FC5566">
        <w:rPr>
          <w:b/>
          <w:kern w:val="28"/>
        </w:rPr>
        <w:t>t</w:t>
      </w:r>
      <w:r w:rsidRPr="00FC5566">
        <w:rPr>
          <w:b/>
          <w:spacing w:val="-1"/>
          <w:kern w:val="28"/>
        </w:rPr>
        <w:t>l</w:t>
      </w:r>
      <w:r w:rsidRPr="00FC5566">
        <w:rPr>
          <w:b/>
          <w:kern w:val="28"/>
        </w:rPr>
        <w:t xml:space="preserve">e </w:t>
      </w:r>
      <w:r w:rsidRPr="00FC5566">
        <w:rPr>
          <w:b/>
          <w:spacing w:val="1"/>
          <w:kern w:val="28"/>
        </w:rPr>
        <w:t>1</w:t>
      </w:r>
      <w:r w:rsidRPr="00FC5566">
        <w:rPr>
          <w:b/>
          <w:kern w:val="28"/>
        </w:rPr>
        <w:t>7</w:t>
      </w:r>
    </w:p>
    <w:p w14:paraId="25DC0FBA" w14:textId="77777777" w:rsidR="00FC5566" w:rsidRPr="00FC5566" w:rsidRDefault="00FC5566" w:rsidP="00FC5566">
      <w:pPr>
        <w:keepNext/>
        <w:jc w:val="center"/>
        <w:rPr>
          <w:b/>
          <w:kern w:val="28"/>
        </w:rPr>
      </w:pPr>
      <w:r w:rsidRPr="00FC5566">
        <w:rPr>
          <w:b/>
          <w:spacing w:val="1"/>
          <w:kern w:val="28"/>
        </w:rPr>
        <w:t>C</w:t>
      </w:r>
      <w:r w:rsidRPr="00FC5566">
        <w:rPr>
          <w:b/>
          <w:spacing w:val="-1"/>
          <w:kern w:val="28"/>
        </w:rPr>
        <w:t>O</w:t>
      </w:r>
      <w:r w:rsidRPr="00FC5566">
        <w:rPr>
          <w:b/>
          <w:spacing w:val="1"/>
          <w:kern w:val="28"/>
        </w:rPr>
        <w:t>N</w:t>
      </w:r>
      <w:r w:rsidRPr="00FC5566">
        <w:rPr>
          <w:b/>
          <w:kern w:val="28"/>
        </w:rPr>
        <w:t>ST</w:t>
      </w:r>
      <w:r w:rsidRPr="00FC5566">
        <w:rPr>
          <w:b/>
          <w:spacing w:val="-1"/>
          <w:kern w:val="28"/>
        </w:rPr>
        <w:t>RUC</w:t>
      </w:r>
      <w:r w:rsidRPr="00FC5566">
        <w:rPr>
          <w:b/>
          <w:kern w:val="28"/>
        </w:rPr>
        <w:t>TION</w:t>
      </w:r>
    </w:p>
    <w:p w14:paraId="065422F9" w14:textId="77777777" w:rsidR="00FC5566" w:rsidRPr="00FC5566" w:rsidRDefault="00FC5566" w:rsidP="00FC5566">
      <w:pPr>
        <w:keepNext/>
        <w:jc w:val="center"/>
        <w:rPr>
          <w:b/>
          <w:noProof/>
        </w:rPr>
      </w:pPr>
      <w:r w:rsidRPr="00FC5566">
        <w:rPr>
          <w:b/>
          <w:noProof/>
        </w:rPr>
        <w:t>P</w:t>
      </w:r>
      <w:r w:rsidRPr="00FC5566">
        <w:rPr>
          <w:b/>
          <w:noProof/>
          <w:spacing w:val="1"/>
        </w:rPr>
        <w:t>a</w:t>
      </w:r>
      <w:r w:rsidRPr="00FC5566">
        <w:rPr>
          <w:b/>
          <w:noProof/>
        </w:rPr>
        <w:t>rt</w:t>
      </w:r>
      <w:r w:rsidRPr="00FC5566">
        <w:rPr>
          <w:b/>
          <w:noProof/>
          <w:spacing w:val="-1"/>
        </w:rPr>
        <w:t xml:space="preserve"> </w:t>
      </w:r>
      <w:r w:rsidRPr="00FC5566">
        <w:rPr>
          <w:b/>
          <w:noProof/>
        </w:rPr>
        <w:t>I.  Un</w:t>
      </w:r>
      <w:r w:rsidRPr="00FC5566">
        <w:rPr>
          <w:b/>
          <w:noProof/>
          <w:spacing w:val="-1"/>
        </w:rPr>
        <w:t>if</w:t>
      </w:r>
      <w:r w:rsidRPr="00FC5566">
        <w:rPr>
          <w:b/>
          <w:noProof/>
          <w:spacing w:val="1"/>
        </w:rPr>
        <w:t>o</w:t>
      </w:r>
      <w:r w:rsidRPr="00FC5566">
        <w:rPr>
          <w:b/>
          <w:noProof/>
          <w:spacing w:val="-1"/>
        </w:rPr>
        <w:t>r</w:t>
      </w:r>
      <w:r w:rsidRPr="00FC5566">
        <w:rPr>
          <w:b/>
          <w:noProof/>
        </w:rPr>
        <w:t xml:space="preserve">m </w:t>
      </w:r>
      <w:r w:rsidRPr="00FC5566">
        <w:rPr>
          <w:b/>
          <w:noProof/>
          <w:spacing w:val="-1"/>
        </w:rPr>
        <w:t>C</w:t>
      </w:r>
      <w:r w:rsidRPr="00FC5566">
        <w:rPr>
          <w:b/>
          <w:noProof/>
          <w:spacing w:val="1"/>
        </w:rPr>
        <w:t>o</w:t>
      </w:r>
      <w:r w:rsidRPr="00FC5566">
        <w:rPr>
          <w:b/>
          <w:noProof/>
        </w:rPr>
        <w:t>n</w:t>
      </w:r>
      <w:r w:rsidRPr="00FC5566">
        <w:rPr>
          <w:b/>
          <w:noProof/>
          <w:spacing w:val="-1"/>
        </w:rPr>
        <w:t>s</w:t>
      </w:r>
      <w:r w:rsidRPr="00FC5566">
        <w:rPr>
          <w:b/>
          <w:noProof/>
        </w:rPr>
        <w:t>tru</w:t>
      </w:r>
      <w:r w:rsidRPr="00FC5566">
        <w:rPr>
          <w:b/>
          <w:noProof/>
          <w:spacing w:val="-1"/>
        </w:rPr>
        <w:t>c</w:t>
      </w:r>
      <w:r w:rsidRPr="00FC5566">
        <w:rPr>
          <w:b/>
          <w:noProof/>
        </w:rPr>
        <w:t>t</w:t>
      </w:r>
      <w:r w:rsidRPr="00FC5566">
        <w:rPr>
          <w:b/>
          <w:noProof/>
          <w:spacing w:val="-1"/>
        </w:rPr>
        <w:t>io</w:t>
      </w:r>
      <w:r w:rsidRPr="00FC5566">
        <w:rPr>
          <w:b/>
          <w:noProof/>
        </w:rPr>
        <w:t>n</w:t>
      </w:r>
      <w:r w:rsidRPr="00FC5566">
        <w:rPr>
          <w:b/>
          <w:noProof/>
          <w:spacing w:val="1"/>
        </w:rPr>
        <w:t xml:space="preserve"> </w:t>
      </w:r>
      <w:r w:rsidRPr="00FC5566">
        <w:rPr>
          <w:b/>
          <w:noProof/>
          <w:spacing w:val="-1"/>
        </w:rPr>
        <w:t>C</w:t>
      </w:r>
      <w:r w:rsidRPr="00FC5566">
        <w:rPr>
          <w:b/>
          <w:noProof/>
          <w:spacing w:val="1"/>
        </w:rPr>
        <w:t>o</w:t>
      </w:r>
      <w:r w:rsidRPr="00FC5566">
        <w:rPr>
          <w:b/>
          <w:noProof/>
        </w:rPr>
        <w:t>de</w:t>
      </w:r>
    </w:p>
    <w:p w14:paraId="64CE5A1C" w14:textId="77777777" w:rsidR="00FC5566" w:rsidRPr="00FC5566" w:rsidRDefault="00FC5566" w:rsidP="00FC5566">
      <w:pPr>
        <w:tabs>
          <w:tab w:val="left" w:pos="1620"/>
        </w:tabs>
        <w:ind w:left="432" w:right="432"/>
        <w:jc w:val="both"/>
        <w:rPr>
          <w:noProof/>
          <w:sz w:val="16"/>
          <w:szCs w:val="16"/>
        </w:rPr>
      </w:pPr>
      <w:r w:rsidRPr="00FC5566">
        <w:rPr>
          <w:noProof/>
          <w:sz w:val="16"/>
          <w:szCs w:val="16"/>
        </w:rPr>
        <w:t>Editor’s Note 1:</w:t>
      </w:r>
      <w:r w:rsidRPr="00FC5566">
        <w:rPr>
          <w:noProof/>
          <w:sz w:val="16"/>
          <w:szCs w:val="16"/>
        </w:rPr>
        <w:tab/>
        <w:t xml:space="preserve">Effective August 1, 2026, the Louisiana State Uniform Construction Code Council was renamed to Louisiana Uniform Construction Code Commission pursuant to Act 881 of the 2026 Regular Session of the Louisiana Legislature. </w:t>
      </w:r>
    </w:p>
    <w:p w14:paraId="5B63D217" w14:textId="77777777" w:rsidR="00FC5566" w:rsidRPr="00FC5566" w:rsidRDefault="00FC5566" w:rsidP="00FC5566">
      <w:pPr>
        <w:tabs>
          <w:tab w:val="left" w:pos="1620"/>
        </w:tabs>
        <w:ind w:left="432" w:right="432"/>
        <w:jc w:val="both"/>
        <w:rPr>
          <w:noProof/>
          <w:sz w:val="16"/>
          <w:szCs w:val="16"/>
        </w:rPr>
      </w:pPr>
      <w:r w:rsidRPr="00FC5566">
        <w:rPr>
          <w:noProof/>
          <w:sz w:val="16"/>
          <w:szCs w:val="16"/>
        </w:rPr>
        <w:t>Editor’s Note 2:</w:t>
      </w:r>
      <w:r w:rsidRPr="00FC5566">
        <w:rPr>
          <w:noProof/>
          <w:sz w:val="16"/>
          <w:szCs w:val="16"/>
        </w:rPr>
        <w:tab/>
        <w:t>Effective August 1, 2026, R.S. 40:1730.21 through 40:1730.40.2 were repealed and the authority of the Louisiana Uniform Construction Code Commission was enabled by R.S. 37:3727 through 37:3750 pursuant to Act 881 of the 2026 Regular Session of the Louisiana Legislature.</w:t>
      </w:r>
    </w:p>
    <w:p w14:paraId="1F7FA81B"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spacing w:val="1"/>
          <w:kern w:val="2"/>
        </w:rPr>
        <w:t>C</w:t>
      </w:r>
      <w:r w:rsidRPr="00FC5566">
        <w:rPr>
          <w:b/>
          <w:spacing w:val="-1"/>
          <w:kern w:val="2"/>
        </w:rPr>
        <w:t>h</w:t>
      </w:r>
      <w:r w:rsidRPr="00FC5566">
        <w:rPr>
          <w:b/>
          <w:spacing w:val="1"/>
          <w:kern w:val="2"/>
        </w:rPr>
        <w:t>a</w:t>
      </w:r>
      <w:r w:rsidRPr="00FC5566">
        <w:rPr>
          <w:b/>
          <w:kern w:val="2"/>
        </w:rPr>
        <w:t>pt</w:t>
      </w:r>
      <w:r w:rsidRPr="00FC5566">
        <w:rPr>
          <w:b/>
          <w:spacing w:val="-1"/>
          <w:kern w:val="2"/>
        </w:rPr>
        <w:t>e</w:t>
      </w:r>
      <w:r w:rsidRPr="00FC5566">
        <w:rPr>
          <w:b/>
          <w:kern w:val="2"/>
        </w:rPr>
        <w:t>r</w:t>
      </w:r>
      <w:r w:rsidRPr="00FC5566">
        <w:rPr>
          <w:b/>
          <w:spacing w:val="-5"/>
          <w:kern w:val="2"/>
        </w:rPr>
        <w:t xml:space="preserve"> </w:t>
      </w:r>
      <w:r w:rsidRPr="00FC5566">
        <w:rPr>
          <w:b/>
          <w:spacing w:val="1"/>
          <w:kern w:val="2"/>
        </w:rPr>
        <w:t>1</w:t>
      </w:r>
      <w:r w:rsidRPr="00FC5566">
        <w:rPr>
          <w:b/>
          <w:kern w:val="2"/>
        </w:rPr>
        <w:t>.</w:t>
      </w:r>
      <w:r w:rsidRPr="00FC5566">
        <w:rPr>
          <w:b/>
          <w:kern w:val="2"/>
        </w:rPr>
        <w:tab/>
        <w:t xml:space="preserve">Adoption of the Louisiana Uniform Construction Code </w:t>
      </w:r>
    </w:p>
    <w:p w14:paraId="7F60CEEC"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§101.</w:t>
      </w:r>
      <w:r w:rsidRPr="00FC5566">
        <w:rPr>
          <w:b/>
          <w:kern w:val="2"/>
        </w:rPr>
        <w:tab/>
        <w:t xml:space="preserve">Louisiana Uniform Construction Code </w:t>
      </w:r>
    </w:p>
    <w:p w14:paraId="3FEF4000"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 xml:space="preserve">In accordance with the requirements set forth in R.S. 37:3727-3750, effective January 1, 2027, the following is hereby adopted as an amendment to the Louisiana Uniform Construction Code. </w:t>
      </w:r>
    </w:p>
    <w:p w14:paraId="58771B09"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37:3727-3750.</w:t>
      </w:r>
    </w:p>
    <w:p w14:paraId="6C551CB5"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Public Safety and Corrections, State Uniform Construction Code Council, LR 33:291 (February 2007), amended LR 34:93 (January 2008), LR 34:883 (May 2008), LR 34:2205 (October 2008), LR 35:1904 (September 2009), LR 36:2574 (November 2010), effective January 1, 2011, LR 37:601 (February 2011), LR 37:913 (March 2011), repromulgated LR 37:2187 (July 2011), repromulgated LR 37:2726 (September 2011), LR 37:3065(October 2011), LR 38:1994 (August 2012), amended by the Department of Public Safety and Corrections, Uniform Construction Code Council, LR 39:1825 (July 2013), LR 39:2512 (September 2013), LR 40:2609 (December 2014), amended by the Department of Public Safety and Corrections, Office of State Fire Marshal, LR 41:2380 (November 2015), amended by the Department of Public Safety and Corrections, Office of State Fire Marshal, Uniform Construction Code Council, LR 42:1672 (October 2016), LR 44:75 (January 2018), repromulgated LR 45:912 (July 2019), amended LR 47:80 (January 2021), LR 48:2577 (October 2022), LR 50:403 (March 2024), amended by the Office of the Governor, Uniform Construction Code Commission LR 52:</w:t>
      </w:r>
    </w:p>
    <w:p w14:paraId="183B2FF0"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§103.</w:t>
      </w:r>
      <w:r w:rsidRPr="00FC5566">
        <w:rPr>
          <w:b/>
          <w:kern w:val="2"/>
        </w:rPr>
        <w:tab/>
        <w:t>International Building Code</w:t>
      </w:r>
    </w:p>
    <w:p w14:paraId="31AAB81F"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i/>
          <w:iCs/>
          <w:kern w:val="2"/>
        </w:rPr>
        <w:tab/>
        <w:t>International Building Code</w:t>
      </w:r>
      <w:r w:rsidRPr="00FC5566">
        <w:rPr>
          <w:kern w:val="2"/>
        </w:rPr>
        <w:t xml:space="preserve"> (IBC), 2024 Edition, not including Chapter 1, Administration, and Chapter 27, Electrical. The applicable standards referenced in that code are included for regulation of construction within this state. Furthermore, IBC shall be amended as follows and shall only apply to the International Building Code.</w:t>
      </w:r>
    </w:p>
    <w:p w14:paraId="7D663DFF"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sectPr w:rsidR="00FC5566" w:rsidRPr="00FC5566" w:rsidSect="00FC5566">
          <w:type w:val="continuous"/>
          <w:pgSz w:w="12240" w:h="15840" w:code="1"/>
          <w:pgMar w:top="720" w:right="864" w:bottom="317" w:left="864" w:header="576" w:footer="432" w:gutter="0"/>
          <w:cols w:num="2" w:space="720"/>
        </w:sectPr>
      </w:pPr>
    </w:p>
    <w:p w14:paraId="56655D7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p w14:paraId="09BE90FF" w14:textId="77777777" w:rsidR="00FC5566" w:rsidRPr="00FC5566" w:rsidRDefault="00FC5566" w:rsidP="00FC5566">
      <w:pPr>
        <w:widowControl w:val="0"/>
        <w:autoSpaceDE w:val="0"/>
        <w:autoSpaceDN w:val="0"/>
        <w:ind w:right="15"/>
        <w:jc w:val="center"/>
        <w:rPr>
          <w:spacing w:val="-2"/>
          <w:sz w:val="16"/>
          <w:szCs w:val="16"/>
        </w:rPr>
        <w:sectPr w:rsidR="00FC5566" w:rsidRPr="00FC5566" w:rsidSect="00FC5566">
          <w:type w:val="continuous"/>
          <w:pgSz w:w="12240" w:h="15840"/>
          <w:pgMar w:top="720" w:right="864" w:bottom="317" w:left="864" w:header="576" w:footer="432" w:gutter="0"/>
          <w:cols w:num="2" w:space="720"/>
          <w:docGrid w:linePitch="360"/>
        </w:sectPr>
      </w:pPr>
    </w:p>
    <w:tbl>
      <w:tblPr>
        <w:tblW w:w="10609"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80"/>
        <w:gridCol w:w="2430"/>
        <w:gridCol w:w="7099"/>
      </w:tblGrid>
      <w:tr w:rsidR="00FC5566" w:rsidRPr="00FC5566" w14:paraId="0094ED49" w14:textId="77777777" w:rsidTr="00B247D5">
        <w:trPr>
          <w:trHeight w:val="259"/>
        </w:trPr>
        <w:tc>
          <w:tcPr>
            <w:tcW w:w="1080" w:type="dxa"/>
          </w:tcPr>
          <w:p w14:paraId="6ECD2B0D" w14:textId="77777777" w:rsidR="00FC5566" w:rsidRPr="00FC5566" w:rsidRDefault="00FC5566" w:rsidP="00FC5566">
            <w:pPr>
              <w:widowControl w:val="0"/>
              <w:autoSpaceDE w:val="0"/>
              <w:autoSpaceDN w:val="0"/>
              <w:ind w:right="15"/>
              <w:jc w:val="center"/>
              <w:rPr>
                <w:sz w:val="16"/>
                <w:szCs w:val="16"/>
              </w:rPr>
            </w:pPr>
            <w:r w:rsidRPr="00FC5566">
              <w:rPr>
                <w:spacing w:val="-2"/>
                <w:sz w:val="16"/>
                <w:szCs w:val="16"/>
              </w:rPr>
              <w:t>Amend</w:t>
            </w:r>
          </w:p>
        </w:tc>
        <w:tc>
          <w:tcPr>
            <w:tcW w:w="2430" w:type="dxa"/>
          </w:tcPr>
          <w:p w14:paraId="4FF97633" w14:textId="77777777" w:rsidR="00FC5566" w:rsidRPr="00FC5566" w:rsidRDefault="00FC5566" w:rsidP="00FC5566">
            <w:pPr>
              <w:widowControl w:val="0"/>
              <w:autoSpaceDE w:val="0"/>
              <w:autoSpaceDN w:val="0"/>
              <w:ind w:left="107"/>
              <w:rPr>
                <w:sz w:val="16"/>
                <w:szCs w:val="16"/>
              </w:rPr>
            </w:pPr>
            <w:r w:rsidRPr="00FC5566">
              <w:rPr>
                <w:sz w:val="16"/>
                <w:szCs w:val="16"/>
              </w:rPr>
              <w:t>Chapter</w:t>
            </w:r>
            <w:r w:rsidRPr="00FC5566">
              <w:rPr>
                <w:spacing w:val="-7"/>
                <w:sz w:val="16"/>
                <w:szCs w:val="16"/>
              </w:rPr>
              <w:t xml:space="preserve"> </w:t>
            </w:r>
            <w:r w:rsidRPr="00FC5566">
              <w:rPr>
                <w:sz w:val="16"/>
                <w:szCs w:val="16"/>
              </w:rPr>
              <w:t>2,</w:t>
            </w:r>
            <w:r w:rsidRPr="00FC5566">
              <w:rPr>
                <w:spacing w:val="-4"/>
                <w:sz w:val="16"/>
                <w:szCs w:val="16"/>
              </w:rPr>
              <w:t xml:space="preserve"> </w:t>
            </w:r>
            <w:r w:rsidRPr="00FC5566">
              <w:rPr>
                <w:spacing w:val="-2"/>
                <w:sz w:val="16"/>
                <w:szCs w:val="16"/>
              </w:rPr>
              <w:t>Definitions.</w:t>
            </w:r>
          </w:p>
        </w:tc>
        <w:tc>
          <w:tcPr>
            <w:tcW w:w="7099" w:type="dxa"/>
          </w:tcPr>
          <w:p w14:paraId="303872B2" w14:textId="77777777" w:rsidR="00FC5566" w:rsidRPr="00FC5566" w:rsidRDefault="00FC5566" w:rsidP="00FC5566">
            <w:pPr>
              <w:widowControl w:val="0"/>
              <w:autoSpaceDE w:val="0"/>
              <w:autoSpaceDN w:val="0"/>
              <w:ind w:left="108"/>
              <w:rPr>
                <w:sz w:val="16"/>
                <w:szCs w:val="16"/>
              </w:rPr>
            </w:pPr>
          </w:p>
        </w:tc>
      </w:tr>
      <w:tr w:rsidR="00FC5566" w:rsidRPr="00FC5566" w14:paraId="54070E3B" w14:textId="77777777" w:rsidTr="00B247D5">
        <w:trPr>
          <w:trHeight w:val="259"/>
        </w:trPr>
        <w:tc>
          <w:tcPr>
            <w:tcW w:w="1080" w:type="dxa"/>
          </w:tcPr>
          <w:p w14:paraId="6C5FBC18" w14:textId="77777777" w:rsidR="00FC5566" w:rsidRPr="00FC5566" w:rsidRDefault="00FC5566" w:rsidP="00FC5566">
            <w:pPr>
              <w:widowControl w:val="0"/>
              <w:autoSpaceDE w:val="0"/>
              <w:autoSpaceDN w:val="0"/>
              <w:ind w:right="15"/>
              <w:jc w:val="center"/>
              <w:rPr>
                <w:spacing w:val="-2"/>
                <w:sz w:val="16"/>
                <w:szCs w:val="16"/>
              </w:rPr>
            </w:pPr>
            <w:r w:rsidRPr="00FC5566">
              <w:rPr>
                <w:spacing w:val="-2"/>
                <w:sz w:val="16"/>
                <w:szCs w:val="16"/>
              </w:rPr>
              <w:t>Amend</w:t>
            </w:r>
          </w:p>
        </w:tc>
        <w:tc>
          <w:tcPr>
            <w:tcW w:w="2430" w:type="dxa"/>
          </w:tcPr>
          <w:p w14:paraId="2FBFD5DD" w14:textId="77777777" w:rsidR="00FC5566" w:rsidRPr="00FC5566" w:rsidRDefault="00FC5566" w:rsidP="00FC5566">
            <w:pPr>
              <w:widowControl w:val="0"/>
              <w:autoSpaceDE w:val="0"/>
              <w:autoSpaceDN w:val="0"/>
              <w:ind w:left="107"/>
              <w:rPr>
                <w:sz w:val="16"/>
                <w:szCs w:val="16"/>
              </w:rPr>
            </w:pPr>
            <w:r w:rsidRPr="00FC5566">
              <w:rPr>
                <w:sz w:val="16"/>
                <w:szCs w:val="16"/>
              </w:rPr>
              <w:t>Section 201, General.</w:t>
            </w:r>
          </w:p>
        </w:tc>
        <w:tc>
          <w:tcPr>
            <w:tcW w:w="7099" w:type="dxa"/>
          </w:tcPr>
          <w:p w14:paraId="6D7C48F0" w14:textId="77777777" w:rsidR="00FC5566" w:rsidRPr="00FC5566" w:rsidRDefault="00FC5566" w:rsidP="00FC5566">
            <w:pPr>
              <w:widowControl w:val="0"/>
              <w:autoSpaceDE w:val="0"/>
              <w:autoSpaceDN w:val="0"/>
              <w:ind w:left="108"/>
              <w:rPr>
                <w:sz w:val="16"/>
                <w:szCs w:val="16"/>
              </w:rPr>
            </w:pPr>
          </w:p>
        </w:tc>
      </w:tr>
      <w:tr w:rsidR="00FC5566" w:rsidRPr="00FC5566" w14:paraId="2EFE243F" w14:textId="77777777" w:rsidTr="00B247D5">
        <w:trPr>
          <w:trHeight w:val="369"/>
        </w:trPr>
        <w:tc>
          <w:tcPr>
            <w:tcW w:w="1080" w:type="dxa"/>
          </w:tcPr>
          <w:p w14:paraId="2DB9CEC4" w14:textId="77777777" w:rsidR="00FC5566" w:rsidRPr="00FC5566" w:rsidRDefault="00FC5566" w:rsidP="00FC5566">
            <w:pPr>
              <w:widowControl w:val="0"/>
              <w:autoSpaceDE w:val="0"/>
              <w:autoSpaceDN w:val="0"/>
              <w:ind w:right="15"/>
              <w:jc w:val="center"/>
              <w:rPr>
                <w:spacing w:val="-2"/>
                <w:sz w:val="16"/>
                <w:szCs w:val="16"/>
              </w:rPr>
            </w:pPr>
            <w:r w:rsidRPr="00FC5566">
              <w:rPr>
                <w:spacing w:val="-2"/>
                <w:sz w:val="16"/>
                <w:szCs w:val="16"/>
              </w:rPr>
              <w:t>Adopt</w:t>
            </w:r>
          </w:p>
        </w:tc>
        <w:tc>
          <w:tcPr>
            <w:tcW w:w="2430" w:type="dxa"/>
          </w:tcPr>
          <w:p w14:paraId="4C3E0D2B" w14:textId="77777777" w:rsidR="00FC5566" w:rsidRPr="00FC5566" w:rsidRDefault="00FC5566" w:rsidP="00FC5566">
            <w:pPr>
              <w:widowControl w:val="0"/>
              <w:autoSpaceDE w:val="0"/>
              <w:autoSpaceDN w:val="0"/>
              <w:ind w:left="107"/>
              <w:rPr>
                <w:sz w:val="16"/>
                <w:szCs w:val="16"/>
              </w:rPr>
            </w:pPr>
            <w:r w:rsidRPr="00FC5566">
              <w:rPr>
                <w:sz w:val="16"/>
                <w:szCs w:val="16"/>
              </w:rPr>
              <w:t>Section 201.5, Reference Standards.</w:t>
            </w:r>
          </w:p>
        </w:tc>
        <w:tc>
          <w:tcPr>
            <w:tcW w:w="7099" w:type="dxa"/>
          </w:tcPr>
          <w:p w14:paraId="038C0DE8" w14:textId="77777777" w:rsidR="00FC5566" w:rsidRPr="00FC5566" w:rsidRDefault="00FC5566" w:rsidP="00FC5566">
            <w:pPr>
              <w:widowControl w:val="0"/>
              <w:autoSpaceDE w:val="0"/>
              <w:autoSpaceDN w:val="0"/>
              <w:ind w:left="108"/>
              <w:rPr>
                <w:sz w:val="16"/>
                <w:szCs w:val="16"/>
              </w:rPr>
            </w:pPr>
            <w:r w:rsidRPr="00FC5566">
              <w:rPr>
                <w:sz w:val="16"/>
                <w:szCs w:val="16"/>
              </w:rPr>
              <w:t>The applicable standards referenced in this code are included for regulation of construction within this state.</w:t>
            </w:r>
          </w:p>
        </w:tc>
      </w:tr>
      <w:tr w:rsidR="00FC5566" w:rsidRPr="00FC5566" w14:paraId="19CBAC76" w14:textId="77777777" w:rsidTr="00B247D5">
        <w:trPr>
          <w:trHeight w:val="369"/>
        </w:trPr>
        <w:tc>
          <w:tcPr>
            <w:tcW w:w="1080" w:type="dxa"/>
          </w:tcPr>
          <w:p w14:paraId="66C149BE" w14:textId="77777777" w:rsidR="00FC5566" w:rsidRPr="00FC5566" w:rsidRDefault="00FC5566" w:rsidP="00FC5566">
            <w:pPr>
              <w:widowControl w:val="0"/>
              <w:autoSpaceDE w:val="0"/>
              <w:autoSpaceDN w:val="0"/>
              <w:ind w:right="15"/>
              <w:jc w:val="center"/>
              <w:rPr>
                <w:spacing w:val="-2"/>
                <w:sz w:val="16"/>
                <w:szCs w:val="16"/>
              </w:rPr>
            </w:pPr>
            <w:r w:rsidRPr="00FC5566">
              <w:rPr>
                <w:spacing w:val="-2"/>
                <w:sz w:val="16"/>
                <w:szCs w:val="16"/>
              </w:rPr>
              <w:t>Adopt</w:t>
            </w:r>
          </w:p>
        </w:tc>
        <w:tc>
          <w:tcPr>
            <w:tcW w:w="2430" w:type="dxa"/>
          </w:tcPr>
          <w:p w14:paraId="2036FB75" w14:textId="77777777" w:rsidR="00FC5566" w:rsidRPr="00FC5566" w:rsidRDefault="00FC5566" w:rsidP="00FC5566">
            <w:pPr>
              <w:widowControl w:val="0"/>
              <w:autoSpaceDE w:val="0"/>
              <w:autoSpaceDN w:val="0"/>
              <w:ind w:left="107"/>
              <w:rPr>
                <w:sz w:val="16"/>
                <w:szCs w:val="16"/>
              </w:rPr>
            </w:pPr>
            <w:r w:rsidRPr="00FC5566">
              <w:rPr>
                <w:sz w:val="16"/>
                <w:szCs w:val="16"/>
              </w:rPr>
              <w:t>Section 201.6, Scope.</w:t>
            </w:r>
          </w:p>
        </w:tc>
        <w:tc>
          <w:tcPr>
            <w:tcW w:w="7099" w:type="dxa"/>
          </w:tcPr>
          <w:p w14:paraId="78596D86" w14:textId="77777777" w:rsidR="00FC5566" w:rsidRPr="00FC5566" w:rsidRDefault="00FC5566" w:rsidP="00FC5566">
            <w:pPr>
              <w:widowControl w:val="0"/>
              <w:autoSpaceDE w:val="0"/>
              <w:autoSpaceDN w:val="0"/>
              <w:ind w:left="108"/>
              <w:rPr>
                <w:sz w:val="16"/>
                <w:szCs w:val="16"/>
              </w:rPr>
            </w:pPr>
            <w:r w:rsidRPr="00FC5566">
              <w:rPr>
                <w:sz w:val="16"/>
                <w:szCs w:val="16"/>
              </w:rPr>
              <w:t>The provisions of this code shall apply to the repair, alteration, change of occupancy, addition to and relocation of existing buildings.</w:t>
            </w:r>
          </w:p>
        </w:tc>
      </w:tr>
      <w:tr w:rsidR="00FC5566" w:rsidRPr="00FC5566" w14:paraId="01E33646" w14:textId="77777777" w:rsidTr="00B247D5">
        <w:trPr>
          <w:trHeight w:val="259"/>
        </w:trPr>
        <w:tc>
          <w:tcPr>
            <w:tcW w:w="1080" w:type="dxa"/>
          </w:tcPr>
          <w:p w14:paraId="35A3EB3B" w14:textId="77777777" w:rsidR="00FC5566" w:rsidRPr="00FC5566" w:rsidRDefault="00FC5566" w:rsidP="00FC5566">
            <w:pPr>
              <w:widowControl w:val="0"/>
              <w:autoSpaceDE w:val="0"/>
              <w:autoSpaceDN w:val="0"/>
              <w:ind w:right="15"/>
              <w:jc w:val="center"/>
              <w:rPr>
                <w:spacing w:val="-2"/>
                <w:sz w:val="16"/>
                <w:szCs w:val="16"/>
              </w:rPr>
            </w:pPr>
            <w:r w:rsidRPr="00FC5566">
              <w:rPr>
                <w:spacing w:val="-2"/>
                <w:sz w:val="16"/>
                <w:szCs w:val="16"/>
              </w:rPr>
              <w:t>Amend</w:t>
            </w:r>
          </w:p>
        </w:tc>
        <w:tc>
          <w:tcPr>
            <w:tcW w:w="2430" w:type="dxa"/>
          </w:tcPr>
          <w:p w14:paraId="6C841165" w14:textId="77777777" w:rsidR="00FC5566" w:rsidRPr="00FC5566" w:rsidRDefault="00FC5566" w:rsidP="00FC5566">
            <w:pPr>
              <w:widowControl w:val="0"/>
              <w:autoSpaceDE w:val="0"/>
              <w:autoSpaceDN w:val="0"/>
              <w:ind w:left="107"/>
              <w:rPr>
                <w:sz w:val="16"/>
                <w:szCs w:val="16"/>
              </w:rPr>
            </w:pPr>
            <w:r w:rsidRPr="00FC5566">
              <w:rPr>
                <w:sz w:val="16"/>
                <w:szCs w:val="16"/>
              </w:rPr>
              <w:t>Section 202, Definitions.</w:t>
            </w:r>
          </w:p>
        </w:tc>
        <w:tc>
          <w:tcPr>
            <w:tcW w:w="7099" w:type="dxa"/>
          </w:tcPr>
          <w:p w14:paraId="219C3D2A" w14:textId="77777777" w:rsidR="00FC5566" w:rsidRPr="00FC5566" w:rsidRDefault="00FC5566" w:rsidP="00FC5566">
            <w:pPr>
              <w:widowControl w:val="0"/>
              <w:autoSpaceDE w:val="0"/>
              <w:autoSpaceDN w:val="0"/>
              <w:ind w:left="108"/>
              <w:rPr>
                <w:sz w:val="16"/>
                <w:szCs w:val="16"/>
              </w:rPr>
            </w:pPr>
          </w:p>
        </w:tc>
      </w:tr>
      <w:tr w:rsidR="00FC5566" w:rsidRPr="00FC5566" w14:paraId="39C39D26" w14:textId="77777777" w:rsidTr="00B247D5">
        <w:trPr>
          <w:trHeight w:val="369"/>
        </w:trPr>
        <w:tc>
          <w:tcPr>
            <w:tcW w:w="1080" w:type="dxa"/>
          </w:tcPr>
          <w:p w14:paraId="04A5CFE2" w14:textId="77777777" w:rsidR="00FC5566" w:rsidRPr="00FC5566" w:rsidRDefault="00FC5566" w:rsidP="00FC5566">
            <w:pPr>
              <w:widowControl w:val="0"/>
              <w:autoSpaceDE w:val="0"/>
              <w:autoSpaceDN w:val="0"/>
              <w:ind w:right="15"/>
              <w:jc w:val="center"/>
              <w:rPr>
                <w:spacing w:val="-2"/>
                <w:sz w:val="16"/>
                <w:szCs w:val="16"/>
              </w:rPr>
            </w:pPr>
            <w:r w:rsidRPr="00FC5566">
              <w:rPr>
                <w:spacing w:val="-2"/>
                <w:sz w:val="16"/>
                <w:szCs w:val="16"/>
              </w:rPr>
              <w:t>Adopt</w:t>
            </w:r>
          </w:p>
        </w:tc>
        <w:tc>
          <w:tcPr>
            <w:tcW w:w="2430" w:type="dxa"/>
          </w:tcPr>
          <w:p w14:paraId="6824CA46" w14:textId="77777777" w:rsidR="00FC5566" w:rsidRPr="00FC5566" w:rsidRDefault="00FC5566" w:rsidP="00FC5566">
            <w:pPr>
              <w:widowControl w:val="0"/>
              <w:autoSpaceDE w:val="0"/>
              <w:autoSpaceDN w:val="0"/>
              <w:ind w:left="107"/>
              <w:rPr>
                <w:sz w:val="16"/>
                <w:szCs w:val="16"/>
              </w:rPr>
            </w:pPr>
          </w:p>
        </w:tc>
        <w:tc>
          <w:tcPr>
            <w:tcW w:w="7099" w:type="dxa"/>
          </w:tcPr>
          <w:p w14:paraId="6670C09A" w14:textId="77777777" w:rsidR="00FC5566" w:rsidRPr="00FC5566" w:rsidRDefault="00FC5566" w:rsidP="00FC5566">
            <w:pPr>
              <w:widowControl w:val="0"/>
              <w:autoSpaceDE w:val="0"/>
              <w:autoSpaceDN w:val="0"/>
              <w:ind w:left="108"/>
              <w:rPr>
                <w:sz w:val="16"/>
                <w:szCs w:val="16"/>
              </w:rPr>
            </w:pPr>
            <w:r w:rsidRPr="00FC5566">
              <w:rPr>
                <w:sz w:val="16"/>
                <w:szCs w:val="16"/>
              </w:rPr>
              <w:t>Mini-Storage</w:t>
            </w:r>
            <w:r w:rsidRPr="00FC5566">
              <w:rPr>
                <w:spacing w:val="-9"/>
                <w:sz w:val="16"/>
                <w:szCs w:val="16"/>
              </w:rPr>
              <w:t xml:space="preserve"> </w:t>
            </w:r>
            <w:r w:rsidRPr="00FC5566">
              <w:rPr>
                <w:sz w:val="16"/>
                <w:szCs w:val="16"/>
              </w:rPr>
              <w:t>Facility.</w:t>
            </w:r>
            <w:r w:rsidRPr="00FC5566">
              <w:rPr>
                <w:spacing w:val="-5"/>
                <w:sz w:val="16"/>
                <w:szCs w:val="16"/>
              </w:rPr>
              <w:t xml:space="preserve"> </w:t>
            </w:r>
            <w:r w:rsidRPr="00FC5566">
              <w:rPr>
                <w:sz w:val="16"/>
                <w:szCs w:val="16"/>
              </w:rPr>
              <w:t>A</w:t>
            </w:r>
            <w:r w:rsidRPr="00FC5566">
              <w:rPr>
                <w:spacing w:val="-4"/>
                <w:sz w:val="16"/>
                <w:szCs w:val="16"/>
              </w:rPr>
              <w:t xml:space="preserve"> </w:t>
            </w:r>
            <w:r w:rsidRPr="00FC5566">
              <w:rPr>
                <w:sz w:val="16"/>
                <w:szCs w:val="16"/>
              </w:rPr>
              <w:t>self-service</w:t>
            </w:r>
            <w:r w:rsidRPr="00FC5566">
              <w:rPr>
                <w:spacing w:val="-7"/>
                <w:sz w:val="16"/>
                <w:szCs w:val="16"/>
              </w:rPr>
              <w:t xml:space="preserve"> </w:t>
            </w:r>
            <w:r w:rsidRPr="00FC5566">
              <w:rPr>
                <w:sz w:val="16"/>
                <w:szCs w:val="16"/>
              </w:rPr>
              <w:t>storage</w:t>
            </w:r>
            <w:r w:rsidRPr="00FC5566">
              <w:rPr>
                <w:spacing w:val="-5"/>
                <w:sz w:val="16"/>
                <w:szCs w:val="16"/>
              </w:rPr>
              <w:t xml:space="preserve"> </w:t>
            </w:r>
            <w:r w:rsidRPr="00FC5566">
              <w:rPr>
                <w:sz w:val="16"/>
                <w:szCs w:val="16"/>
              </w:rPr>
              <w:t>facility</w:t>
            </w:r>
            <w:r w:rsidRPr="00FC5566">
              <w:rPr>
                <w:spacing w:val="-8"/>
                <w:sz w:val="16"/>
                <w:szCs w:val="16"/>
              </w:rPr>
              <w:t xml:space="preserve"> </w:t>
            </w:r>
            <w:r w:rsidRPr="00FC5566">
              <w:rPr>
                <w:sz w:val="16"/>
                <w:szCs w:val="16"/>
              </w:rPr>
              <w:t>which</w:t>
            </w:r>
            <w:r w:rsidRPr="00FC5566">
              <w:rPr>
                <w:spacing w:val="-5"/>
                <w:sz w:val="16"/>
                <w:szCs w:val="16"/>
              </w:rPr>
              <w:t xml:space="preserve"> </w:t>
            </w:r>
            <w:r w:rsidRPr="00FC5566">
              <w:rPr>
                <w:sz w:val="16"/>
                <w:szCs w:val="16"/>
              </w:rPr>
              <w:t>rents</w:t>
            </w:r>
            <w:r w:rsidRPr="00FC5566">
              <w:rPr>
                <w:spacing w:val="-5"/>
                <w:sz w:val="16"/>
                <w:szCs w:val="16"/>
              </w:rPr>
              <w:t xml:space="preserve"> </w:t>
            </w:r>
            <w:r w:rsidRPr="00FC5566">
              <w:rPr>
                <w:sz w:val="16"/>
                <w:szCs w:val="16"/>
              </w:rPr>
              <w:t>or</w:t>
            </w:r>
            <w:r w:rsidRPr="00FC5566">
              <w:rPr>
                <w:spacing w:val="-6"/>
                <w:sz w:val="16"/>
                <w:szCs w:val="16"/>
              </w:rPr>
              <w:t xml:space="preserve"> </w:t>
            </w:r>
            <w:r w:rsidRPr="00FC5566">
              <w:rPr>
                <w:sz w:val="16"/>
                <w:szCs w:val="16"/>
              </w:rPr>
              <w:t>leases</w:t>
            </w:r>
            <w:r w:rsidRPr="00FC5566">
              <w:rPr>
                <w:spacing w:val="-5"/>
                <w:sz w:val="16"/>
                <w:szCs w:val="16"/>
              </w:rPr>
              <w:t xml:space="preserve"> </w:t>
            </w:r>
            <w:r w:rsidRPr="00FC5566">
              <w:rPr>
                <w:sz w:val="16"/>
                <w:szCs w:val="16"/>
              </w:rPr>
              <w:t>individual</w:t>
            </w:r>
            <w:r w:rsidRPr="00FC5566">
              <w:rPr>
                <w:spacing w:val="-6"/>
                <w:sz w:val="16"/>
                <w:szCs w:val="16"/>
              </w:rPr>
              <w:t xml:space="preserve"> </w:t>
            </w:r>
            <w:r w:rsidRPr="00FC5566">
              <w:rPr>
                <w:sz w:val="16"/>
                <w:szCs w:val="16"/>
              </w:rPr>
              <w:t>storage</w:t>
            </w:r>
            <w:r w:rsidRPr="00FC5566">
              <w:rPr>
                <w:spacing w:val="-7"/>
                <w:sz w:val="16"/>
                <w:szCs w:val="16"/>
              </w:rPr>
              <w:t xml:space="preserve"> </w:t>
            </w:r>
            <w:r w:rsidRPr="00FC5566">
              <w:rPr>
                <w:sz w:val="16"/>
                <w:szCs w:val="16"/>
              </w:rPr>
              <w:t>space</w:t>
            </w:r>
            <w:r w:rsidRPr="00FC5566">
              <w:rPr>
                <w:spacing w:val="-6"/>
                <w:sz w:val="16"/>
                <w:szCs w:val="16"/>
              </w:rPr>
              <w:t xml:space="preserve"> </w:t>
            </w:r>
            <w:r w:rsidRPr="00FC5566">
              <w:rPr>
                <w:spacing w:val="-5"/>
                <w:sz w:val="16"/>
                <w:szCs w:val="16"/>
              </w:rPr>
              <w:t>to</w:t>
            </w:r>
          </w:p>
          <w:p w14:paraId="0E99B50E" w14:textId="77777777" w:rsidR="00FC5566" w:rsidRPr="00FC5566" w:rsidRDefault="00FC5566" w:rsidP="00FC5566">
            <w:pPr>
              <w:widowControl w:val="0"/>
              <w:autoSpaceDE w:val="0"/>
              <w:autoSpaceDN w:val="0"/>
              <w:ind w:left="108"/>
              <w:rPr>
                <w:sz w:val="16"/>
                <w:szCs w:val="16"/>
              </w:rPr>
            </w:pPr>
            <w:r w:rsidRPr="00FC5566">
              <w:rPr>
                <w:sz w:val="16"/>
                <w:szCs w:val="16"/>
              </w:rPr>
              <w:t>occupants</w:t>
            </w:r>
            <w:r w:rsidRPr="00FC5566">
              <w:rPr>
                <w:spacing w:val="-7"/>
                <w:sz w:val="16"/>
                <w:szCs w:val="16"/>
              </w:rPr>
              <w:t xml:space="preserve"> </w:t>
            </w:r>
            <w:r w:rsidRPr="00FC5566">
              <w:rPr>
                <w:sz w:val="16"/>
                <w:szCs w:val="16"/>
              </w:rPr>
              <w:t>for</w:t>
            </w:r>
            <w:r w:rsidRPr="00FC5566">
              <w:rPr>
                <w:spacing w:val="-5"/>
                <w:sz w:val="16"/>
                <w:szCs w:val="16"/>
              </w:rPr>
              <w:t xml:space="preserve"> </w:t>
            </w:r>
            <w:r w:rsidRPr="00FC5566">
              <w:rPr>
                <w:sz w:val="16"/>
                <w:szCs w:val="16"/>
              </w:rPr>
              <w:t>the</w:t>
            </w:r>
            <w:r w:rsidRPr="00FC5566">
              <w:rPr>
                <w:spacing w:val="-7"/>
                <w:sz w:val="16"/>
                <w:szCs w:val="16"/>
              </w:rPr>
              <w:t xml:space="preserve"> </w:t>
            </w:r>
            <w:r w:rsidRPr="00FC5566">
              <w:rPr>
                <w:sz w:val="16"/>
                <w:szCs w:val="16"/>
              </w:rPr>
              <w:t>storage</w:t>
            </w:r>
            <w:r w:rsidRPr="00FC5566">
              <w:rPr>
                <w:spacing w:val="-6"/>
                <w:sz w:val="16"/>
                <w:szCs w:val="16"/>
              </w:rPr>
              <w:t xml:space="preserve"> </w:t>
            </w:r>
            <w:r w:rsidRPr="00FC5566">
              <w:rPr>
                <w:sz w:val="16"/>
                <w:szCs w:val="16"/>
              </w:rPr>
              <w:t>and/or</w:t>
            </w:r>
            <w:r w:rsidRPr="00FC5566">
              <w:rPr>
                <w:spacing w:val="-5"/>
                <w:sz w:val="16"/>
                <w:szCs w:val="16"/>
              </w:rPr>
              <w:t xml:space="preserve"> </w:t>
            </w:r>
            <w:r w:rsidRPr="00FC5566">
              <w:rPr>
                <w:sz w:val="16"/>
                <w:szCs w:val="16"/>
              </w:rPr>
              <w:t>removal</w:t>
            </w:r>
            <w:r w:rsidRPr="00FC5566">
              <w:rPr>
                <w:spacing w:val="-6"/>
                <w:sz w:val="16"/>
                <w:szCs w:val="16"/>
              </w:rPr>
              <w:t xml:space="preserve"> </w:t>
            </w:r>
            <w:r w:rsidRPr="00FC5566">
              <w:rPr>
                <w:sz w:val="16"/>
                <w:szCs w:val="16"/>
              </w:rPr>
              <w:t>of</w:t>
            </w:r>
            <w:r w:rsidRPr="00FC5566">
              <w:rPr>
                <w:spacing w:val="-5"/>
                <w:sz w:val="16"/>
                <w:szCs w:val="16"/>
              </w:rPr>
              <w:t xml:space="preserve"> </w:t>
            </w:r>
            <w:r w:rsidRPr="00FC5566">
              <w:rPr>
                <w:sz w:val="16"/>
                <w:szCs w:val="16"/>
              </w:rPr>
              <w:t>personal</w:t>
            </w:r>
            <w:r w:rsidRPr="00FC5566">
              <w:rPr>
                <w:spacing w:val="-5"/>
                <w:sz w:val="16"/>
                <w:szCs w:val="16"/>
              </w:rPr>
              <w:t xml:space="preserve"> </w:t>
            </w:r>
            <w:r w:rsidRPr="00FC5566">
              <w:rPr>
                <w:spacing w:val="-2"/>
                <w:sz w:val="16"/>
                <w:szCs w:val="16"/>
              </w:rPr>
              <w:t>property.</w:t>
            </w:r>
          </w:p>
        </w:tc>
      </w:tr>
      <w:tr w:rsidR="00FC5566" w:rsidRPr="00FC5566" w14:paraId="0E521FDC" w14:textId="77777777" w:rsidTr="00B247D5">
        <w:trPr>
          <w:trHeight w:val="369"/>
        </w:trPr>
        <w:tc>
          <w:tcPr>
            <w:tcW w:w="1080" w:type="dxa"/>
          </w:tcPr>
          <w:p w14:paraId="20708416" w14:textId="77777777" w:rsidR="00FC5566" w:rsidRPr="00FC5566" w:rsidRDefault="00FC5566" w:rsidP="00FC5566">
            <w:pPr>
              <w:widowControl w:val="0"/>
              <w:autoSpaceDE w:val="0"/>
              <w:autoSpaceDN w:val="0"/>
              <w:ind w:right="15"/>
              <w:jc w:val="center"/>
              <w:rPr>
                <w:spacing w:val="-2"/>
                <w:sz w:val="16"/>
                <w:szCs w:val="16"/>
              </w:rPr>
            </w:pPr>
            <w:r w:rsidRPr="00FC5566">
              <w:rPr>
                <w:spacing w:val="-2"/>
                <w:sz w:val="16"/>
                <w:szCs w:val="16"/>
              </w:rPr>
              <w:t>Adopt</w:t>
            </w:r>
          </w:p>
        </w:tc>
        <w:tc>
          <w:tcPr>
            <w:tcW w:w="2430" w:type="dxa"/>
          </w:tcPr>
          <w:p w14:paraId="17880C32" w14:textId="77777777" w:rsidR="00FC5566" w:rsidRPr="00FC5566" w:rsidRDefault="00FC5566" w:rsidP="00FC5566">
            <w:pPr>
              <w:widowControl w:val="0"/>
              <w:autoSpaceDE w:val="0"/>
              <w:autoSpaceDN w:val="0"/>
              <w:ind w:left="107"/>
              <w:rPr>
                <w:sz w:val="16"/>
                <w:szCs w:val="16"/>
              </w:rPr>
            </w:pPr>
          </w:p>
        </w:tc>
        <w:tc>
          <w:tcPr>
            <w:tcW w:w="7099" w:type="dxa"/>
          </w:tcPr>
          <w:p w14:paraId="5948A996" w14:textId="77777777" w:rsidR="00FC5566" w:rsidRPr="00FC5566" w:rsidRDefault="00FC5566" w:rsidP="00FC5566">
            <w:pPr>
              <w:widowControl w:val="0"/>
              <w:autoSpaceDE w:val="0"/>
              <w:autoSpaceDN w:val="0"/>
              <w:ind w:left="108"/>
              <w:rPr>
                <w:sz w:val="16"/>
                <w:szCs w:val="16"/>
              </w:rPr>
            </w:pPr>
            <w:r w:rsidRPr="00FC5566">
              <w:rPr>
                <w:sz w:val="16"/>
                <w:szCs w:val="16"/>
              </w:rPr>
              <w:t>Religious Entity.</w:t>
            </w:r>
            <w:r w:rsidRPr="00FC5566">
              <w:rPr>
                <w:b/>
                <w:bCs/>
                <w:sz w:val="16"/>
                <w:szCs w:val="16"/>
              </w:rPr>
              <w:t xml:space="preserve">  </w:t>
            </w:r>
            <w:r w:rsidRPr="00FC5566">
              <w:rPr>
                <w:sz w:val="16"/>
                <w:szCs w:val="16"/>
              </w:rPr>
              <w:t>A </w:t>
            </w:r>
            <w:r w:rsidRPr="00FC5566">
              <w:rPr>
                <w:i/>
                <w:iCs/>
                <w:sz w:val="16"/>
                <w:szCs w:val="16"/>
              </w:rPr>
              <w:t>building</w:t>
            </w:r>
            <w:r w:rsidRPr="00FC5566">
              <w:rPr>
                <w:sz w:val="16"/>
                <w:szCs w:val="16"/>
              </w:rPr>
              <w:t> or portion thereof intended for the performance of religious services.</w:t>
            </w:r>
          </w:p>
          <w:p w14:paraId="539ECE03" w14:textId="77777777" w:rsidR="00FC5566" w:rsidRPr="00FC5566" w:rsidRDefault="00FC5566" w:rsidP="00FC5566">
            <w:pPr>
              <w:widowControl w:val="0"/>
              <w:autoSpaceDE w:val="0"/>
              <w:autoSpaceDN w:val="0"/>
              <w:ind w:left="108"/>
              <w:rPr>
                <w:sz w:val="16"/>
                <w:szCs w:val="16"/>
              </w:rPr>
            </w:pPr>
            <w:r w:rsidRPr="00FC5566">
              <w:rPr>
                <w:sz w:val="16"/>
                <w:szCs w:val="16"/>
              </w:rPr>
              <w:t>Religious entity means a religious organization, including but not limited to, a Place of Religious Worship.</w:t>
            </w:r>
          </w:p>
        </w:tc>
      </w:tr>
      <w:tr w:rsidR="00FC5566" w:rsidRPr="00FC5566" w14:paraId="726E16DF" w14:textId="77777777" w:rsidTr="00B247D5">
        <w:trPr>
          <w:trHeight w:val="369"/>
        </w:trPr>
        <w:tc>
          <w:tcPr>
            <w:tcW w:w="1080" w:type="dxa"/>
          </w:tcPr>
          <w:p w14:paraId="7F9CFB6E" w14:textId="77777777" w:rsidR="00FC5566" w:rsidRPr="00FC5566" w:rsidRDefault="00FC5566" w:rsidP="00FC5566">
            <w:pPr>
              <w:widowControl w:val="0"/>
              <w:autoSpaceDE w:val="0"/>
              <w:autoSpaceDN w:val="0"/>
              <w:ind w:right="15"/>
              <w:jc w:val="center"/>
              <w:rPr>
                <w:spacing w:val="-2"/>
                <w:sz w:val="16"/>
                <w:szCs w:val="16"/>
              </w:rPr>
            </w:pPr>
            <w:r w:rsidRPr="00FC5566">
              <w:rPr>
                <w:spacing w:val="-2"/>
                <w:sz w:val="16"/>
                <w:szCs w:val="16"/>
              </w:rPr>
              <w:t>Amend</w:t>
            </w:r>
          </w:p>
        </w:tc>
        <w:tc>
          <w:tcPr>
            <w:tcW w:w="2430" w:type="dxa"/>
          </w:tcPr>
          <w:p w14:paraId="4466BA39" w14:textId="77777777" w:rsidR="00FC5566" w:rsidRPr="00FC5566" w:rsidRDefault="00FC5566" w:rsidP="00FC5566">
            <w:pPr>
              <w:widowControl w:val="0"/>
              <w:autoSpaceDE w:val="0"/>
              <w:autoSpaceDN w:val="0"/>
              <w:ind w:left="107"/>
              <w:rPr>
                <w:sz w:val="16"/>
                <w:szCs w:val="16"/>
              </w:rPr>
            </w:pPr>
            <w:r w:rsidRPr="00FC5566">
              <w:rPr>
                <w:sz w:val="16"/>
                <w:szCs w:val="16"/>
              </w:rPr>
              <w:t>Chapter 3, Occupancy Classification and Use.</w:t>
            </w:r>
          </w:p>
        </w:tc>
        <w:tc>
          <w:tcPr>
            <w:tcW w:w="7099" w:type="dxa"/>
          </w:tcPr>
          <w:p w14:paraId="340301F0" w14:textId="77777777" w:rsidR="00FC5566" w:rsidRPr="00FC5566" w:rsidRDefault="00FC5566" w:rsidP="00FC5566">
            <w:pPr>
              <w:widowControl w:val="0"/>
              <w:autoSpaceDE w:val="0"/>
              <w:autoSpaceDN w:val="0"/>
              <w:ind w:left="108"/>
              <w:rPr>
                <w:sz w:val="16"/>
                <w:szCs w:val="16"/>
              </w:rPr>
            </w:pPr>
          </w:p>
        </w:tc>
      </w:tr>
      <w:tr w:rsidR="00FC5566" w:rsidRPr="00FC5566" w14:paraId="5DE25CE4" w14:textId="77777777" w:rsidTr="00B247D5">
        <w:trPr>
          <w:trHeight w:val="369"/>
        </w:trPr>
        <w:tc>
          <w:tcPr>
            <w:tcW w:w="1080" w:type="dxa"/>
          </w:tcPr>
          <w:p w14:paraId="04705C2E" w14:textId="77777777" w:rsidR="00FC5566" w:rsidRPr="00FC5566" w:rsidRDefault="00FC5566" w:rsidP="00FC5566">
            <w:pPr>
              <w:widowControl w:val="0"/>
              <w:autoSpaceDE w:val="0"/>
              <w:autoSpaceDN w:val="0"/>
              <w:ind w:right="15"/>
              <w:jc w:val="center"/>
              <w:rPr>
                <w:spacing w:val="-2"/>
                <w:sz w:val="16"/>
                <w:szCs w:val="16"/>
              </w:rPr>
            </w:pPr>
            <w:r w:rsidRPr="00FC5566">
              <w:rPr>
                <w:spacing w:val="-2"/>
                <w:sz w:val="16"/>
                <w:szCs w:val="16"/>
              </w:rPr>
              <w:t>Amend</w:t>
            </w:r>
          </w:p>
        </w:tc>
        <w:tc>
          <w:tcPr>
            <w:tcW w:w="2430" w:type="dxa"/>
          </w:tcPr>
          <w:p w14:paraId="658D0B3A" w14:textId="77777777" w:rsidR="00FC5566" w:rsidRPr="00FC5566" w:rsidRDefault="00FC5566" w:rsidP="00FC5566">
            <w:pPr>
              <w:widowControl w:val="0"/>
              <w:autoSpaceDE w:val="0"/>
              <w:autoSpaceDN w:val="0"/>
              <w:ind w:left="107"/>
              <w:rPr>
                <w:sz w:val="16"/>
                <w:szCs w:val="16"/>
              </w:rPr>
            </w:pPr>
            <w:r w:rsidRPr="00FC5566">
              <w:rPr>
                <w:sz w:val="16"/>
                <w:szCs w:val="16"/>
              </w:rPr>
              <w:t>Section 306.2, Moderate-Hazard Factory Industrial, Group F-1.</w:t>
            </w:r>
          </w:p>
        </w:tc>
        <w:tc>
          <w:tcPr>
            <w:tcW w:w="7099" w:type="dxa"/>
          </w:tcPr>
          <w:p w14:paraId="6EF4AAF3" w14:textId="77777777" w:rsidR="00FC5566" w:rsidRPr="00FC5566" w:rsidRDefault="00FC5566" w:rsidP="00FC5566">
            <w:pPr>
              <w:widowControl w:val="0"/>
              <w:autoSpaceDE w:val="0"/>
              <w:autoSpaceDN w:val="0"/>
              <w:ind w:left="108"/>
              <w:rPr>
                <w:sz w:val="16"/>
                <w:szCs w:val="16"/>
              </w:rPr>
            </w:pPr>
            <w:r w:rsidRPr="00FC5566">
              <w:rPr>
                <w:sz w:val="16"/>
                <w:szCs w:val="16"/>
              </w:rPr>
              <w:t>Factory industrial uses that are not classified as Factory Industrial F-2 Low Hazard shall be classified as F-1 Moderate Hazard and shall include, but not be limited to, the following:</w:t>
            </w:r>
          </w:p>
          <w:p w14:paraId="3B4F2849" w14:textId="77777777" w:rsidR="00FC5566" w:rsidRPr="00FC5566" w:rsidRDefault="00FC5566" w:rsidP="00FC5566">
            <w:pPr>
              <w:widowControl w:val="0"/>
              <w:autoSpaceDE w:val="0"/>
              <w:autoSpaceDN w:val="0"/>
              <w:ind w:left="275"/>
              <w:rPr>
                <w:sz w:val="16"/>
                <w:szCs w:val="16"/>
              </w:rPr>
            </w:pPr>
            <w:r w:rsidRPr="00FC5566">
              <w:rPr>
                <w:sz w:val="16"/>
                <w:szCs w:val="16"/>
              </w:rPr>
              <w:t>Aircraft (manufacturing, not to include repair)</w:t>
            </w:r>
          </w:p>
          <w:p w14:paraId="66C943AC" w14:textId="77777777" w:rsidR="00FC5566" w:rsidRPr="00FC5566" w:rsidRDefault="00FC5566" w:rsidP="00FC5566">
            <w:pPr>
              <w:widowControl w:val="0"/>
              <w:autoSpaceDE w:val="0"/>
              <w:autoSpaceDN w:val="0"/>
              <w:ind w:left="275"/>
              <w:rPr>
                <w:sz w:val="16"/>
                <w:szCs w:val="16"/>
              </w:rPr>
            </w:pPr>
            <w:r w:rsidRPr="00FC5566">
              <w:rPr>
                <w:sz w:val="16"/>
                <w:szCs w:val="16"/>
              </w:rPr>
              <w:t>Appliances</w:t>
            </w:r>
          </w:p>
          <w:p w14:paraId="5235FE71" w14:textId="77777777" w:rsidR="00FC5566" w:rsidRPr="00FC5566" w:rsidRDefault="00FC5566" w:rsidP="00FC5566">
            <w:pPr>
              <w:widowControl w:val="0"/>
              <w:autoSpaceDE w:val="0"/>
              <w:autoSpaceDN w:val="0"/>
              <w:ind w:left="275"/>
              <w:rPr>
                <w:sz w:val="16"/>
                <w:szCs w:val="16"/>
              </w:rPr>
            </w:pPr>
            <w:r w:rsidRPr="00FC5566">
              <w:rPr>
                <w:sz w:val="16"/>
                <w:szCs w:val="16"/>
              </w:rPr>
              <w:lastRenderedPageBreak/>
              <w:t>Athletic equipment</w:t>
            </w:r>
          </w:p>
          <w:p w14:paraId="7C6F1089" w14:textId="77777777" w:rsidR="00FC5566" w:rsidRPr="00FC5566" w:rsidRDefault="00FC5566" w:rsidP="00FC5566">
            <w:pPr>
              <w:widowControl w:val="0"/>
              <w:autoSpaceDE w:val="0"/>
              <w:autoSpaceDN w:val="0"/>
              <w:ind w:left="275"/>
              <w:rPr>
                <w:sz w:val="16"/>
                <w:szCs w:val="16"/>
              </w:rPr>
            </w:pPr>
            <w:r w:rsidRPr="00FC5566">
              <w:rPr>
                <w:sz w:val="16"/>
                <w:szCs w:val="16"/>
              </w:rPr>
              <w:t>Automobiles and other motor vehicles</w:t>
            </w:r>
          </w:p>
          <w:p w14:paraId="4BDA4FA8" w14:textId="77777777" w:rsidR="00FC5566" w:rsidRPr="00FC5566" w:rsidRDefault="00FC5566" w:rsidP="00FC5566">
            <w:pPr>
              <w:widowControl w:val="0"/>
              <w:autoSpaceDE w:val="0"/>
              <w:autoSpaceDN w:val="0"/>
              <w:ind w:left="275"/>
              <w:rPr>
                <w:sz w:val="16"/>
                <w:szCs w:val="16"/>
              </w:rPr>
            </w:pPr>
            <w:r w:rsidRPr="00FC5566">
              <w:rPr>
                <w:sz w:val="16"/>
                <w:szCs w:val="16"/>
              </w:rPr>
              <w:t>Bakeries</w:t>
            </w:r>
          </w:p>
          <w:p w14:paraId="112EAB7D" w14:textId="77777777" w:rsidR="00FC5566" w:rsidRPr="00FC5566" w:rsidRDefault="00FC5566" w:rsidP="00FC5566">
            <w:pPr>
              <w:widowControl w:val="0"/>
              <w:autoSpaceDE w:val="0"/>
              <w:autoSpaceDN w:val="0"/>
              <w:ind w:left="275"/>
              <w:rPr>
                <w:sz w:val="16"/>
                <w:szCs w:val="16"/>
              </w:rPr>
            </w:pPr>
            <w:r w:rsidRPr="00FC5566">
              <w:rPr>
                <w:sz w:val="16"/>
                <w:szCs w:val="16"/>
              </w:rPr>
              <w:t>Beverages: over 20 percent alcohol content</w:t>
            </w:r>
          </w:p>
          <w:p w14:paraId="46758A84" w14:textId="77777777" w:rsidR="00FC5566" w:rsidRPr="00FC5566" w:rsidRDefault="00FC5566" w:rsidP="00FC5566">
            <w:pPr>
              <w:widowControl w:val="0"/>
              <w:autoSpaceDE w:val="0"/>
              <w:autoSpaceDN w:val="0"/>
              <w:ind w:left="275"/>
              <w:rPr>
                <w:sz w:val="16"/>
                <w:szCs w:val="16"/>
              </w:rPr>
            </w:pPr>
            <w:r w:rsidRPr="00FC5566">
              <w:rPr>
                <w:sz w:val="16"/>
                <w:szCs w:val="16"/>
              </w:rPr>
              <w:t>Bicycles</w:t>
            </w:r>
          </w:p>
          <w:p w14:paraId="264FB4F5" w14:textId="77777777" w:rsidR="00FC5566" w:rsidRPr="00FC5566" w:rsidRDefault="00FC5566" w:rsidP="00FC5566">
            <w:pPr>
              <w:widowControl w:val="0"/>
              <w:autoSpaceDE w:val="0"/>
              <w:autoSpaceDN w:val="0"/>
              <w:ind w:left="275"/>
              <w:rPr>
                <w:sz w:val="16"/>
                <w:szCs w:val="16"/>
              </w:rPr>
            </w:pPr>
            <w:r w:rsidRPr="00FC5566">
              <w:rPr>
                <w:sz w:val="16"/>
                <w:szCs w:val="16"/>
              </w:rPr>
              <w:t>Boats</w:t>
            </w:r>
          </w:p>
          <w:p w14:paraId="5ADDEE06" w14:textId="77777777" w:rsidR="00FC5566" w:rsidRPr="00FC5566" w:rsidRDefault="00FC5566" w:rsidP="00FC5566">
            <w:pPr>
              <w:widowControl w:val="0"/>
              <w:autoSpaceDE w:val="0"/>
              <w:autoSpaceDN w:val="0"/>
              <w:ind w:left="275"/>
              <w:rPr>
                <w:sz w:val="16"/>
                <w:szCs w:val="16"/>
              </w:rPr>
            </w:pPr>
            <w:r w:rsidRPr="00FC5566">
              <w:rPr>
                <w:sz w:val="16"/>
                <w:szCs w:val="16"/>
              </w:rPr>
              <w:t>Brooms or brushes</w:t>
            </w:r>
          </w:p>
          <w:p w14:paraId="0F013FEA" w14:textId="77777777" w:rsidR="00FC5566" w:rsidRPr="00FC5566" w:rsidRDefault="00FC5566" w:rsidP="00FC5566">
            <w:pPr>
              <w:widowControl w:val="0"/>
              <w:autoSpaceDE w:val="0"/>
              <w:autoSpaceDN w:val="0"/>
              <w:ind w:left="275"/>
              <w:rPr>
                <w:sz w:val="16"/>
                <w:szCs w:val="16"/>
              </w:rPr>
            </w:pPr>
            <w:r w:rsidRPr="00FC5566">
              <w:rPr>
                <w:sz w:val="16"/>
                <w:szCs w:val="16"/>
              </w:rPr>
              <w:t>Business machines</w:t>
            </w:r>
          </w:p>
          <w:p w14:paraId="3DFD9E6B" w14:textId="77777777" w:rsidR="00FC5566" w:rsidRPr="00FC5566" w:rsidRDefault="00FC5566" w:rsidP="00FC5566">
            <w:pPr>
              <w:widowControl w:val="0"/>
              <w:autoSpaceDE w:val="0"/>
              <w:autoSpaceDN w:val="0"/>
              <w:ind w:left="275"/>
              <w:rPr>
                <w:sz w:val="16"/>
                <w:szCs w:val="16"/>
              </w:rPr>
            </w:pPr>
            <w:r w:rsidRPr="00FC5566">
              <w:rPr>
                <w:sz w:val="16"/>
                <w:szCs w:val="16"/>
              </w:rPr>
              <w:t>Cameras and photo equipment</w:t>
            </w:r>
          </w:p>
          <w:p w14:paraId="45B3415E" w14:textId="77777777" w:rsidR="00FC5566" w:rsidRPr="00FC5566" w:rsidRDefault="00FC5566" w:rsidP="00FC5566">
            <w:pPr>
              <w:widowControl w:val="0"/>
              <w:autoSpaceDE w:val="0"/>
              <w:autoSpaceDN w:val="0"/>
              <w:ind w:left="275"/>
              <w:rPr>
                <w:sz w:val="16"/>
                <w:szCs w:val="16"/>
              </w:rPr>
            </w:pPr>
            <w:r w:rsidRPr="00FC5566">
              <w:rPr>
                <w:sz w:val="16"/>
                <w:szCs w:val="16"/>
              </w:rPr>
              <w:t>Canvas or similar fabric</w:t>
            </w:r>
          </w:p>
          <w:p w14:paraId="08DF8C77" w14:textId="77777777" w:rsidR="00FC5566" w:rsidRPr="00FC5566" w:rsidRDefault="00FC5566" w:rsidP="00FC5566">
            <w:pPr>
              <w:widowControl w:val="0"/>
              <w:autoSpaceDE w:val="0"/>
              <w:autoSpaceDN w:val="0"/>
              <w:ind w:left="275"/>
              <w:rPr>
                <w:sz w:val="16"/>
                <w:szCs w:val="16"/>
              </w:rPr>
            </w:pPr>
            <w:r w:rsidRPr="00FC5566">
              <w:rPr>
                <w:sz w:val="16"/>
                <w:szCs w:val="16"/>
              </w:rPr>
              <w:t>Carpets and rugs (includes cleaning)</w:t>
            </w:r>
          </w:p>
          <w:p w14:paraId="031C787E" w14:textId="77777777" w:rsidR="00FC5566" w:rsidRPr="00FC5566" w:rsidRDefault="00FC5566" w:rsidP="00FC5566">
            <w:pPr>
              <w:widowControl w:val="0"/>
              <w:autoSpaceDE w:val="0"/>
              <w:autoSpaceDN w:val="0"/>
              <w:ind w:left="275"/>
              <w:rPr>
                <w:sz w:val="16"/>
                <w:szCs w:val="16"/>
              </w:rPr>
            </w:pPr>
            <w:r w:rsidRPr="00FC5566">
              <w:rPr>
                <w:sz w:val="16"/>
                <w:szCs w:val="16"/>
              </w:rPr>
              <w:t>Clothing</w:t>
            </w:r>
          </w:p>
          <w:p w14:paraId="76472348" w14:textId="77777777" w:rsidR="00FC5566" w:rsidRPr="00FC5566" w:rsidRDefault="00FC5566" w:rsidP="00FC5566">
            <w:pPr>
              <w:widowControl w:val="0"/>
              <w:autoSpaceDE w:val="0"/>
              <w:autoSpaceDN w:val="0"/>
              <w:ind w:left="275"/>
              <w:rPr>
                <w:sz w:val="16"/>
                <w:szCs w:val="16"/>
              </w:rPr>
            </w:pPr>
            <w:r w:rsidRPr="00FC5566">
              <w:rPr>
                <w:sz w:val="16"/>
                <w:szCs w:val="16"/>
              </w:rPr>
              <w:t>Construction and agricultural machinery</w:t>
            </w:r>
          </w:p>
          <w:p w14:paraId="22217320" w14:textId="77777777" w:rsidR="00FC5566" w:rsidRPr="00FC5566" w:rsidRDefault="00FC5566" w:rsidP="00FC5566">
            <w:pPr>
              <w:widowControl w:val="0"/>
              <w:autoSpaceDE w:val="0"/>
              <w:autoSpaceDN w:val="0"/>
              <w:ind w:left="275"/>
              <w:rPr>
                <w:sz w:val="16"/>
                <w:szCs w:val="16"/>
              </w:rPr>
            </w:pPr>
            <w:r w:rsidRPr="00FC5566">
              <w:rPr>
                <w:sz w:val="16"/>
                <w:szCs w:val="16"/>
              </w:rPr>
              <w:t xml:space="preserve">Data center housing information technology equipment engaged in data processing where not </w:t>
            </w:r>
          </w:p>
          <w:p w14:paraId="784A67AA" w14:textId="77777777" w:rsidR="00FC5566" w:rsidRPr="00FC5566" w:rsidRDefault="00FC5566" w:rsidP="00FC5566">
            <w:pPr>
              <w:widowControl w:val="0"/>
              <w:autoSpaceDE w:val="0"/>
              <w:autoSpaceDN w:val="0"/>
              <w:ind w:left="275"/>
              <w:rPr>
                <w:sz w:val="16"/>
                <w:szCs w:val="16"/>
              </w:rPr>
            </w:pPr>
            <w:r w:rsidRPr="00FC5566">
              <w:rPr>
                <w:sz w:val="16"/>
                <w:szCs w:val="16"/>
              </w:rPr>
              <w:t>classified as a computer room Disinfectants</w:t>
            </w:r>
          </w:p>
          <w:p w14:paraId="5977EB2E" w14:textId="77777777" w:rsidR="00FC5566" w:rsidRPr="00FC5566" w:rsidRDefault="00FC5566" w:rsidP="00FC5566">
            <w:pPr>
              <w:widowControl w:val="0"/>
              <w:autoSpaceDE w:val="0"/>
              <w:autoSpaceDN w:val="0"/>
              <w:ind w:left="275"/>
              <w:rPr>
                <w:sz w:val="16"/>
                <w:szCs w:val="16"/>
              </w:rPr>
            </w:pPr>
            <w:r w:rsidRPr="00FC5566">
              <w:rPr>
                <w:sz w:val="16"/>
                <w:szCs w:val="16"/>
              </w:rPr>
              <w:t>Dry cleaning and dyeing</w:t>
            </w:r>
          </w:p>
          <w:p w14:paraId="68861874" w14:textId="77777777" w:rsidR="00FC5566" w:rsidRPr="00FC5566" w:rsidRDefault="00FC5566" w:rsidP="00FC5566">
            <w:pPr>
              <w:widowControl w:val="0"/>
              <w:autoSpaceDE w:val="0"/>
              <w:autoSpaceDN w:val="0"/>
              <w:ind w:left="275"/>
              <w:rPr>
                <w:sz w:val="16"/>
                <w:szCs w:val="16"/>
              </w:rPr>
            </w:pPr>
            <w:r w:rsidRPr="00FC5566">
              <w:rPr>
                <w:sz w:val="16"/>
                <w:szCs w:val="16"/>
              </w:rPr>
              <w:t>Electric generation plants</w:t>
            </w:r>
          </w:p>
          <w:p w14:paraId="7B6504AF" w14:textId="77777777" w:rsidR="00FC5566" w:rsidRPr="00FC5566" w:rsidRDefault="00FC5566" w:rsidP="00FC5566">
            <w:pPr>
              <w:widowControl w:val="0"/>
              <w:autoSpaceDE w:val="0"/>
              <w:autoSpaceDN w:val="0"/>
              <w:ind w:left="275"/>
              <w:rPr>
                <w:sz w:val="16"/>
                <w:szCs w:val="16"/>
              </w:rPr>
            </w:pPr>
            <w:r w:rsidRPr="00FC5566">
              <w:rPr>
                <w:sz w:val="16"/>
                <w:szCs w:val="16"/>
              </w:rPr>
              <w:t>Electronics</w:t>
            </w:r>
          </w:p>
          <w:p w14:paraId="6D71B903" w14:textId="77777777" w:rsidR="00FC5566" w:rsidRPr="00FC5566" w:rsidRDefault="00FC5566" w:rsidP="00FC5566">
            <w:pPr>
              <w:widowControl w:val="0"/>
              <w:autoSpaceDE w:val="0"/>
              <w:autoSpaceDN w:val="0"/>
              <w:ind w:left="275"/>
              <w:rPr>
                <w:sz w:val="16"/>
                <w:szCs w:val="16"/>
              </w:rPr>
            </w:pPr>
            <w:r w:rsidRPr="00FC5566">
              <w:rPr>
                <w:sz w:val="16"/>
                <w:szCs w:val="16"/>
              </w:rPr>
              <w:t>Energy storage systems (ESS) in dedicated use </w:t>
            </w:r>
            <w:r w:rsidRPr="00FC5566">
              <w:rPr>
                <w:i/>
                <w:iCs/>
                <w:sz w:val="16"/>
                <w:szCs w:val="16"/>
              </w:rPr>
              <w:t>buildings</w:t>
            </w:r>
          </w:p>
          <w:p w14:paraId="3ED3A9A4" w14:textId="77777777" w:rsidR="00FC5566" w:rsidRPr="00FC5566" w:rsidRDefault="00FC5566" w:rsidP="00FC5566">
            <w:pPr>
              <w:widowControl w:val="0"/>
              <w:autoSpaceDE w:val="0"/>
              <w:autoSpaceDN w:val="0"/>
              <w:ind w:left="275"/>
              <w:rPr>
                <w:sz w:val="16"/>
                <w:szCs w:val="16"/>
              </w:rPr>
            </w:pPr>
            <w:r w:rsidRPr="00FC5566">
              <w:rPr>
                <w:sz w:val="16"/>
                <w:szCs w:val="16"/>
              </w:rPr>
              <w:t>Energy storage systems (ESS) and equipment containing lithium-ion or lithium metal batteries</w:t>
            </w:r>
          </w:p>
          <w:p w14:paraId="591FD4AA" w14:textId="77777777" w:rsidR="00FC5566" w:rsidRPr="00FC5566" w:rsidRDefault="00FC5566" w:rsidP="00FC5566">
            <w:pPr>
              <w:widowControl w:val="0"/>
              <w:autoSpaceDE w:val="0"/>
              <w:autoSpaceDN w:val="0"/>
              <w:ind w:left="275"/>
              <w:rPr>
                <w:sz w:val="16"/>
                <w:szCs w:val="16"/>
              </w:rPr>
            </w:pPr>
            <w:r w:rsidRPr="00FC5566">
              <w:rPr>
                <w:sz w:val="16"/>
                <w:szCs w:val="16"/>
              </w:rPr>
              <w:t>Engines (including rebuilding)</w:t>
            </w:r>
          </w:p>
          <w:p w14:paraId="352E60AA" w14:textId="77777777" w:rsidR="00FC5566" w:rsidRPr="00FC5566" w:rsidRDefault="00FC5566" w:rsidP="00FC5566">
            <w:pPr>
              <w:widowControl w:val="0"/>
              <w:autoSpaceDE w:val="0"/>
              <w:autoSpaceDN w:val="0"/>
              <w:ind w:left="275"/>
              <w:rPr>
                <w:sz w:val="16"/>
                <w:szCs w:val="16"/>
              </w:rPr>
            </w:pPr>
            <w:r w:rsidRPr="00FC5566">
              <w:rPr>
                <w:sz w:val="16"/>
                <w:szCs w:val="16"/>
              </w:rPr>
              <w:t>Food processing establishments and commercial kitchens not associated with restaurants, cafeterias and similar dining </w:t>
            </w:r>
            <w:r w:rsidRPr="00FC5566">
              <w:rPr>
                <w:i/>
                <w:iCs/>
                <w:sz w:val="16"/>
                <w:szCs w:val="16"/>
              </w:rPr>
              <w:t>facilities</w:t>
            </w:r>
            <w:r w:rsidRPr="00FC5566">
              <w:rPr>
                <w:sz w:val="16"/>
                <w:szCs w:val="16"/>
              </w:rPr>
              <w:t> more than 2,500 square feet (232 m</w:t>
            </w:r>
            <w:r w:rsidRPr="00FC5566">
              <w:rPr>
                <w:sz w:val="16"/>
                <w:szCs w:val="16"/>
                <w:vertAlign w:val="superscript"/>
              </w:rPr>
              <w:t>2</w:t>
            </w:r>
            <w:r w:rsidRPr="00FC5566">
              <w:rPr>
                <w:sz w:val="16"/>
                <w:szCs w:val="16"/>
              </w:rPr>
              <w:t>) in area</w:t>
            </w:r>
          </w:p>
          <w:p w14:paraId="4F3F2A9B" w14:textId="77777777" w:rsidR="00FC5566" w:rsidRPr="00FC5566" w:rsidRDefault="00FC5566" w:rsidP="00FC5566">
            <w:pPr>
              <w:widowControl w:val="0"/>
              <w:autoSpaceDE w:val="0"/>
              <w:autoSpaceDN w:val="0"/>
              <w:ind w:left="275"/>
              <w:rPr>
                <w:sz w:val="16"/>
                <w:szCs w:val="16"/>
              </w:rPr>
            </w:pPr>
            <w:r w:rsidRPr="00FC5566">
              <w:rPr>
                <w:sz w:val="16"/>
                <w:szCs w:val="16"/>
              </w:rPr>
              <w:t>Furniture</w:t>
            </w:r>
          </w:p>
          <w:p w14:paraId="455255C6" w14:textId="77777777" w:rsidR="00FC5566" w:rsidRPr="00FC5566" w:rsidRDefault="00FC5566" w:rsidP="00FC5566">
            <w:pPr>
              <w:widowControl w:val="0"/>
              <w:autoSpaceDE w:val="0"/>
              <w:autoSpaceDN w:val="0"/>
              <w:ind w:left="275"/>
              <w:rPr>
                <w:sz w:val="16"/>
                <w:szCs w:val="16"/>
              </w:rPr>
            </w:pPr>
            <w:r w:rsidRPr="00FC5566">
              <w:rPr>
                <w:sz w:val="16"/>
                <w:szCs w:val="16"/>
              </w:rPr>
              <w:t>Hemp products</w:t>
            </w:r>
          </w:p>
          <w:p w14:paraId="02B16221" w14:textId="77777777" w:rsidR="00FC5566" w:rsidRPr="00FC5566" w:rsidRDefault="00FC5566" w:rsidP="00FC5566">
            <w:pPr>
              <w:widowControl w:val="0"/>
              <w:autoSpaceDE w:val="0"/>
              <w:autoSpaceDN w:val="0"/>
              <w:ind w:left="275"/>
              <w:rPr>
                <w:sz w:val="16"/>
                <w:szCs w:val="16"/>
              </w:rPr>
            </w:pPr>
            <w:r w:rsidRPr="00FC5566">
              <w:rPr>
                <w:sz w:val="16"/>
                <w:szCs w:val="16"/>
              </w:rPr>
              <w:t>Jute products</w:t>
            </w:r>
          </w:p>
          <w:p w14:paraId="6A0E2D41" w14:textId="77777777" w:rsidR="00FC5566" w:rsidRPr="00FC5566" w:rsidRDefault="00FC5566" w:rsidP="00FC5566">
            <w:pPr>
              <w:widowControl w:val="0"/>
              <w:autoSpaceDE w:val="0"/>
              <w:autoSpaceDN w:val="0"/>
              <w:ind w:left="275"/>
              <w:rPr>
                <w:sz w:val="16"/>
                <w:szCs w:val="16"/>
              </w:rPr>
            </w:pPr>
            <w:r w:rsidRPr="00FC5566">
              <w:rPr>
                <w:sz w:val="16"/>
                <w:szCs w:val="16"/>
              </w:rPr>
              <w:t>Laundries</w:t>
            </w:r>
          </w:p>
          <w:p w14:paraId="3CEB0955" w14:textId="77777777" w:rsidR="00FC5566" w:rsidRPr="00FC5566" w:rsidRDefault="00FC5566" w:rsidP="00FC5566">
            <w:pPr>
              <w:widowControl w:val="0"/>
              <w:autoSpaceDE w:val="0"/>
              <w:autoSpaceDN w:val="0"/>
              <w:ind w:left="275"/>
              <w:rPr>
                <w:sz w:val="16"/>
                <w:szCs w:val="16"/>
              </w:rPr>
            </w:pPr>
            <w:r w:rsidRPr="00FC5566">
              <w:rPr>
                <w:sz w:val="16"/>
                <w:szCs w:val="16"/>
              </w:rPr>
              <w:t>Leather products</w:t>
            </w:r>
          </w:p>
          <w:p w14:paraId="1FD1CFE2" w14:textId="77777777" w:rsidR="00FC5566" w:rsidRPr="00FC5566" w:rsidRDefault="00FC5566" w:rsidP="00FC5566">
            <w:pPr>
              <w:widowControl w:val="0"/>
              <w:autoSpaceDE w:val="0"/>
              <w:autoSpaceDN w:val="0"/>
              <w:ind w:left="275"/>
              <w:rPr>
                <w:sz w:val="16"/>
                <w:szCs w:val="16"/>
              </w:rPr>
            </w:pPr>
            <w:r w:rsidRPr="00FC5566">
              <w:rPr>
                <w:sz w:val="16"/>
                <w:szCs w:val="16"/>
              </w:rPr>
              <w:t>Lithium-ion batteries</w:t>
            </w:r>
          </w:p>
          <w:p w14:paraId="4F20C7F3" w14:textId="77777777" w:rsidR="00FC5566" w:rsidRPr="00FC5566" w:rsidRDefault="00FC5566" w:rsidP="00FC5566">
            <w:pPr>
              <w:widowControl w:val="0"/>
              <w:autoSpaceDE w:val="0"/>
              <w:autoSpaceDN w:val="0"/>
              <w:ind w:left="275"/>
              <w:rPr>
                <w:sz w:val="16"/>
                <w:szCs w:val="16"/>
              </w:rPr>
            </w:pPr>
            <w:r w:rsidRPr="00FC5566">
              <w:rPr>
                <w:sz w:val="16"/>
                <w:szCs w:val="16"/>
              </w:rPr>
              <w:t>Machinery</w:t>
            </w:r>
          </w:p>
          <w:p w14:paraId="37A38D9E" w14:textId="77777777" w:rsidR="00FC5566" w:rsidRPr="00FC5566" w:rsidRDefault="00FC5566" w:rsidP="00FC5566">
            <w:pPr>
              <w:widowControl w:val="0"/>
              <w:autoSpaceDE w:val="0"/>
              <w:autoSpaceDN w:val="0"/>
              <w:ind w:left="275"/>
              <w:rPr>
                <w:sz w:val="16"/>
                <w:szCs w:val="16"/>
              </w:rPr>
            </w:pPr>
            <w:r w:rsidRPr="00FC5566">
              <w:rPr>
                <w:sz w:val="16"/>
                <w:szCs w:val="16"/>
              </w:rPr>
              <w:t>Metals</w:t>
            </w:r>
          </w:p>
          <w:p w14:paraId="187CC629" w14:textId="77777777" w:rsidR="00FC5566" w:rsidRPr="00FC5566" w:rsidRDefault="00FC5566" w:rsidP="00FC5566">
            <w:pPr>
              <w:widowControl w:val="0"/>
              <w:autoSpaceDE w:val="0"/>
              <w:autoSpaceDN w:val="0"/>
              <w:ind w:left="275"/>
              <w:rPr>
                <w:sz w:val="16"/>
                <w:szCs w:val="16"/>
              </w:rPr>
            </w:pPr>
            <w:r w:rsidRPr="00FC5566">
              <w:rPr>
                <w:sz w:val="16"/>
                <w:szCs w:val="16"/>
              </w:rPr>
              <w:t>Millwork (sash and door)</w:t>
            </w:r>
          </w:p>
          <w:p w14:paraId="05CACB9E" w14:textId="77777777" w:rsidR="00FC5566" w:rsidRPr="00FC5566" w:rsidRDefault="00FC5566" w:rsidP="00FC5566">
            <w:pPr>
              <w:widowControl w:val="0"/>
              <w:autoSpaceDE w:val="0"/>
              <w:autoSpaceDN w:val="0"/>
              <w:ind w:left="275"/>
              <w:rPr>
                <w:sz w:val="16"/>
                <w:szCs w:val="16"/>
              </w:rPr>
            </w:pPr>
            <w:r w:rsidRPr="00FC5566">
              <w:rPr>
                <w:sz w:val="16"/>
                <w:szCs w:val="16"/>
              </w:rPr>
              <w:t>Motion pictures and television filming (without spectators)</w:t>
            </w:r>
          </w:p>
          <w:p w14:paraId="4FF23321" w14:textId="77777777" w:rsidR="00FC5566" w:rsidRPr="00FC5566" w:rsidRDefault="00FC5566" w:rsidP="00FC5566">
            <w:pPr>
              <w:widowControl w:val="0"/>
              <w:autoSpaceDE w:val="0"/>
              <w:autoSpaceDN w:val="0"/>
              <w:ind w:left="275"/>
              <w:rPr>
                <w:sz w:val="16"/>
                <w:szCs w:val="16"/>
              </w:rPr>
            </w:pPr>
            <w:r w:rsidRPr="00FC5566">
              <w:rPr>
                <w:sz w:val="16"/>
                <w:szCs w:val="16"/>
              </w:rPr>
              <w:t>Musical instruments</w:t>
            </w:r>
          </w:p>
          <w:p w14:paraId="19A064D0" w14:textId="77777777" w:rsidR="00FC5566" w:rsidRPr="00FC5566" w:rsidRDefault="00FC5566" w:rsidP="00FC5566">
            <w:pPr>
              <w:widowControl w:val="0"/>
              <w:autoSpaceDE w:val="0"/>
              <w:autoSpaceDN w:val="0"/>
              <w:ind w:left="275"/>
              <w:rPr>
                <w:sz w:val="16"/>
                <w:szCs w:val="16"/>
              </w:rPr>
            </w:pPr>
            <w:r w:rsidRPr="00FC5566">
              <w:rPr>
                <w:sz w:val="16"/>
                <w:szCs w:val="16"/>
              </w:rPr>
              <w:t>Optical goods</w:t>
            </w:r>
          </w:p>
          <w:p w14:paraId="394841A6" w14:textId="77777777" w:rsidR="00FC5566" w:rsidRPr="00FC5566" w:rsidRDefault="00FC5566" w:rsidP="00FC5566">
            <w:pPr>
              <w:widowControl w:val="0"/>
              <w:autoSpaceDE w:val="0"/>
              <w:autoSpaceDN w:val="0"/>
              <w:ind w:left="275"/>
              <w:rPr>
                <w:sz w:val="16"/>
                <w:szCs w:val="16"/>
              </w:rPr>
            </w:pPr>
            <w:r w:rsidRPr="00FC5566">
              <w:rPr>
                <w:sz w:val="16"/>
                <w:szCs w:val="16"/>
              </w:rPr>
              <w:t>Paper mills or products</w:t>
            </w:r>
          </w:p>
          <w:p w14:paraId="240B5F17" w14:textId="77777777" w:rsidR="00FC5566" w:rsidRPr="00FC5566" w:rsidRDefault="00FC5566" w:rsidP="00FC5566">
            <w:pPr>
              <w:widowControl w:val="0"/>
              <w:autoSpaceDE w:val="0"/>
              <w:autoSpaceDN w:val="0"/>
              <w:ind w:left="275"/>
              <w:rPr>
                <w:sz w:val="16"/>
                <w:szCs w:val="16"/>
              </w:rPr>
            </w:pPr>
            <w:r w:rsidRPr="00FC5566">
              <w:rPr>
                <w:sz w:val="16"/>
                <w:szCs w:val="16"/>
              </w:rPr>
              <w:t>Photographic film</w:t>
            </w:r>
          </w:p>
          <w:p w14:paraId="634BAA67" w14:textId="77777777" w:rsidR="00FC5566" w:rsidRPr="00FC5566" w:rsidRDefault="00FC5566" w:rsidP="00FC5566">
            <w:pPr>
              <w:widowControl w:val="0"/>
              <w:autoSpaceDE w:val="0"/>
              <w:autoSpaceDN w:val="0"/>
              <w:ind w:left="275"/>
              <w:rPr>
                <w:sz w:val="16"/>
                <w:szCs w:val="16"/>
              </w:rPr>
            </w:pPr>
            <w:r w:rsidRPr="00FC5566">
              <w:rPr>
                <w:sz w:val="16"/>
                <w:szCs w:val="16"/>
              </w:rPr>
              <w:t>Plastic products</w:t>
            </w:r>
          </w:p>
          <w:p w14:paraId="68D52255" w14:textId="77777777" w:rsidR="00FC5566" w:rsidRPr="00FC5566" w:rsidRDefault="00FC5566" w:rsidP="00FC5566">
            <w:pPr>
              <w:widowControl w:val="0"/>
              <w:autoSpaceDE w:val="0"/>
              <w:autoSpaceDN w:val="0"/>
              <w:ind w:left="275"/>
              <w:rPr>
                <w:sz w:val="16"/>
                <w:szCs w:val="16"/>
              </w:rPr>
            </w:pPr>
            <w:r w:rsidRPr="00FC5566">
              <w:rPr>
                <w:sz w:val="16"/>
                <w:szCs w:val="16"/>
              </w:rPr>
              <w:t>Printing or publishing</w:t>
            </w:r>
          </w:p>
          <w:p w14:paraId="53930CD1" w14:textId="77777777" w:rsidR="00FC5566" w:rsidRPr="00FC5566" w:rsidRDefault="00FC5566" w:rsidP="00FC5566">
            <w:pPr>
              <w:widowControl w:val="0"/>
              <w:autoSpaceDE w:val="0"/>
              <w:autoSpaceDN w:val="0"/>
              <w:ind w:left="275"/>
              <w:rPr>
                <w:sz w:val="16"/>
                <w:szCs w:val="16"/>
              </w:rPr>
            </w:pPr>
            <w:r w:rsidRPr="00FC5566">
              <w:rPr>
                <w:sz w:val="16"/>
                <w:szCs w:val="16"/>
              </w:rPr>
              <w:t>Recreational vehicles</w:t>
            </w:r>
          </w:p>
          <w:p w14:paraId="4B5F8405" w14:textId="77777777" w:rsidR="00FC5566" w:rsidRPr="00FC5566" w:rsidRDefault="00FC5566" w:rsidP="00FC5566">
            <w:pPr>
              <w:widowControl w:val="0"/>
              <w:autoSpaceDE w:val="0"/>
              <w:autoSpaceDN w:val="0"/>
              <w:ind w:left="275"/>
              <w:rPr>
                <w:sz w:val="16"/>
                <w:szCs w:val="16"/>
              </w:rPr>
            </w:pPr>
            <w:r w:rsidRPr="00FC5566">
              <w:rPr>
                <w:sz w:val="16"/>
                <w:szCs w:val="16"/>
              </w:rPr>
              <w:t>Refuse incineration</w:t>
            </w:r>
          </w:p>
          <w:p w14:paraId="2A588258" w14:textId="77777777" w:rsidR="00FC5566" w:rsidRPr="00FC5566" w:rsidRDefault="00FC5566" w:rsidP="00FC5566">
            <w:pPr>
              <w:widowControl w:val="0"/>
              <w:autoSpaceDE w:val="0"/>
              <w:autoSpaceDN w:val="0"/>
              <w:ind w:left="275"/>
              <w:rPr>
                <w:sz w:val="16"/>
                <w:szCs w:val="16"/>
              </w:rPr>
            </w:pPr>
            <w:r w:rsidRPr="00FC5566">
              <w:rPr>
                <w:sz w:val="16"/>
                <w:szCs w:val="16"/>
              </w:rPr>
              <w:t>Shoes</w:t>
            </w:r>
          </w:p>
          <w:p w14:paraId="208D2B3C" w14:textId="77777777" w:rsidR="00FC5566" w:rsidRPr="00FC5566" w:rsidRDefault="00FC5566" w:rsidP="00FC5566">
            <w:pPr>
              <w:widowControl w:val="0"/>
              <w:autoSpaceDE w:val="0"/>
              <w:autoSpaceDN w:val="0"/>
              <w:ind w:left="275"/>
              <w:rPr>
                <w:sz w:val="16"/>
                <w:szCs w:val="16"/>
              </w:rPr>
            </w:pPr>
            <w:r w:rsidRPr="00FC5566">
              <w:rPr>
                <w:sz w:val="16"/>
                <w:szCs w:val="16"/>
              </w:rPr>
              <w:t>Soaps and detergents</w:t>
            </w:r>
          </w:p>
          <w:p w14:paraId="62C0584A" w14:textId="77777777" w:rsidR="00FC5566" w:rsidRPr="00FC5566" w:rsidRDefault="00FC5566" w:rsidP="00FC5566">
            <w:pPr>
              <w:widowControl w:val="0"/>
              <w:autoSpaceDE w:val="0"/>
              <w:autoSpaceDN w:val="0"/>
              <w:ind w:left="275"/>
              <w:rPr>
                <w:sz w:val="16"/>
                <w:szCs w:val="16"/>
              </w:rPr>
            </w:pPr>
            <w:r w:rsidRPr="00FC5566">
              <w:rPr>
                <w:sz w:val="16"/>
                <w:szCs w:val="16"/>
              </w:rPr>
              <w:t>Textiles</w:t>
            </w:r>
          </w:p>
          <w:p w14:paraId="0807F144" w14:textId="77777777" w:rsidR="00FC5566" w:rsidRPr="00FC5566" w:rsidRDefault="00FC5566" w:rsidP="00FC5566">
            <w:pPr>
              <w:widowControl w:val="0"/>
              <w:autoSpaceDE w:val="0"/>
              <w:autoSpaceDN w:val="0"/>
              <w:ind w:left="275"/>
              <w:rPr>
                <w:sz w:val="16"/>
                <w:szCs w:val="16"/>
              </w:rPr>
            </w:pPr>
            <w:r w:rsidRPr="00FC5566">
              <w:rPr>
                <w:sz w:val="16"/>
                <w:szCs w:val="16"/>
              </w:rPr>
              <w:t>Tobacco</w:t>
            </w:r>
          </w:p>
          <w:p w14:paraId="33BF8423" w14:textId="77777777" w:rsidR="00FC5566" w:rsidRPr="00FC5566" w:rsidRDefault="00FC5566" w:rsidP="00FC5566">
            <w:pPr>
              <w:widowControl w:val="0"/>
              <w:autoSpaceDE w:val="0"/>
              <w:autoSpaceDN w:val="0"/>
              <w:ind w:left="275"/>
              <w:rPr>
                <w:sz w:val="16"/>
                <w:szCs w:val="16"/>
              </w:rPr>
            </w:pPr>
            <w:r w:rsidRPr="00FC5566">
              <w:rPr>
                <w:sz w:val="16"/>
                <w:szCs w:val="16"/>
              </w:rPr>
              <w:t>Trailers</w:t>
            </w:r>
          </w:p>
          <w:p w14:paraId="553D02AA" w14:textId="77777777" w:rsidR="00FC5566" w:rsidRPr="00FC5566" w:rsidRDefault="00FC5566" w:rsidP="00FC5566">
            <w:pPr>
              <w:widowControl w:val="0"/>
              <w:autoSpaceDE w:val="0"/>
              <w:autoSpaceDN w:val="0"/>
              <w:ind w:left="275"/>
              <w:rPr>
                <w:sz w:val="16"/>
                <w:szCs w:val="16"/>
              </w:rPr>
            </w:pPr>
            <w:r w:rsidRPr="00FC5566">
              <w:rPr>
                <w:sz w:val="16"/>
                <w:szCs w:val="16"/>
              </w:rPr>
              <w:t>Upholstering</w:t>
            </w:r>
          </w:p>
          <w:p w14:paraId="209C0655" w14:textId="77777777" w:rsidR="00FC5566" w:rsidRPr="00FC5566" w:rsidRDefault="00FC5566" w:rsidP="00FC5566">
            <w:pPr>
              <w:widowControl w:val="0"/>
              <w:autoSpaceDE w:val="0"/>
              <w:autoSpaceDN w:val="0"/>
              <w:ind w:left="275"/>
              <w:rPr>
                <w:sz w:val="16"/>
                <w:szCs w:val="16"/>
              </w:rPr>
            </w:pPr>
            <w:r w:rsidRPr="00FC5566">
              <w:rPr>
                <w:sz w:val="16"/>
                <w:szCs w:val="16"/>
              </w:rPr>
              <w:t>Vehicles powered by lithium-ion or lithium metal batteries</w:t>
            </w:r>
          </w:p>
          <w:p w14:paraId="1CABA4CD" w14:textId="77777777" w:rsidR="00FC5566" w:rsidRPr="00FC5566" w:rsidRDefault="00FC5566" w:rsidP="00FC5566">
            <w:pPr>
              <w:widowControl w:val="0"/>
              <w:autoSpaceDE w:val="0"/>
              <w:autoSpaceDN w:val="0"/>
              <w:ind w:left="275"/>
              <w:rPr>
                <w:sz w:val="16"/>
                <w:szCs w:val="16"/>
              </w:rPr>
            </w:pPr>
            <w:r w:rsidRPr="00FC5566">
              <w:rPr>
                <w:sz w:val="16"/>
                <w:szCs w:val="16"/>
              </w:rPr>
              <w:t>Water/sewer treatment </w:t>
            </w:r>
            <w:r w:rsidRPr="00FC5566">
              <w:rPr>
                <w:i/>
                <w:iCs/>
                <w:sz w:val="16"/>
                <w:szCs w:val="16"/>
              </w:rPr>
              <w:t>facilities</w:t>
            </w:r>
          </w:p>
          <w:p w14:paraId="7FDE0F9B" w14:textId="77777777" w:rsidR="00FC5566" w:rsidRPr="00FC5566" w:rsidRDefault="00FC5566" w:rsidP="00FC5566">
            <w:pPr>
              <w:widowControl w:val="0"/>
              <w:autoSpaceDE w:val="0"/>
              <w:autoSpaceDN w:val="0"/>
              <w:ind w:left="275"/>
              <w:rPr>
                <w:sz w:val="16"/>
                <w:szCs w:val="16"/>
              </w:rPr>
            </w:pPr>
            <w:r w:rsidRPr="00FC5566">
              <w:rPr>
                <w:sz w:val="16"/>
                <w:szCs w:val="16"/>
              </w:rPr>
              <w:t>Wood; distillation</w:t>
            </w:r>
          </w:p>
          <w:p w14:paraId="0509A3ED" w14:textId="77777777" w:rsidR="00FC5566" w:rsidRPr="00FC5566" w:rsidRDefault="00FC5566" w:rsidP="00FC5566">
            <w:pPr>
              <w:widowControl w:val="0"/>
              <w:autoSpaceDE w:val="0"/>
              <w:autoSpaceDN w:val="0"/>
              <w:ind w:left="275"/>
              <w:rPr>
                <w:sz w:val="16"/>
                <w:szCs w:val="16"/>
              </w:rPr>
            </w:pPr>
            <w:r w:rsidRPr="00FC5566">
              <w:rPr>
                <w:sz w:val="16"/>
                <w:szCs w:val="16"/>
              </w:rPr>
              <w:t>Woodworking (cabinet)</w:t>
            </w:r>
          </w:p>
        </w:tc>
      </w:tr>
      <w:tr w:rsidR="00FC5566" w:rsidRPr="00FC5566" w14:paraId="28472EA1" w14:textId="77777777" w:rsidTr="00B247D5">
        <w:trPr>
          <w:trHeight w:val="543"/>
        </w:trPr>
        <w:tc>
          <w:tcPr>
            <w:tcW w:w="1080" w:type="dxa"/>
          </w:tcPr>
          <w:p w14:paraId="50126D98" w14:textId="77777777" w:rsidR="00FC5566" w:rsidRPr="00FC5566" w:rsidRDefault="00FC5566" w:rsidP="00FC5566">
            <w:pPr>
              <w:widowControl w:val="0"/>
              <w:autoSpaceDE w:val="0"/>
              <w:autoSpaceDN w:val="0"/>
              <w:ind w:right="15"/>
              <w:jc w:val="center"/>
              <w:rPr>
                <w:spacing w:val="-2"/>
                <w:sz w:val="16"/>
                <w:szCs w:val="16"/>
              </w:rPr>
            </w:pPr>
            <w:r w:rsidRPr="00FC5566">
              <w:rPr>
                <w:spacing w:val="-2"/>
                <w:sz w:val="16"/>
                <w:szCs w:val="16"/>
              </w:rPr>
              <w:lastRenderedPageBreak/>
              <w:t>Amend</w:t>
            </w:r>
          </w:p>
        </w:tc>
        <w:tc>
          <w:tcPr>
            <w:tcW w:w="2430" w:type="dxa"/>
          </w:tcPr>
          <w:p w14:paraId="6E034718" w14:textId="77777777" w:rsidR="00FC5566" w:rsidRPr="00FC5566" w:rsidRDefault="00FC5566" w:rsidP="00FC5566">
            <w:pPr>
              <w:widowControl w:val="0"/>
              <w:autoSpaceDE w:val="0"/>
              <w:autoSpaceDN w:val="0"/>
              <w:ind w:left="101"/>
              <w:rPr>
                <w:sz w:val="16"/>
                <w:szCs w:val="16"/>
              </w:rPr>
            </w:pPr>
            <w:r w:rsidRPr="00FC5566">
              <w:rPr>
                <w:sz w:val="16"/>
                <w:szCs w:val="16"/>
              </w:rPr>
              <w:t>Chapter 4, Special Detailed Requirements Based on Occupancy and Use.</w:t>
            </w:r>
          </w:p>
        </w:tc>
        <w:tc>
          <w:tcPr>
            <w:tcW w:w="7099" w:type="dxa"/>
          </w:tcPr>
          <w:p w14:paraId="0ECB4C9F" w14:textId="77777777" w:rsidR="00FC5566" w:rsidRPr="00FC5566" w:rsidRDefault="00FC5566" w:rsidP="00FC5566">
            <w:pPr>
              <w:widowControl w:val="0"/>
              <w:autoSpaceDE w:val="0"/>
              <w:autoSpaceDN w:val="0"/>
              <w:ind w:left="108"/>
              <w:rPr>
                <w:sz w:val="16"/>
                <w:szCs w:val="16"/>
              </w:rPr>
            </w:pPr>
          </w:p>
        </w:tc>
      </w:tr>
      <w:tr w:rsidR="00FC5566" w:rsidRPr="00FC5566" w14:paraId="4F357E96" w14:textId="77777777" w:rsidTr="00B247D5">
        <w:trPr>
          <w:trHeight w:val="345"/>
        </w:trPr>
        <w:tc>
          <w:tcPr>
            <w:tcW w:w="1080" w:type="dxa"/>
          </w:tcPr>
          <w:p w14:paraId="4DD4992D" w14:textId="77777777" w:rsidR="00FC5566" w:rsidRPr="00FC5566" w:rsidRDefault="00FC5566" w:rsidP="00FC5566">
            <w:pPr>
              <w:widowControl w:val="0"/>
              <w:autoSpaceDE w:val="0"/>
              <w:autoSpaceDN w:val="0"/>
              <w:ind w:right="15"/>
              <w:jc w:val="center"/>
              <w:rPr>
                <w:spacing w:val="-2"/>
                <w:sz w:val="16"/>
                <w:szCs w:val="16"/>
              </w:rPr>
            </w:pPr>
            <w:r w:rsidRPr="00FC5566">
              <w:rPr>
                <w:spacing w:val="-2"/>
                <w:sz w:val="16"/>
                <w:szCs w:val="16"/>
              </w:rPr>
              <w:t>Amend</w:t>
            </w:r>
          </w:p>
        </w:tc>
        <w:tc>
          <w:tcPr>
            <w:tcW w:w="2430" w:type="dxa"/>
          </w:tcPr>
          <w:p w14:paraId="70052026" w14:textId="77777777" w:rsidR="00FC5566" w:rsidRPr="00FC5566" w:rsidRDefault="00FC5566" w:rsidP="00FC5566">
            <w:pPr>
              <w:widowControl w:val="0"/>
              <w:autoSpaceDE w:val="0"/>
              <w:autoSpaceDN w:val="0"/>
              <w:ind w:left="101"/>
              <w:rPr>
                <w:sz w:val="16"/>
                <w:szCs w:val="16"/>
              </w:rPr>
            </w:pPr>
            <w:r w:rsidRPr="00FC5566">
              <w:rPr>
                <w:sz w:val="16"/>
                <w:szCs w:val="16"/>
              </w:rPr>
              <w:t>Section 420, Groups I-1, R-1, R-2, R-3 and R-4.</w:t>
            </w:r>
          </w:p>
        </w:tc>
        <w:tc>
          <w:tcPr>
            <w:tcW w:w="7099" w:type="dxa"/>
          </w:tcPr>
          <w:p w14:paraId="0FAF329E" w14:textId="77777777" w:rsidR="00FC5566" w:rsidRPr="00FC5566" w:rsidRDefault="00FC5566" w:rsidP="00FC5566">
            <w:pPr>
              <w:widowControl w:val="0"/>
              <w:autoSpaceDE w:val="0"/>
              <w:autoSpaceDN w:val="0"/>
              <w:ind w:left="108"/>
              <w:rPr>
                <w:sz w:val="16"/>
                <w:szCs w:val="16"/>
              </w:rPr>
            </w:pPr>
          </w:p>
        </w:tc>
      </w:tr>
      <w:tr w:rsidR="00FC5566" w:rsidRPr="00FC5566" w14:paraId="2C892616" w14:textId="77777777" w:rsidTr="00B247D5">
        <w:trPr>
          <w:trHeight w:val="369"/>
        </w:trPr>
        <w:tc>
          <w:tcPr>
            <w:tcW w:w="1080" w:type="dxa"/>
          </w:tcPr>
          <w:p w14:paraId="52461A41" w14:textId="77777777" w:rsidR="00FC5566" w:rsidRPr="00FC5566" w:rsidRDefault="00FC5566" w:rsidP="00FC5566">
            <w:pPr>
              <w:widowControl w:val="0"/>
              <w:autoSpaceDE w:val="0"/>
              <w:autoSpaceDN w:val="0"/>
              <w:ind w:right="15"/>
              <w:jc w:val="center"/>
              <w:rPr>
                <w:spacing w:val="-2"/>
                <w:sz w:val="16"/>
                <w:szCs w:val="16"/>
              </w:rPr>
            </w:pPr>
            <w:r w:rsidRPr="00FC5566">
              <w:rPr>
                <w:spacing w:val="-2"/>
                <w:sz w:val="16"/>
                <w:szCs w:val="16"/>
              </w:rPr>
              <w:t>Adopt</w:t>
            </w:r>
          </w:p>
        </w:tc>
        <w:tc>
          <w:tcPr>
            <w:tcW w:w="2430" w:type="dxa"/>
          </w:tcPr>
          <w:p w14:paraId="666A20AE" w14:textId="77777777" w:rsidR="00FC5566" w:rsidRPr="00FC5566" w:rsidRDefault="00FC5566" w:rsidP="00FC5566">
            <w:pPr>
              <w:widowControl w:val="0"/>
              <w:autoSpaceDE w:val="0"/>
              <w:autoSpaceDN w:val="0"/>
              <w:ind w:left="107"/>
              <w:rPr>
                <w:sz w:val="16"/>
                <w:szCs w:val="16"/>
              </w:rPr>
            </w:pPr>
            <w:r w:rsidRPr="00FC5566">
              <w:rPr>
                <w:sz w:val="16"/>
                <w:szCs w:val="16"/>
              </w:rPr>
              <w:t>Section 420.12, Small Lodging Classification.</w:t>
            </w:r>
          </w:p>
        </w:tc>
        <w:tc>
          <w:tcPr>
            <w:tcW w:w="7099" w:type="dxa"/>
          </w:tcPr>
          <w:p w14:paraId="107490BA" w14:textId="77777777" w:rsidR="00FC5566" w:rsidRPr="00FC5566" w:rsidRDefault="00FC5566" w:rsidP="00FC5566">
            <w:pPr>
              <w:widowControl w:val="0"/>
              <w:autoSpaceDE w:val="0"/>
              <w:autoSpaceDN w:val="0"/>
              <w:ind w:left="88"/>
              <w:rPr>
                <w:sz w:val="16"/>
                <w:szCs w:val="16"/>
              </w:rPr>
            </w:pPr>
            <w:r w:rsidRPr="00FC5566">
              <w:rPr>
                <w:sz w:val="16"/>
                <w:szCs w:val="16"/>
              </w:rPr>
              <w:t xml:space="preserve">This occupancy classification applies to a building or portion thereof that does not qualify as a one- or two-family dwelling and that provides sleeping accommodations for a total of 16 or fewer people on a transient or non-transient basis, without personal care services, with or without meals, but without separate cooking facilities for individual occupants.  A one and two-family dwelling containing not more than two dwelling units in which each dwelling unit is occupied by members of a single family with not more than three outsiders, if any, accommodated in rented rooms.   </w:t>
            </w:r>
          </w:p>
          <w:p w14:paraId="62E0D70E" w14:textId="77777777" w:rsidR="00FC5566" w:rsidRPr="00FC5566" w:rsidRDefault="00FC5566" w:rsidP="00FC5566">
            <w:pPr>
              <w:widowControl w:val="0"/>
              <w:autoSpaceDE w:val="0"/>
              <w:autoSpaceDN w:val="0"/>
              <w:ind w:left="108"/>
              <w:rPr>
                <w:sz w:val="16"/>
                <w:szCs w:val="16"/>
              </w:rPr>
            </w:pPr>
            <w:r w:rsidRPr="00FC5566">
              <w:rPr>
                <w:sz w:val="16"/>
                <w:szCs w:val="16"/>
              </w:rPr>
              <w:t xml:space="preserve">  </w:t>
            </w:r>
          </w:p>
          <w:p w14:paraId="66A729B9" w14:textId="77777777" w:rsidR="00FC5566" w:rsidRPr="00FC5566" w:rsidRDefault="00FC5566" w:rsidP="00FC5566">
            <w:pPr>
              <w:widowControl w:val="0"/>
              <w:autoSpaceDE w:val="0"/>
              <w:autoSpaceDN w:val="0"/>
              <w:ind w:left="108"/>
              <w:rPr>
                <w:sz w:val="16"/>
                <w:szCs w:val="16"/>
              </w:rPr>
            </w:pPr>
            <w:r w:rsidRPr="00FC5566">
              <w:rPr>
                <w:sz w:val="16"/>
                <w:szCs w:val="16"/>
              </w:rPr>
              <w:t xml:space="preserve">Based on the definition of a one- or two-family dwelling, it reasons that a single building owner is allowed to rent to a maximum of 3 outsiders.  This would place a total of 4 non-related persons in sleeping facility </w:t>
            </w:r>
          </w:p>
          <w:p w14:paraId="35F87ECA" w14:textId="77777777" w:rsidR="00FC5566" w:rsidRPr="00FC5566" w:rsidRDefault="00FC5566" w:rsidP="00FC5566">
            <w:pPr>
              <w:widowControl w:val="0"/>
              <w:autoSpaceDE w:val="0"/>
              <w:autoSpaceDN w:val="0"/>
              <w:ind w:left="108"/>
              <w:rPr>
                <w:sz w:val="16"/>
                <w:szCs w:val="16"/>
              </w:rPr>
            </w:pPr>
            <w:r w:rsidRPr="00FC5566">
              <w:rPr>
                <w:sz w:val="16"/>
                <w:szCs w:val="16"/>
              </w:rPr>
              <w:t xml:space="preserve">and still recognize classification as a single-family residence.   </w:t>
            </w:r>
          </w:p>
          <w:p w14:paraId="1924EA65" w14:textId="77777777" w:rsidR="00FC5566" w:rsidRPr="00FC5566" w:rsidRDefault="00FC5566" w:rsidP="00FC5566">
            <w:pPr>
              <w:widowControl w:val="0"/>
              <w:autoSpaceDE w:val="0"/>
              <w:autoSpaceDN w:val="0"/>
              <w:ind w:left="108"/>
              <w:rPr>
                <w:sz w:val="16"/>
                <w:szCs w:val="16"/>
              </w:rPr>
            </w:pPr>
            <w:r w:rsidRPr="00FC5566">
              <w:rPr>
                <w:sz w:val="16"/>
                <w:szCs w:val="16"/>
              </w:rPr>
              <w:t xml:space="preserve">  </w:t>
            </w:r>
          </w:p>
          <w:p w14:paraId="3840E475" w14:textId="77777777" w:rsidR="00FC5566" w:rsidRPr="00FC5566" w:rsidRDefault="00FC5566" w:rsidP="00FC5566">
            <w:pPr>
              <w:widowControl w:val="0"/>
              <w:autoSpaceDE w:val="0"/>
              <w:autoSpaceDN w:val="0"/>
              <w:ind w:left="108"/>
              <w:rPr>
                <w:sz w:val="16"/>
                <w:szCs w:val="16"/>
              </w:rPr>
            </w:pPr>
            <w:r w:rsidRPr="00FC5566">
              <w:rPr>
                <w:sz w:val="16"/>
                <w:szCs w:val="16"/>
              </w:rPr>
              <w:t>Therefore, it is determined that sleeping facilities that are capable of sleeping a maximum of 4 persons shall be classified as a one- or two-family dwelling and comply instead with IRC.  For accommodations of 5 persons or more under this section, then the dwelling must comply with IBC, and Appendix P of 2024 IFC.</w:t>
            </w:r>
          </w:p>
        </w:tc>
      </w:tr>
      <w:tr w:rsidR="00FC5566" w:rsidRPr="00FC5566" w14:paraId="49E08578" w14:textId="77777777" w:rsidTr="00B247D5">
        <w:trPr>
          <w:trHeight w:val="336"/>
        </w:trPr>
        <w:tc>
          <w:tcPr>
            <w:tcW w:w="1080" w:type="dxa"/>
          </w:tcPr>
          <w:p w14:paraId="2486DBB5" w14:textId="77777777" w:rsidR="00FC5566" w:rsidRPr="00FC5566" w:rsidRDefault="00FC5566" w:rsidP="00FC5566">
            <w:pPr>
              <w:widowControl w:val="0"/>
              <w:autoSpaceDE w:val="0"/>
              <w:autoSpaceDN w:val="0"/>
              <w:ind w:right="15"/>
              <w:jc w:val="center"/>
              <w:rPr>
                <w:spacing w:val="-2"/>
                <w:sz w:val="16"/>
                <w:szCs w:val="16"/>
              </w:rPr>
            </w:pPr>
            <w:r w:rsidRPr="00FC5566">
              <w:rPr>
                <w:spacing w:val="-2"/>
                <w:sz w:val="16"/>
                <w:szCs w:val="16"/>
              </w:rPr>
              <w:t>Amend</w:t>
            </w:r>
          </w:p>
        </w:tc>
        <w:tc>
          <w:tcPr>
            <w:tcW w:w="2430" w:type="dxa"/>
          </w:tcPr>
          <w:p w14:paraId="64A76DB1" w14:textId="77777777" w:rsidR="00FC5566" w:rsidRPr="00FC5566" w:rsidRDefault="00FC5566" w:rsidP="00FC5566">
            <w:pPr>
              <w:widowControl w:val="0"/>
              <w:autoSpaceDE w:val="0"/>
              <w:autoSpaceDN w:val="0"/>
              <w:ind w:left="101"/>
              <w:rPr>
                <w:b/>
                <w:bCs/>
                <w:sz w:val="16"/>
                <w:szCs w:val="16"/>
              </w:rPr>
            </w:pPr>
            <w:r w:rsidRPr="00FC5566">
              <w:rPr>
                <w:sz w:val="16"/>
                <w:szCs w:val="16"/>
              </w:rPr>
              <w:t>Chapter 509, General Building Heights and Areas.</w:t>
            </w:r>
          </w:p>
        </w:tc>
        <w:tc>
          <w:tcPr>
            <w:tcW w:w="7099" w:type="dxa"/>
          </w:tcPr>
          <w:p w14:paraId="06280F53" w14:textId="77777777" w:rsidR="00FC5566" w:rsidRPr="00FC5566" w:rsidRDefault="00FC5566" w:rsidP="00FC5566">
            <w:pPr>
              <w:widowControl w:val="0"/>
              <w:autoSpaceDE w:val="0"/>
              <w:autoSpaceDN w:val="0"/>
              <w:ind w:left="108"/>
              <w:rPr>
                <w:sz w:val="16"/>
                <w:szCs w:val="16"/>
              </w:rPr>
            </w:pPr>
          </w:p>
        </w:tc>
      </w:tr>
      <w:tr w:rsidR="00FC5566" w:rsidRPr="00FC5566" w14:paraId="1C0967A4" w14:textId="77777777" w:rsidTr="00B247D5">
        <w:trPr>
          <w:trHeight w:val="259"/>
        </w:trPr>
        <w:tc>
          <w:tcPr>
            <w:tcW w:w="1080" w:type="dxa"/>
          </w:tcPr>
          <w:p w14:paraId="456D2DC7" w14:textId="77777777" w:rsidR="00FC5566" w:rsidRPr="00FC5566" w:rsidRDefault="00FC5566" w:rsidP="00FC5566">
            <w:pPr>
              <w:widowControl w:val="0"/>
              <w:autoSpaceDE w:val="0"/>
              <w:autoSpaceDN w:val="0"/>
              <w:ind w:right="15"/>
              <w:jc w:val="center"/>
              <w:rPr>
                <w:sz w:val="16"/>
                <w:szCs w:val="16"/>
              </w:rPr>
            </w:pPr>
            <w:r w:rsidRPr="00FC5566">
              <w:rPr>
                <w:spacing w:val="-2"/>
                <w:sz w:val="16"/>
                <w:szCs w:val="16"/>
              </w:rPr>
              <w:t>Amend</w:t>
            </w:r>
          </w:p>
        </w:tc>
        <w:tc>
          <w:tcPr>
            <w:tcW w:w="2430" w:type="dxa"/>
          </w:tcPr>
          <w:p w14:paraId="0881F553" w14:textId="77777777" w:rsidR="00FC5566" w:rsidRPr="00FC5566" w:rsidRDefault="00FC5566" w:rsidP="00FC5566">
            <w:pPr>
              <w:widowControl w:val="0"/>
              <w:autoSpaceDE w:val="0"/>
              <w:autoSpaceDN w:val="0"/>
              <w:ind w:left="107"/>
              <w:rPr>
                <w:sz w:val="16"/>
                <w:szCs w:val="16"/>
              </w:rPr>
            </w:pPr>
            <w:r w:rsidRPr="00FC5566">
              <w:rPr>
                <w:sz w:val="16"/>
                <w:szCs w:val="16"/>
              </w:rPr>
              <w:t>Table</w:t>
            </w:r>
            <w:r w:rsidRPr="00FC5566">
              <w:rPr>
                <w:spacing w:val="-9"/>
                <w:sz w:val="16"/>
                <w:szCs w:val="16"/>
              </w:rPr>
              <w:t xml:space="preserve"> </w:t>
            </w:r>
            <w:r w:rsidRPr="00FC5566">
              <w:rPr>
                <w:spacing w:val="-2"/>
                <w:sz w:val="16"/>
                <w:szCs w:val="16"/>
              </w:rPr>
              <w:t>509.1, Incidental Uses.</w:t>
            </w:r>
          </w:p>
        </w:tc>
        <w:tc>
          <w:tcPr>
            <w:tcW w:w="7099" w:type="dxa"/>
          </w:tcPr>
          <w:p w14:paraId="7CAD364F" w14:textId="77777777" w:rsidR="00FC5566" w:rsidRPr="00FC5566" w:rsidRDefault="00FC5566" w:rsidP="00FC5566">
            <w:pPr>
              <w:widowControl w:val="0"/>
              <w:autoSpaceDE w:val="0"/>
              <w:autoSpaceDN w:val="0"/>
              <w:rPr>
                <w:sz w:val="16"/>
                <w:szCs w:val="16"/>
              </w:rPr>
            </w:pPr>
          </w:p>
        </w:tc>
      </w:tr>
      <w:tr w:rsidR="00FC5566" w:rsidRPr="00FC5566" w14:paraId="7BD96861" w14:textId="77777777" w:rsidTr="00B247D5">
        <w:trPr>
          <w:trHeight w:val="366"/>
        </w:trPr>
        <w:tc>
          <w:tcPr>
            <w:tcW w:w="1080" w:type="dxa"/>
          </w:tcPr>
          <w:p w14:paraId="2FD9CAA2" w14:textId="77777777" w:rsidR="00FC5566" w:rsidRPr="00FC5566" w:rsidRDefault="00FC5566" w:rsidP="00FC5566">
            <w:pPr>
              <w:widowControl w:val="0"/>
              <w:autoSpaceDE w:val="0"/>
              <w:autoSpaceDN w:val="0"/>
              <w:ind w:right="15"/>
              <w:jc w:val="center"/>
              <w:rPr>
                <w:sz w:val="16"/>
                <w:szCs w:val="16"/>
              </w:rPr>
            </w:pPr>
            <w:r w:rsidRPr="00FC5566">
              <w:rPr>
                <w:spacing w:val="-2"/>
                <w:sz w:val="16"/>
                <w:szCs w:val="16"/>
              </w:rPr>
              <w:t>Adopt</w:t>
            </w:r>
          </w:p>
        </w:tc>
        <w:tc>
          <w:tcPr>
            <w:tcW w:w="2430" w:type="dxa"/>
          </w:tcPr>
          <w:p w14:paraId="513F6A57" w14:textId="77777777" w:rsidR="00FC5566" w:rsidRPr="00FC5566" w:rsidRDefault="00FC5566" w:rsidP="00FC5566">
            <w:pPr>
              <w:widowControl w:val="0"/>
              <w:autoSpaceDE w:val="0"/>
              <w:autoSpaceDN w:val="0"/>
              <w:ind w:left="107"/>
              <w:rPr>
                <w:sz w:val="16"/>
                <w:szCs w:val="16"/>
              </w:rPr>
            </w:pPr>
            <w:r w:rsidRPr="00FC5566">
              <w:rPr>
                <w:sz w:val="16"/>
                <w:szCs w:val="16"/>
              </w:rPr>
              <w:t>Row</w:t>
            </w:r>
            <w:r w:rsidRPr="00FC5566">
              <w:rPr>
                <w:spacing w:val="-6"/>
                <w:sz w:val="16"/>
                <w:szCs w:val="16"/>
              </w:rPr>
              <w:t xml:space="preserve"> </w:t>
            </w:r>
            <w:r w:rsidRPr="00FC5566">
              <w:rPr>
                <w:spacing w:val="-4"/>
                <w:sz w:val="16"/>
                <w:szCs w:val="16"/>
              </w:rPr>
              <w:t>(18.)</w:t>
            </w:r>
          </w:p>
        </w:tc>
        <w:tc>
          <w:tcPr>
            <w:tcW w:w="7099" w:type="dxa"/>
          </w:tcPr>
          <w:p w14:paraId="08DF5C02" w14:textId="77777777" w:rsidR="00FC5566" w:rsidRPr="00FC5566" w:rsidRDefault="00FC5566" w:rsidP="00FC5566">
            <w:pPr>
              <w:widowControl w:val="0"/>
              <w:autoSpaceDE w:val="0"/>
              <w:autoSpaceDN w:val="0"/>
              <w:ind w:left="108" w:right="263"/>
              <w:rPr>
                <w:sz w:val="16"/>
                <w:szCs w:val="16"/>
              </w:rPr>
            </w:pPr>
            <w:r w:rsidRPr="00FC5566">
              <w:rPr>
                <w:sz w:val="16"/>
                <w:szCs w:val="16"/>
              </w:rPr>
              <w:t>Stationary</w:t>
            </w:r>
            <w:r w:rsidRPr="00FC5566">
              <w:rPr>
                <w:spacing w:val="-5"/>
                <w:sz w:val="16"/>
                <w:szCs w:val="16"/>
              </w:rPr>
              <w:t xml:space="preserve"> </w:t>
            </w:r>
            <w:r w:rsidRPr="00FC5566">
              <w:rPr>
                <w:sz w:val="16"/>
                <w:szCs w:val="16"/>
              </w:rPr>
              <w:t>storage</w:t>
            </w:r>
            <w:r w:rsidRPr="00FC5566">
              <w:rPr>
                <w:spacing w:val="-4"/>
                <w:sz w:val="16"/>
                <w:szCs w:val="16"/>
              </w:rPr>
              <w:t xml:space="preserve"> </w:t>
            </w:r>
            <w:r w:rsidRPr="00FC5566">
              <w:rPr>
                <w:sz w:val="16"/>
                <w:szCs w:val="16"/>
              </w:rPr>
              <w:t>battery</w:t>
            </w:r>
            <w:r w:rsidRPr="00FC5566">
              <w:rPr>
                <w:spacing w:val="-5"/>
                <w:sz w:val="16"/>
                <w:szCs w:val="16"/>
              </w:rPr>
              <w:t xml:space="preserve"> </w:t>
            </w:r>
            <w:r w:rsidRPr="00FC5566">
              <w:rPr>
                <w:sz w:val="16"/>
                <w:szCs w:val="16"/>
              </w:rPr>
              <w:t>systems</w:t>
            </w:r>
            <w:r w:rsidRPr="00FC5566">
              <w:rPr>
                <w:spacing w:val="-2"/>
                <w:sz w:val="16"/>
                <w:szCs w:val="16"/>
              </w:rPr>
              <w:t xml:space="preserve"> </w:t>
            </w:r>
            <w:r w:rsidRPr="00FC5566">
              <w:rPr>
                <w:sz w:val="16"/>
                <w:szCs w:val="16"/>
              </w:rPr>
              <w:t>having</w:t>
            </w:r>
            <w:r w:rsidRPr="00FC5566">
              <w:rPr>
                <w:spacing w:val="-3"/>
                <w:sz w:val="16"/>
                <w:szCs w:val="16"/>
              </w:rPr>
              <w:t xml:space="preserve"> </w:t>
            </w:r>
            <w:r w:rsidRPr="00FC5566">
              <w:rPr>
                <w:sz w:val="16"/>
                <w:szCs w:val="16"/>
              </w:rPr>
              <w:t>an</w:t>
            </w:r>
            <w:r w:rsidRPr="00FC5566">
              <w:rPr>
                <w:spacing w:val="-1"/>
                <w:sz w:val="16"/>
                <w:szCs w:val="16"/>
              </w:rPr>
              <w:t xml:space="preserve"> </w:t>
            </w:r>
            <w:r w:rsidRPr="00FC5566">
              <w:rPr>
                <w:sz w:val="16"/>
                <w:szCs w:val="16"/>
              </w:rPr>
              <w:t>energy</w:t>
            </w:r>
            <w:r w:rsidRPr="00FC5566">
              <w:rPr>
                <w:spacing w:val="-5"/>
                <w:sz w:val="16"/>
                <w:szCs w:val="16"/>
              </w:rPr>
              <w:t xml:space="preserve"> </w:t>
            </w:r>
            <w:r w:rsidRPr="00FC5566">
              <w:rPr>
                <w:sz w:val="16"/>
                <w:szCs w:val="16"/>
              </w:rPr>
              <w:t>capacity</w:t>
            </w:r>
            <w:r w:rsidRPr="00FC5566">
              <w:rPr>
                <w:spacing w:val="-5"/>
                <w:sz w:val="16"/>
                <w:szCs w:val="16"/>
              </w:rPr>
              <w:t xml:space="preserve"> </w:t>
            </w:r>
            <w:r w:rsidRPr="00FC5566">
              <w:rPr>
                <w:sz w:val="16"/>
                <w:szCs w:val="16"/>
              </w:rPr>
              <w:t>greater</w:t>
            </w:r>
            <w:r w:rsidRPr="00FC5566">
              <w:rPr>
                <w:spacing w:val="-3"/>
                <w:sz w:val="16"/>
                <w:szCs w:val="16"/>
              </w:rPr>
              <w:t xml:space="preserve"> </w:t>
            </w:r>
            <w:r w:rsidRPr="00FC5566">
              <w:rPr>
                <w:sz w:val="16"/>
                <w:szCs w:val="16"/>
              </w:rPr>
              <w:t>than</w:t>
            </w:r>
            <w:r w:rsidRPr="00FC5566">
              <w:rPr>
                <w:spacing w:val="-3"/>
                <w:sz w:val="16"/>
                <w:szCs w:val="16"/>
              </w:rPr>
              <w:t xml:space="preserve"> </w:t>
            </w:r>
            <w:r w:rsidRPr="00FC5566">
              <w:rPr>
                <w:sz w:val="16"/>
                <w:szCs w:val="16"/>
              </w:rPr>
              <w:t>the</w:t>
            </w:r>
            <w:r w:rsidRPr="00FC5566">
              <w:rPr>
                <w:spacing w:val="-4"/>
                <w:sz w:val="16"/>
                <w:szCs w:val="16"/>
              </w:rPr>
              <w:t xml:space="preserve"> </w:t>
            </w:r>
            <w:r w:rsidRPr="00FC5566">
              <w:rPr>
                <w:sz w:val="16"/>
                <w:szCs w:val="16"/>
              </w:rPr>
              <w:t>threshold</w:t>
            </w:r>
            <w:r w:rsidRPr="00FC5566">
              <w:rPr>
                <w:spacing w:val="-1"/>
                <w:sz w:val="16"/>
                <w:szCs w:val="16"/>
              </w:rPr>
              <w:t xml:space="preserve"> </w:t>
            </w:r>
            <w:r w:rsidRPr="00FC5566">
              <w:rPr>
                <w:sz w:val="16"/>
                <w:szCs w:val="16"/>
              </w:rPr>
              <w:t>quantity</w:t>
            </w:r>
            <w:r w:rsidRPr="00FC5566">
              <w:rPr>
                <w:spacing w:val="40"/>
                <w:sz w:val="16"/>
                <w:szCs w:val="16"/>
              </w:rPr>
              <w:t xml:space="preserve"> </w:t>
            </w:r>
            <w:r w:rsidRPr="00FC5566">
              <w:rPr>
                <w:sz w:val="16"/>
                <w:szCs w:val="16"/>
              </w:rPr>
              <w:t>specified in 2021 IFC Table 1207.1.1 shall have a 2 HR Separation and/or Protection.</w:t>
            </w:r>
          </w:p>
        </w:tc>
      </w:tr>
      <w:tr w:rsidR="00FC5566" w:rsidRPr="00FC5566" w14:paraId="541A1339" w14:textId="77777777" w:rsidTr="00B247D5">
        <w:trPr>
          <w:trHeight w:val="366"/>
        </w:trPr>
        <w:tc>
          <w:tcPr>
            <w:tcW w:w="1080" w:type="dxa"/>
          </w:tcPr>
          <w:p w14:paraId="5E863F28" w14:textId="77777777" w:rsidR="00FC5566" w:rsidRPr="00FC5566" w:rsidRDefault="00FC5566" w:rsidP="00FC5566">
            <w:pPr>
              <w:widowControl w:val="0"/>
              <w:autoSpaceDE w:val="0"/>
              <w:autoSpaceDN w:val="0"/>
              <w:ind w:right="15"/>
              <w:jc w:val="center"/>
              <w:rPr>
                <w:spacing w:val="-2"/>
                <w:sz w:val="16"/>
                <w:szCs w:val="16"/>
              </w:rPr>
            </w:pPr>
            <w:r w:rsidRPr="00FC5566">
              <w:rPr>
                <w:spacing w:val="-2"/>
                <w:sz w:val="16"/>
                <w:szCs w:val="16"/>
              </w:rPr>
              <w:t>Amend</w:t>
            </w:r>
          </w:p>
        </w:tc>
        <w:tc>
          <w:tcPr>
            <w:tcW w:w="2430" w:type="dxa"/>
          </w:tcPr>
          <w:p w14:paraId="5F31CD5A" w14:textId="77777777" w:rsidR="00FC5566" w:rsidRPr="00FC5566" w:rsidRDefault="00FC5566" w:rsidP="00FC5566">
            <w:pPr>
              <w:widowControl w:val="0"/>
              <w:autoSpaceDE w:val="0"/>
              <w:autoSpaceDN w:val="0"/>
              <w:ind w:left="107"/>
              <w:rPr>
                <w:sz w:val="16"/>
                <w:szCs w:val="16"/>
              </w:rPr>
            </w:pPr>
            <w:r w:rsidRPr="00FC5566">
              <w:rPr>
                <w:sz w:val="16"/>
                <w:szCs w:val="16"/>
              </w:rPr>
              <w:t>Chapter 9, Fire Protection and Life Safety.</w:t>
            </w:r>
          </w:p>
        </w:tc>
        <w:tc>
          <w:tcPr>
            <w:tcW w:w="7099" w:type="dxa"/>
          </w:tcPr>
          <w:p w14:paraId="149FDE26" w14:textId="77777777" w:rsidR="00FC5566" w:rsidRPr="00FC5566" w:rsidRDefault="00FC5566" w:rsidP="00FC5566">
            <w:pPr>
              <w:widowControl w:val="0"/>
              <w:autoSpaceDE w:val="0"/>
              <w:autoSpaceDN w:val="0"/>
              <w:ind w:left="108" w:right="263"/>
              <w:rPr>
                <w:sz w:val="16"/>
                <w:szCs w:val="16"/>
              </w:rPr>
            </w:pPr>
          </w:p>
        </w:tc>
      </w:tr>
      <w:tr w:rsidR="00FC5566" w:rsidRPr="00FC5566" w14:paraId="4FBAA998" w14:textId="77777777" w:rsidTr="00B247D5">
        <w:trPr>
          <w:trHeight w:val="366"/>
        </w:trPr>
        <w:tc>
          <w:tcPr>
            <w:tcW w:w="1080" w:type="dxa"/>
          </w:tcPr>
          <w:p w14:paraId="07604D20" w14:textId="77777777" w:rsidR="00FC5566" w:rsidRPr="00FC5566" w:rsidRDefault="00FC5566" w:rsidP="00FC5566">
            <w:pPr>
              <w:widowControl w:val="0"/>
              <w:autoSpaceDE w:val="0"/>
              <w:autoSpaceDN w:val="0"/>
              <w:ind w:right="15"/>
              <w:jc w:val="center"/>
              <w:rPr>
                <w:spacing w:val="-2"/>
                <w:sz w:val="16"/>
                <w:szCs w:val="16"/>
              </w:rPr>
            </w:pPr>
            <w:r w:rsidRPr="00FC5566">
              <w:rPr>
                <w:spacing w:val="-2"/>
                <w:sz w:val="16"/>
                <w:szCs w:val="16"/>
              </w:rPr>
              <w:lastRenderedPageBreak/>
              <w:t>Amend</w:t>
            </w:r>
          </w:p>
        </w:tc>
        <w:tc>
          <w:tcPr>
            <w:tcW w:w="2430" w:type="dxa"/>
          </w:tcPr>
          <w:p w14:paraId="147B68D1" w14:textId="77777777" w:rsidR="00FC5566" w:rsidRPr="00FC5566" w:rsidRDefault="00FC5566" w:rsidP="00FC5566">
            <w:pPr>
              <w:widowControl w:val="0"/>
              <w:autoSpaceDE w:val="0"/>
              <w:autoSpaceDN w:val="0"/>
              <w:ind w:left="107"/>
              <w:rPr>
                <w:sz w:val="16"/>
                <w:szCs w:val="16"/>
              </w:rPr>
            </w:pPr>
            <w:r w:rsidRPr="00FC5566">
              <w:rPr>
                <w:sz w:val="16"/>
                <w:szCs w:val="16"/>
              </w:rPr>
              <w:t>Section 903, Automatic Sprinkler Systems.</w:t>
            </w:r>
          </w:p>
        </w:tc>
        <w:tc>
          <w:tcPr>
            <w:tcW w:w="7099" w:type="dxa"/>
          </w:tcPr>
          <w:p w14:paraId="5D70E980" w14:textId="77777777" w:rsidR="00FC5566" w:rsidRPr="00FC5566" w:rsidRDefault="00FC5566" w:rsidP="00FC5566">
            <w:pPr>
              <w:widowControl w:val="0"/>
              <w:autoSpaceDE w:val="0"/>
              <w:autoSpaceDN w:val="0"/>
              <w:ind w:left="108" w:right="263"/>
              <w:rPr>
                <w:sz w:val="16"/>
                <w:szCs w:val="16"/>
              </w:rPr>
            </w:pPr>
          </w:p>
        </w:tc>
      </w:tr>
      <w:tr w:rsidR="00FC5566" w:rsidRPr="00FC5566" w14:paraId="066FC347" w14:textId="77777777" w:rsidTr="00B247D5">
        <w:trPr>
          <w:trHeight w:val="259"/>
        </w:trPr>
        <w:tc>
          <w:tcPr>
            <w:tcW w:w="1080" w:type="dxa"/>
          </w:tcPr>
          <w:p w14:paraId="4708FABE" w14:textId="77777777" w:rsidR="00FC5566" w:rsidRPr="00FC5566" w:rsidRDefault="00FC5566" w:rsidP="00FC5566">
            <w:pPr>
              <w:widowControl w:val="0"/>
              <w:autoSpaceDE w:val="0"/>
              <w:autoSpaceDN w:val="0"/>
              <w:ind w:right="15"/>
              <w:jc w:val="center"/>
              <w:rPr>
                <w:sz w:val="16"/>
                <w:szCs w:val="16"/>
              </w:rPr>
            </w:pPr>
            <w:r w:rsidRPr="00FC5566">
              <w:rPr>
                <w:spacing w:val="-2"/>
                <w:sz w:val="16"/>
                <w:szCs w:val="16"/>
              </w:rPr>
              <w:t>Amend</w:t>
            </w:r>
          </w:p>
        </w:tc>
        <w:tc>
          <w:tcPr>
            <w:tcW w:w="2430" w:type="dxa"/>
          </w:tcPr>
          <w:p w14:paraId="3E8832A6" w14:textId="77777777" w:rsidR="00FC5566" w:rsidRPr="00FC5566" w:rsidRDefault="00FC5566" w:rsidP="00FC5566">
            <w:pPr>
              <w:widowControl w:val="0"/>
              <w:autoSpaceDE w:val="0"/>
              <w:autoSpaceDN w:val="0"/>
              <w:ind w:left="107"/>
              <w:rPr>
                <w:sz w:val="16"/>
                <w:szCs w:val="16"/>
              </w:rPr>
            </w:pPr>
            <w:r w:rsidRPr="00FC5566">
              <w:rPr>
                <w:sz w:val="16"/>
                <w:szCs w:val="16"/>
              </w:rPr>
              <w:t>Section</w:t>
            </w:r>
            <w:r w:rsidRPr="00FC5566">
              <w:rPr>
                <w:spacing w:val="-12"/>
                <w:sz w:val="16"/>
                <w:szCs w:val="16"/>
              </w:rPr>
              <w:t xml:space="preserve"> </w:t>
            </w:r>
            <w:r w:rsidRPr="00FC5566">
              <w:rPr>
                <w:sz w:val="16"/>
                <w:szCs w:val="16"/>
              </w:rPr>
              <w:t>903.2.1.2,</w:t>
            </w:r>
            <w:r w:rsidRPr="00FC5566">
              <w:rPr>
                <w:spacing w:val="-7"/>
                <w:sz w:val="16"/>
                <w:szCs w:val="16"/>
              </w:rPr>
              <w:t xml:space="preserve"> </w:t>
            </w:r>
            <w:r w:rsidRPr="00FC5566">
              <w:rPr>
                <w:sz w:val="16"/>
                <w:szCs w:val="16"/>
              </w:rPr>
              <w:t>Group</w:t>
            </w:r>
            <w:r w:rsidRPr="00FC5566">
              <w:rPr>
                <w:spacing w:val="-7"/>
                <w:sz w:val="16"/>
                <w:szCs w:val="16"/>
              </w:rPr>
              <w:t xml:space="preserve"> </w:t>
            </w:r>
            <w:r w:rsidRPr="00FC5566">
              <w:rPr>
                <w:sz w:val="16"/>
                <w:szCs w:val="16"/>
              </w:rPr>
              <w:t>A-</w:t>
            </w:r>
            <w:r w:rsidRPr="00FC5566">
              <w:rPr>
                <w:spacing w:val="-5"/>
                <w:sz w:val="16"/>
                <w:szCs w:val="16"/>
              </w:rPr>
              <w:t>2.</w:t>
            </w:r>
          </w:p>
        </w:tc>
        <w:tc>
          <w:tcPr>
            <w:tcW w:w="7099" w:type="dxa"/>
          </w:tcPr>
          <w:p w14:paraId="0A0BEC2A" w14:textId="77777777" w:rsidR="00FC5566" w:rsidRPr="00FC5566" w:rsidRDefault="00FC5566" w:rsidP="00FC5566">
            <w:pPr>
              <w:widowControl w:val="0"/>
              <w:autoSpaceDE w:val="0"/>
              <w:autoSpaceDN w:val="0"/>
              <w:rPr>
                <w:sz w:val="16"/>
                <w:szCs w:val="16"/>
              </w:rPr>
            </w:pPr>
          </w:p>
        </w:tc>
      </w:tr>
      <w:tr w:rsidR="00FC5566" w:rsidRPr="00FC5566" w14:paraId="1ECD4E66" w14:textId="77777777" w:rsidTr="00B247D5">
        <w:trPr>
          <w:trHeight w:val="259"/>
        </w:trPr>
        <w:tc>
          <w:tcPr>
            <w:tcW w:w="1080" w:type="dxa"/>
          </w:tcPr>
          <w:p w14:paraId="08A3413B" w14:textId="77777777" w:rsidR="00FC5566" w:rsidRPr="00FC5566" w:rsidRDefault="00FC5566" w:rsidP="00FC5566">
            <w:pPr>
              <w:widowControl w:val="0"/>
              <w:autoSpaceDE w:val="0"/>
              <w:autoSpaceDN w:val="0"/>
              <w:ind w:right="15"/>
              <w:jc w:val="center"/>
              <w:rPr>
                <w:sz w:val="16"/>
                <w:szCs w:val="16"/>
              </w:rPr>
            </w:pPr>
            <w:r w:rsidRPr="00FC5566">
              <w:rPr>
                <w:spacing w:val="-2"/>
                <w:sz w:val="16"/>
                <w:szCs w:val="16"/>
              </w:rPr>
              <w:t>Amend</w:t>
            </w:r>
          </w:p>
        </w:tc>
        <w:tc>
          <w:tcPr>
            <w:tcW w:w="2430" w:type="dxa"/>
          </w:tcPr>
          <w:p w14:paraId="7A0A1E04" w14:textId="77777777" w:rsidR="00FC5566" w:rsidRPr="00FC5566" w:rsidRDefault="00FC5566" w:rsidP="00FC5566">
            <w:pPr>
              <w:widowControl w:val="0"/>
              <w:autoSpaceDE w:val="0"/>
              <w:autoSpaceDN w:val="0"/>
              <w:ind w:left="107"/>
              <w:rPr>
                <w:sz w:val="16"/>
                <w:szCs w:val="16"/>
              </w:rPr>
            </w:pPr>
            <w:r w:rsidRPr="00FC5566">
              <w:rPr>
                <w:sz w:val="16"/>
                <w:szCs w:val="16"/>
              </w:rPr>
              <w:t>Item</w:t>
            </w:r>
            <w:r w:rsidRPr="00FC5566">
              <w:rPr>
                <w:spacing w:val="-6"/>
                <w:sz w:val="16"/>
                <w:szCs w:val="16"/>
              </w:rPr>
              <w:t xml:space="preserve"> </w:t>
            </w:r>
            <w:r w:rsidRPr="00FC5566">
              <w:rPr>
                <w:spacing w:val="-4"/>
                <w:sz w:val="16"/>
                <w:szCs w:val="16"/>
              </w:rPr>
              <w:t>(2.)</w:t>
            </w:r>
          </w:p>
        </w:tc>
        <w:tc>
          <w:tcPr>
            <w:tcW w:w="7099" w:type="dxa"/>
          </w:tcPr>
          <w:p w14:paraId="712E7862" w14:textId="77777777" w:rsidR="00FC5566" w:rsidRPr="00FC5566" w:rsidRDefault="00FC5566" w:rsidP="00FC5566">
            <w:pPr>
              <w:widowControl w:val="0"/>
              <w:autoSpaceDE w:val="0"/>
              <w:autoSpaceDN w:val="0"/>
              <w:ind w:left="108"/>
              <w:rPr>
                <w:sz w:val="16"/>
                <w:szCs w:val="16"/>
              </w:rPr>
            </w:pPr>
            <w:r w:rsidRPr="00FC5566">
              <w:rPr>
                <w:sz w:val="16"/>
                <w:szCs w:val="16"/>
              </w:rPr>
              <w:t>2.</w:t>
            </w:r>
            <w:r w:rsidRPr="00FC5566">
              <w:rPr>
                <w:spacing w:val="-2"/>
                <w:sz w:val="16"/>
                <w:szCs w:val="16"/>
              </w:rPr>
              <w:t xml:space="preserve"> </w:t>
            </w:r>
            <w:r w:rsidRPr="00FC5566">
              <w:rPr>
                <w:sz w:val="16"/>
                <w:szCs w:val="16"/>
              </w:rPr>
              <w:t>The</w:t>
            </w:r>
            <w:r w:rsidRPr="00FC5566">
              <w:rPr>
                <w:spacing w:val="-5"/>
                <w:sz w:val="16"/>
                <w:szCs w:val="16"/>
              </w:rPr>
              <w:t xml:space="preserve"> </w:t>
            </w:r>
            <w:r w:rsidRPr="00FC5566">
              <w:rPr>
                <w:sz w:val="16"/>
                <w:szCs w:val="16"/>
              </w:rPr>
              <w:t>fire</w:t>
            </w:r>
            <w:r w:rsidRPr="00FC5566">
              <w:rPr>
                <w:spacing w:val="-5"/>
                <w:sz w:val="16"/>
                <w:szCs w:val="16"/>
              </w:rPr>
              <w:t xml:space="preserve"> </w:t>
            </w:r>
            <w:r w:rsidRPr="00FC5566">
              <w:rPr>
                <w:sz w:val="16"/>
                <w:szCs w:val="16"/>
              </w:rPr>
              <w:t>area</w:t>
            </w:r>
            <w:r w:rsidRPr="00FC5566">
              <w:rPr>
                <w:spacing w:val="-2"/>
                <w:sz w:val="16"/>
                <w:szCs w:val="16"/>
              </w:rPr>
              <w:t xml:space="preserve"> </w:t>
            </w:r>
            <w:r w:rsidRPr="00FC5566">
              <w:rPr>
                <w:sz w:val="16"/>
                <w:szCs w:val="16"/>
              </w:rPr>
              <w:t>has</w:t>
            </w:r>
            <w:r w:rsidRPr="00FC5566">
              <w:rPr>
                <w:spacing w:val="-5"/>
                <w:sz w:val="16"/>
                <w:szCs w:val="16"/>
              </w:rPr>
              <w:t xml:space="preserve"> </w:t>
            </w:r>
            <w:r w:rsidRPr="00FC5566">
              <w:rPr>
                <w:sz w:val="16"/>
                <w:szCs w:val="16"/>
              </w:rPr>
              <w:t>an</w:t>
            </w:r>
            <w:r w:rsidRPr="00FC5566">
              <w:rPr>
                <w:spacing w:val="-4"/>
                <w:sz w:val="16"/>
                <w:szCs w:val="16"/>
              </w:rPr>
              <w:t xml:space="preserve"> </w:t>
            </w:r>
            <w:r w:rsidRPr="00FC5566">
              <w:rPr>
                <w:sz w:val="16"/>
                <w:szCs w:val="16"/>
              </w:rPr>
              <w:t>occupant</w:t>
            </w:r>
            <w:r w:rsidRPr="00FC5566">
              <w:rPr>
                <w:spacing w:val="-2"/>
                <w:sz w:val="16"/>
                <w:szCs w:val="16"/>
              </w:rPr>
              <w:t xml:space="preserve"> </w:t>
            </w:r>
            <w:r w:rsidRPr="00FC5566">
              <w:rPr>
                <w:sz w:val="16"/>
                <w:szCs w:val="16"/>
              </w:rPr>
              <w:t>load</w:t>
            </w:r>
            <w:r w:rsidRPr="00FC5566">
              <w:rPr>
                <w:spacing w:val="-2"/>
                <w:sz w:val="16"/>
                <w:szCs w:val="16"/>
              </w:rPr>
              <w:t xml:space="preserve"> </w:t>
            </w:r>
            <w:r w:rsidRPr="00FC5566">
              <w:rPr>
                <w:sz w:val="16"/>
                <w:szCs w:val="16"/>
              </w:rPr>
              <w:t>of</w:t>
            </w:r>
            <w:r w:rsidRPr="00FC5566">
              <w:rPr>
                <w:spacing w:val="-6"/>
                <w:sz w:val="16"/>
                <w:szCs w:val="16"/>
              </w:rPr>
              <w:t xml:space="preserve"> </w:t>
            </w:r>
            <w:r w:rsidRPr="00FC5566">
              <w:rPr>
                <w:sz w:val="16"/>
                <w:szCs w:val="16"/>
              </w:rPr>
              <w:t>300</w:t>
            </w:r>
            <w:r w:rsidRPr="00FC5566">
              <w:rPr>
                <w:spacing w:val="-2"/>
                <w:sz w:val="16"/>
                <w:szCs w:val="16"/>
              </w:rPr>
              <w:t xml:space="preserve"> </w:t>
            </w:r>
            <w:r w:rsidRPr="00FC5566">
              <w:rPr>
                <w:sz w:val="16"/>
                <w:szCs w:val="16"/>
              </w:rPr>
              <w:t>or</w:t>
            </w:r>
            <w:r w:rsidRPr="00FC5566">
              <w:rPr>
                <w:spacing w:val="-3"/>
                <w:sz w:val="16"/>
                <w:szCs w:val="16"/>
              </w:rPr>
              <w:t xml:space="preserve"> </w:t>
            </w:r>
            <w:r w:rsidRPr="00FC5566">
              <w:rPr>
                <w:spacing w:val="-4"/>
                <w:sz w:val="16"/>
                <w:szCs w:val="16"/>
              </w:rPr>
              <w:t>more.</w:t>
            </w:r>
          </w:p>
        </w:tc>
      </w:tr>
      <w:tr w:rsidR="00FC5566" w:rsidRPr="00FC5566" w14:paraId="27EE8DDA" w14:textId="77777777" w:rsidTr="00B247D5">
        <w:trPr>
          <w:trHeight w:val="736"/>
        </w:trPr>
        <w:tc>
          <w:tcPr>
            <w:tcW w:w="1080" w:type="dxa"/>
          </w:tcPr>
          <w:p w14:paraId="45457034" w14:textId="77777777" w:rsidR="00FC5566" w:rsidRPr="00FC5566" w:rsidRDefault="00FC5566" w:rsidP="00FC5566">
            <w:pPr>
              <w:widowControl w:val="0"/>
              <w:autoSpaceDE w:val="0"/>
              <w:autoSpaceDN w:val="0"/>
              <w:ind w:right="15"/>
              <w:jc w:val="center"/>
              <w:rPr>
                <w:sz w:val="16"/>
                <w:szCs w:val="16"/>
              </w:rPr>
            </w:pPr>
            <w:r w:rsidRPr="00FC5566">
              <w:rPr>
                <w:spacing w:val="-2"/>
                <w:sz w:val="16"/>
                <w:szCs w:val="16"/>
              </w:rPr>
              <w:t>Adopt</w:t>
            </w:r>
          </w:p>
        </w:tc>
        <w:tc>
          <w:tcPr>
            <w:tcW w:w="2430" w:type="dxa"/>
          </w:tcPr>
          <w:p w14:paraId="13EE49DE" w14:textId="77777777" w:rsidR="00FC5566" w:rsidRPr="00FC5566" w:rsidRDefault="00FC5566" w:rsidP="00FC5566">
            <w:pPr>
              <w:widowControl w:val="0"/>
              <w:autoSpaceDE w:val="0"/>
              <w:autoSpaceDN w:val="0"/>
              <w:ind w:left="107"/>
              <w:rPr>
                <w:sz w:val="16"/>
                <w:szCs w:val="16"/>
              </w:rPr>
            </w:pPr>
            <w:r w:rsidRPr="00FC5566">
              <w:rPr>
                <w:sz w:val="16"/>
                <w:szCs w:val="16"/>
              </w:rPr>
              <w:t>Item</w:t>
            </w:r>
            <w:r w:rsidRPr="00FC5566">
              <w:rPr>
                <w:spacing w:val="-6"/>
                <w:sz w:val="16"/>
                <w:szCs w:val="16"/>
              </w:rPr>
              <w:t xml:space="preserve"> </w:t>
            </w:r>
            <w:r w:rsidRPr="00FC5566">
              <w:rPr>
                <w:spacing w:val="-4"/>
                <w:sz w:val="16"/>
                <w:szCs w:val="16"/>
              </w:rPr>
              <w:t>(4.)</w:t>
            </w:r>
          </w:p>
        </w:tc>
        <w:tc>
          <w:tcPr>
            <w:tcW w:w="7099" w:type="dxa"/>
          </w:tcPr>
          <w:p w14:paraId="37948E5C" w14:textId="77777777" w:rsidR="00FC5566" w:rsidRPr="00FC5566" w:rsidRDefault="00FC5566" w:rsidP="00FC5566">
            <w:pPr>
              <w:widowControl w:val="0"/>
              <w:autoSpaceDE w:val="0"/>
              <w:autoSpaceDN w:val="0"/>
              <w:ind w:left="108" w:right="263"/>
              <w:rPr>
                <w:sz w:val="16"/>
                <w:szCs w:val="16"/>
              </w:rPr>
            </w:pPr>
            <w:r w:rsidRPr="00FC5566">
              <w:rPr>
                <w:sz w:val="16"/>
                <w:szCs w:val="16"/>
              </w:rPr>
              <w:t>4. Open-air pavilions on three sides or more, not exceeding 12,000 square feet, shall not be</w:t>
            </w:r>
            <w:r w:rsidRPr="00FC5566">
              <w:rPr>
                <w:spacing w:val="40"/>
                <w:sz w:val="16"/>
                <w:szCs w:val="16"/>
              </w:rPr>
              <w:t xml:space="preserve"> </w:t>
            </w:r>
            <w:r w:rsidRPr="00FC5566">
              <w:rPr>
                <w:sz w:val="16"/>
                <w:szCs w:val="16"/>
              </w:rPr>
              <w:t>required to comply with 903.2.1.2(1) and 903.2.1.2(2) where each side has unobstructed access to a</w:t>
            </w:r>
            <w:r w:rsidRPr="00FC5566">
              <w:rPr>
                <w:spacing w:val="40"/>
                <w:sz w:val="16"/>
                <w:szCs w:val="16"/>
              </w:rPr>
              <w:t xml:space="preserve"> </w:t>
            </w:r>
            <w:r w:rsidRPr="00FC5566">
              <w:rPr>
                <w:sz w:val="16"/>
                <w:szCs w:val="16"/>
              </w:rPr>
              <w:t>public</w:t>
            </w:r>
            <w:r w:rsidRPr="00FC5566">
              <w:rPr>
                <w:spacing w:val="-4"/>
                <w:sz w:val="16"/>
                <w:szCs w:val="16"/>
              </w:rPr>
              <w:t xml:space="preserve"> </w:t>
            </w:r>
            <w:r w:rsidRPr="00FC5566">
              <w:rPr>
                <w:sz w:val="16"/>
                <w:szCs w:val="16"/>
              </w:rPr>
              <w:t>way</w:t>
            </w:r>
            <w:r w:rsidRPr="00FC5566">
              <w:rPr>
                <w:spacing w:val="-5"/>
                <w:sz w:val="16"/>
                <w:szCs w:val="16"/>
              </w:rPr>
              <w:t xml:space="preserve"> </w:t>
            </w:r>
            <w:r w:rsidRPr="00FC5566">
              <w:rPr>
                <w:sz w:val="16"/>
                <w:szCs w:val="16"/>
              </w:rPr>
              <w:t>(10’-0”</w:t>
            </w:r>
            <w:r w:rsidRPr="00FC5566">
              <w:rPr>
                <w:spacing w:val="-1"/>
                <w:sz w:val="16"/>
                <w:szCs w:val="16"/>
              </w:rPr>
              <w:t xml:space="preserve"> </w:t>
            </w:r>
            <w:r w:rsidRPr="00FC5566">
              <w:rPr>
                <w:sz w:val="16"/>
                <w:szCs w:val="16"/>
              </w:rPr>
              <w:t>wide</w:t>
            </w:r>
            <w:r w:rsidRPr="00FC5566">
              <w:rPr>
                <w:spacing w:val="-4"/>
                <w:sz w:val="16"/>
                <w:szCs w:val="16"/>
              </w:rPr>
              <w:t xml:space="preserve"> </w:t>
            </w:r>
            <w:r w:rsidRPr="00FC5566">
              <w:rPr>
                <w:sz w:val="16"/>
                <w:szCs w:val="16"/>
              </w:rPr>
              <w:t>by</w:t>
            </w:r>
            <w:r w:rsidRPr="00FC5566">
              <w:rPr>
                <w:spacing w:val="-5"/>
                <w:sz w:val="16"/>
                <w:szCs w:val="16"/>
              </w:rPr>
              <w:t xml:space="preserve"> </w:t>
            </w:r>
            <w:r w:rsidRPr="00FC5566">
              <w:rPr>
                <w:sz w:val="16"/>
                <w:szCs w:val="16"/>
              </w:rPr>
              <w:t>10’-0”)’</w:t>
            </w:r>
            <w:r w:rsidRPr="00FC5566">
              <w:rPr>
                <w:spacing w:val="-5"/>
                <w:sz w:val="16"/>
                <w:szCs w:val="16"/>
              </w:rPr>
              <w:t xml:space="preserve"> </w:t>
            </w:r>
            <w:r w:rsidRPr="00FC5566">
              <w:rPr>
                <w:sz w:val="16"/>
                <w:szCs w:val="16"/>
              </w:rPr>
              <w:t>high).</w:t>
            </w:r>
            <w:r w:rsidRPr="00FC5566">
              <w:rPr>
                <w:spacing w:val="36"/>
                <w:sz w:val="16"/>
                <w:szCs w:val="16"/>
              </w:rPr>
              <w:t xml:space="preserve"> </w:t>
            </w:r>
            <w:r w:rsidRPr="00FC5566">
              <w:rPr>
                <w:sz w:val="16"/>
                <w:szCs w:val="16"/>
              </w:rPr>
              <w:t>No</w:t>
            </w:r>
            <w:r w:rsidRPr="00FC5566">
              <w:rPr>
                <w:spacing w:val="-3"/>
                <w:sz w:val="16"/>
                <w:szCs w:val="16"/>
              </w:rPr>
              <w:t xml:space="preserve"> </w:t>
            </w:r>
            <w:r w:rsidRPr="00FC5566">
              <w:rPr>
                <w:sz w:val="16"/>
                <w:szCs w:val="16"/>
              </w:rPr>
              <w:t>fixed</w:t>
            </w:r>
            <w:r w:rsidRPr="00FC5566">
              <w:rPr>
                <w:spacing w:val="-1"/>
                <w:sz w:val="16"/>
                <w:szCs w:val="16"/>
              </w:rPr>
              <w:t xml:space="preserve"> </w:t>
            </w:r>
            <w:r w:rsidRPr="00FC5566">
              <w:rPr>
                <w:sz w:val="16"/>
                <w:szCs w:val="16"/>
              </w:rPr>
              <w:t>elements,</w:t>
            </w:r>
            <w:r w:rsidRPr="00FC5566">
              <w:rPr>
                <w:spacing w:val="-1"/>
                <w:sz w:val="16"/>
                <w:szCs w:val="16"/>
              </w:rPr>
              <w:t xml:space="preserve"> </w:t>
            </w:r>
            <w:r w:rsidRPr="00FC5566">
              <w:rPr>
                <w:sz w:val="16"/>
                <w:szCs w:val="16"/>
              </w:rPr>
              <w:t>equipment,</w:t>
            </w:r>
            <w:r w:rsidRPr="00FC5566">
              <w:rPr>
                <w:spacing w:val="-4"/>
                <w:sz w:val="16"/>
                <w:szCs w:val="16"/>
              </w:rPr>
              <w:t xml:space="preserve"> </w:t>
            </w:r>
            <w:r w:rsidRPr="00FC5566">
              <w:rPr>
                <w:sz w:val="16"/>
                <w:szCs w:val="16"/>
              </w:rPr>
              <w:t>seating,</w:t>
            </w:r>
            <w:r w:rsidRPr="00FC5566">
              <w:rPr>
                <w:spacing w:val="-4"/>
                <w:sz w:val="16"/>
                <w:szCs w:val="16"/>
              </w:rPr>
              <w:t xml:space="preserve"> </w:t>
            </w:r>
            <w:r w:rsidRPr="00FC5566">
              <w:rPr>
                <w:sz w:val="16"/>
                <w:szCs w:val="16"/>
              </w:rPr>
              <w:t>etc. are</w:t>
            </w:r>
            <w:r w:rsidRPr="00FC5566">
              <w:rPr>
                <w:spacing w:val="-4"/>
                <w:sz w:val="16"/>
                <w:szCs w:val="16"/>
              </w:rPr>
              <w:t xml:space="preserve"> </w:t>
            </w:r>
            <w:r w:rsidRPr="00FC5566">
              <w:rPr>
                <w:sz w:val="16"/>
                <w:szCs w:val="16"/>
              </w:rPr>
              <w:t>permitted</w:t>
            </w:r>
          </w:p>
          <w:p w14:paraId="5926288D" w14:textId="77777777" w:rsidR="00FC5566" w:rsidRPr="00FC5566" w:rsidRDefault="00FC5566" w:rsidP="00FC5566">
            <w:pPr>
              <w:widowControl w:val="0"/>
              <w:autoSpaceDE w:val="0"/>
              <w:autoSpaceDN w:val="0"/>
              <w:ind w:left="108"/>
              <w:rPr>
                <w:sz w:val="16"/>
                <w:szCs w:val="16"/>
              </w:rPr>
            </w:pPr>
            <w:r w:rsidRPr="00FC5566">
              <w:rPr>
                <w:sz w:val="16"/>
                <w:szCs w:val="16"/>
              </w:rPr>
              <w:t>within</w:t>
            </w:r>
            <w:r w:rsidRPr="00FC5566">
              <w:rPr>
                <w:spacing w:val="-3"/>
                <w:sz w:val="16"/>
                <w:szCs w:val="16"/>
              </w:rPr>
              <w:t xml:space="preserve"> </w:t>
            </w:r>
            <w:r w:rsidRPr="00FC5566">
              <w:rPr>
                <w:sz w:val="16"/>
                <w:szCs w:val="16"/>
              </w:rPr>
              <w:t>the</w:t>
            </w:r>
            <w:r w:rsidRPr="00FC5566">
              <w:rPr>
                <w:spacing w:val="-5"/>
                <w:sz w:val="16"/>
                <w:szCs w:val="16"/>
              </w:rPr>
              <w:t xml:space="preserve"> </w:t>
            </w:r>
            <w:r w:rsidRPr="00FC5566">
              <w:rPr>
                <w:sz w:val="16"/>
                <w:szCs w:val="16"/>
              </w:rPr>
              <w:t>10’-0”</w:t>
            </w:r>
            <w:r w:rsidRPr="00FC5566">
              <w:rPr>
                <w:spacing w:val="-5"/>
                <w:sz w:val="16"/>
                <w:szCs w:val="16"/>
              </w:rPr>
              <w:t xml:space="preserve"> </w:t>
            </w:r>
            <w:r w:rsidRPr="00FC5566">
              <w:rPr>
                <w:sz w:val="16"/>
                <w:szCs w:val="16"/>
              </w:rPr>
              <w:t>by</w:t>
            </w:r>
            <w:r w:rsidRPr="00FC5566">
              <w:rPr>
                <w:spacing w:val="-6"/>
                <w:sz w:val="16"/>
                <w:szCs w:val="16"/>
              </w:rPr>
              <w:t xml:space="preserve"> </w:t>
            </w:r>
            <w:r w:rsidRPr="00FC5566">
              <w:rPr>
                <w:sz w:val="16"/>
                <w:szCs w:val="16"/>
              </w:rPr>
              <w:t>10’-0”</w:t>
            </w:r>
            <w:r w:rsidRPr="00FC5566">
              <w:rPr>
                <w:spacing w:val="-2"/>
                <w:sz w:val="16"/>
                <w:szCs w:val="16"/>
              </w:rPr>
              <w:t xml:space="preserve"> access.</w:t>
            </w:r>
          </w:p>
        </w:tc>
      </w:tr>
      <w:tr w:rsidR="00FC5566" w:rsidRPr="00FC5566" w14:paraId="4E44722A" w14:textId="77777777" w:rsidTr="00B247D5">
        <w:trPr>
          <w:trHeight w:val="3309"/>
        </w:trPr>
        <w:tc>
          <w:tcPr>
            <w:tcW w:w="1080" w:type="dxa"/>
          </w:tcPr>
          <w:p w14:paraId="05C4BBDE" w14:textId="77777777" w:rsidR="00FC5566" w:rsidRPr="00FC5566" w:rsidRDefault="00FC5566" w:rsidP="00FC5566">
            <w:pPr>
              <w:widowControl w:val="0"/>
              <w:autoSpaceDE w:val="0"/>
              <w:autoSpaceDN w:val="0"/>
              <w:ind w:right="15"/>
              <w:jc w:val="center"/>
              <w:rPr>
                <w:sz w:val="16"/>
                <w:szCs w:val="16"/>
              </w:rPr>
            </w:pPr>
            <w:r w:rsidRPr="00FC5566">
              <w:rPr>
                <w:spacing w:val="-2"/>
                <w:sz w:val="16"/>
                <w:szCs w:val="16"/>
              </w:rPr>
              <w:t>Adopt</w:t>
            </w:r>
          </w:p>
        </w:tc>
        <w:tc>
          <w:tcPr>
            <w:tcW w:w="2430" w:type="dxa"/>
          </w:tcPr>
          <w:p w14:paraId="6767D4B1" w14:textId="77777777" w:rsidR="00FC5566" w:rsidRPr="00FC5566" w:rsidRDefault="00FC5566" w:rsidP="00FC5566">
            <w:pPr>
              <w:widowControl w:val="0"/>
              <w:autoSpaceDE w:val="0"/>
              <w:autoSpaceDN w:val="0"/>
              <w:ind w:left="107"/>
              <w:rPr>
                <w:sz w:val="16"/>
                <w:szCs w:val="16"/>
              </w:rPr>
            </w:pPr>
            <w:r w:rsidRPr="00FC5566">
              <w:rPr>
                <w:spacing w:val="-2"/>
                <w:sz w:val="16"/>
                <w:szCs w:val="16"/>
              </w:rPr>
              <w:t>Exception</w:t>
            </w:r>
          </w:p>
        </w:tc>
        <w:tc>
          <w:tcPr>
            <w:tcW w:w="7099" w:type="dxa"/>
          </w:tcPr>
          <w:p w14:paraId="1557681D" w14:textId="77777777" w:rsidR="00FC5566" w:rsidRPr="00FC5566" w:rsidRDefault="00FC5566" w:rsidP="00FC5566">
            <w:pPr>
              <w:widowControl w:val="0"/>
              <w:autoSpaceDE w:val="0"/>
              <w:autoSpaceDN w:val="0"/>
              <w:ind w:left="108" w:right="263"/>
              <w:rPr>
                <w:b/>
                <w:bCs/>
                <w:sz w:val="16"/>
                <w:szCs w:val="16"/>
              </w:rPr>
            </w:pPr>
            <w:r w:rsidRPr="00FC5566">
              <w:rPr>
                <w:b/>
                <w:bCs/>
                <w:sz w:val="16"/>
                <w:szCs w:val="16"/>
              </w:rPr>
              <w:t xml:space="preserve">Exception: </w:t>
            </w:r>
          </w:p>
          <w:p w14:paraId="5541E3E5" w14:textId="77777777" w:rsidR="00FC5566" w:rsidRPr="00FC5566" w:rsidRDefault="00FC5566" w:rsidP="00FC5566">
            <w:pPr>
              <w:widowControl w:val="0"/>
              <w:autoSpaceDE w:val="0"/>
              <w:autoSpaceDN w:val="0"/>
              <w:ind w:left="108" w:right="263"/>
              <w:rPr>
                <w:sz w:val="16"/>
                <w:szCs w:val="16"/>
              </w:rPr>
            </w:pPr>
            <w:r w:rsidRPr="00FC5566">
              <w:rPr>
                <w:sz w:val="16"/>
                <w:szCs w:val="16"/>
              </w:rPr>
              <w:t>The</w:t>
            </w:r>
            <w:r w:rsidRPr="00FC5566">
              <w:rPr>
                <w:spacing w:val="-3"/>
                <w:sz w:val="16"/>
                <w:szCs w:val="16"/>
              </w:rPr>
              <w:t xml:space="preserve"> </w:t>
            </w:r>
            <w:r w:rsidRPr="00FC5566">
              <w:rPr>
                <w:sz w:val="16"/>
                <w:szCs w:val="16"/>
              </w:rPr>
              <w:t>requirements</w:t>
            </w:r>
            <w:r w:rsidRPr="00FC5566">
              <w:rPr>
                <w:spacing w:val="-2"/>
                <w:sz w:val="16"/>
                <w:szCs w:val="16"/>
              </w:rPr>
              <w:t xml:space="preserve"> </w:t>
            </w:r>
            <w:r w:rsidRPr="00FC5566">
              <w:rPr>
                <w:sz w:val="16"/>
                <w:szCs w:val="16"/>
              </w:rPr>
              <w:t>of</w:t>
            </w:r>
            <w:r w:rsidRPr="00FC5566">
              <w:rPr>
                <w:spacing w:val="-3"/>
                <w:sz w:val="16"/>
                <w:szCs w:val="16"/>
              </w:rPr>
              <w:t xml:space="preserve"> </w:t>
            </w:r>
            <w:r w:rsidRPr="00FC5566">
              <w:rPr>
                <w:sz w:val="16"/>
                <w:szCs w:val="16"/>
              </w:rPr>
              <w:t>Sections</w:t>
            </w:r>
            <w:r w:rsidRPr="00FC5566">
              <w:rPr>
                <w:spacing w:val="-3"/>
                <w:sz w:val="16"/>
                <w:szCs w:val="16"/>
              </w:rPr>
              <w:t xml:space="preserve"> </w:t>
            </w:r>
            <w:r w:rsidRPr="00FC5566">
              <w:rPr>
                <w:sz w:val="16"/>
                <w:szCs w:val="16"/>
              </w:rPr>
              <w:t>903.2.1.2(1)</w:t>
            </w:r>
            <w:r w:rsidRPr="00FC5566">
              <w:rPr>
                <w:spacing w:val="-4"/>
                <w:sz w:val="16"/>
                <w:szCs w:val="16"/>
              </w:rPr>
              <w:t xml:space="preserve"> </w:t>
            </w:r>
            <w:r w:rsidRPr="00FC5566">
              <w:rPr>
                <w:sz w:val="16"/>
                <w:szCs w:val="16"/>
              </w:rPr>
              <w:t>and</w:t>
            </w:r>
            <w:r w:rsidRPr="00FC5566">
              <w:rPr>
                <w:spacing w:val="-3"/>
                <w:sz w:val="16"/>
                <w:szCs w:val="16"/>
              </w:rPr>
              <w:t xml:space="preserve"> </w:t>
            </w:r>
            <w:r w:rsidRPr="00FC5566">
              <w:rPr>
                <w:sz w:val="16"/>
                <w:szCs w:val="16"/>
              </w:rPr>
              <w:t>903.2.1.2(2)</w:t>
            </w:r>
            <w:r w:rsidRPr="00FC5566">
              <w:rPr>
                <w:spacing w:val="-3"/>
                <w:sz w:val="16"/>
                <w:szCs w:val="16"/>
              </w:rPr>
              <w:t xml:space="preserve"> </w:t>
            </w:r>
            <w:r w:rsidRPr="00FC5566">
              <w:rPr>
                <w:sz w:val="16"/>
                <w:szCs w:val="16"/>
              </w:rPr>
              <w:t>shall</w:t>
            </w:r>
            <w:r w:rsidRPr="00FC5566">
              <w:rPr>
                <w:spacing w:val="-3"/>
                <w:sz w:val="16"/>
                <w:szCs w:val="16"/>
              </w:rPr>
              <w:t xml:space="preserve"> </w:t>
            </w:r>
            <w:r w:rsidRPr="00FC5566">
              <w:rPr>
                <w:sz w:val="16"/>
                <w:szCs w:val="16"/>
              </w:rPr>
              <w:t>not</w:t>
            </w:r>
            <w:r w:rsidRPr="00FC5566">
              <w:rPr>
                <w:spacing w:val="-3"/>
                <w:sz w:val="16"/>
                <w:szCs w:val="16"/>
              </w:rPr>
              <w:t xml:space="preserve"> </w:t>
            </w:r>
            <w:r w:rsidRPr="00FC5566">
              <w:rPr>
                <w:sz w:val="16"/>
                <w:szCs w:val="16"/>
              </w:rPr>
              <w:t>apply</w:t>
            </w:r>
            <w:r w:rsidRPr="00FC5566">
              <w:rPr>
                <w:spacing w:val="-4"/>
                <w:sz w:val="16"/>
                <w:szCs w:val="16"/>
              </w:rPr>
              <w:t xml:space="preserve"> </w:t>
            </w:r>
            <w:r w:rsidRPr="00FC5566">
              <w:rPr>
                <w:sz w:val="16"/>
                <w:szCs w:val="16"/>
              </w:rPr>
              <w:t>to</w:t>
            </w:r>
            <w:r w:rsidRPr="00FC5566">
              <w:rPr>
                <w:spacing w:val="-3"/>
                <w:sz w:val="16"/>
                <w:szCs w:val="16"/>
              </w:rPr>
              <w:t xml:space="preserve"> </w:t>
            </w:r>
            <w:r w:rsidRPr="00FC5566">
              <w:rPr>
                <w:sz w:val="16"/>
                <w:szCs w:val="16"/>
              </w:rPr>
              <w:t>a</w:t>
            </w:r>
            <w:r w:rsidRPr="00FC5566">
              <w:rPr>
                <w:spacing w:val="-1"/>
                <w:sz w:val="16"/>
                <w:szCs w:val="16"/>
              </w:rPr>
              <w:t xml:space="preserve"> </w:t>
            </w:r>
            <w:r w:rsidRPr="00FC5566">
              <w:rPr>
                <w:sz w:val="16"/>
                <w:szCs w:val="16"/>
              </w:rPr>
              <w:t>single</w:t>
            </w:r>
            <w:r w:rsidRPr="00FC5566">
              <w:rPr>
                <w:spacing w:val="-3"/>
                <w:sz w:val="16"/>
                <w:szCs w:val="16"/>
              </w:rPr>
              <w:t xml:space="preserve"> </w:t>
            </w:r>
            <w:r w:rsidRPr="00FC5566">
              <w:rPr>
                <w:sz w:val="16"/>
                <w:szCs w:val="16"/>
              </w:rPr>
              <w:t>multi-</w:t>
            </w:r>
            <w:r w:rsidRPr="00FC5566">
              <w:rPr>
                <w:spacing w:val="40"/>
                <w:sz w:val="16"/>
                <w:szCs w:val="16"/>
              </w:rPr>
              <w:t xml:space="preserve"> </w:t>
            </w:r>
            <w:r w:rsidRPr="00FC5566">
              <w:rPr>
                <w:sz w:val="16"/>
                <w:szCs w:val="16"/>
              </w:rPr>
              <w:t>purpose room less than 12,000 sf when all of the following conditions are met:</w:t>
            </w:r>
          </w:p>
          <w:p w14:paraId="5BD0AD58" w14:textId="77777777" w:rsidR="00FC5566" w:rsidRPr="00FC5566" w:rsidRDefault="00FC5566" w:rsidP="00FC5566">
            <w:pPr>
              <w:widowControl w:val="0"/>
              <w:autoSpaceDE w:val="0"/>
              <w:autoSpaceDN w:val="0"/>
              <w:ind w:left="108"/>
              <w:rPr>
                <w:sz w:val="16"/>
                <w:szCs w:val="16"/>
              </w:rPr>
            </w:pPr>
            <w:r w:rsidRPr="00FC5566">
              <w:rPr>
                <w:sz w:val="16"/>
                <w:szCs w:val="16"/>
              </w:rPr>
              <w:t>1.</w:t>
            </w:r>
            <w:r w:rsidRPr="00FC5566">
              <w:rPr>
                <w:spacing w:val="31"/>
                <w:sz w:val="16"/>
                <w:szCs w:val="16"/>
              </w:rPr>
              <w:t xml:space="preserve"> </w:t>
            </w:r>
            <w:r w:rsidRPr="00FC5566">
              <w:rPr>
                <w:sz w:val="16"/>
                <w:szCs w:val="16"/>
              </w:rPr>
              <w:t>The</w:t>
            </w:r>
            <w:r w:rsidRPr="00FC5566">
              <w:rPr>
                <w:spacing w:val="-4"/>
                <w:sz w:val="16"/>
                <w:szCs w:val="16"/>
              </w:rPr>
              <w:t xml:space="preserve"> </w:t>
            </w:r>
            <w:r w:rsidRPr="00FC5566">
              <w:rPr>
                <w:sz w:val="16"/>
                <w:szCs w:val="16"/>
              </w:rPr>
              <w:t>single</w:t>
            </w:r>
            <w:r w:rsidRPr="00FC5566">
              <w:rPr>
                <w:spacing w:val="-5"/>
                <w:sz w:val="16"/>
                <w:szCs w:val="16"/>
              </w:rPr>
              <w:t xml:space="preserve"> </w:t>
            </w:r>
            <w:r w:rsidRPr="00FC5566">
              <w:rPr>
                <w:sz w:val="16"/>
                <w:szCs w:val="16"/>
              </w:rPr>
              <w:t>multi-purpose</w:t>
            </w:r>
            <w:r w:rsidRPr="00FC5566">
              <w:rPr>
                <w:spacing w:val="-5"/>
                <w:sz w:val="16"/>
                <w:szCs w:val="16"/>
              </w:rPr>
              <w:t xml:space="preserve"> </w:t>
            </w:r>
            <w:r w:rsidRPr="00FC5566">
              <w:rPr>
                <w:sz w:val="16"/>
                <w:szCs w:val="16"/>
              </w:rPr>
              <w:t>room</w:t>
            </w:r>
            <w:r w:rsidRPr="00FC5566">
              <w:rPr>
                <w:spacing w:val="-3"/>
                <w:sz w:val="16"/>
                <w:szCs w:val="16"/>
              </w:rPr>
              <w:t xml:space="preserve"> </w:t>
            </w:r>
            <w:r w:rsidRPr="00FC5566">
              <w:rPr>
                <w:sz w:val="16"/>
                <w:szCs w:val="16"/>
              </w:rPr>
              <w:t>shall</w:t>
            </w:r>
            <w:r w:rsidRPr="00FC5566">
              <w:rPr>
                <w:spacing w:val="-5"/>
                <w:sz w:val="16"/>
                <w:szCs w:val="16"/>
              </w:rPr>
              <w:t xml:space="preserve"> </w:t>
            </w:r>
            <w:r w:rsidRPr="00FC5566">
              <w:rPr>
                <w:sz w:val="16"/>
                <w:szCs w:val="16"/>
              </w:rPr>
              <w:t>not</w:t>
            </w:r>
            <w:r w:rsidRPr="00FC5566">
              <w:rPr>
                <w:spacing w:val="-4"/>
                <w:sz w:val="16"/>
                <w:szCs w:val="16"/>
              </w:rPr>
              <w:t xml:space="preserve"> </w:t>
            </w:r>
            <w:r w:rsidRPr="00FC5566">
              <w:rPr>
                <w:sz w:val="16"/>
                <w:szCs w:val="16"/>
              </w:rPr>
              <w:t>be</w:t>
            </w:r>
            <w:r w:rsidRPr="00FC5566">
              <w:rPr>
                <w:spacing w:val="-7"/>
                <w:sz w:val="16"/>
                <w:szCs w:val="16"/>
              </w:rPr>
              <w:t xml:space="preserve"> </w:t>
            </w:r>
            <w:r w:rsidRPr="00FC5566">
              <w:rPr>
                <w:sz w:val="16"/>
                <w:szCs w:val="16"/>
              </w:rPr>
              <w:t>used</w:t>
            </w:r>
            <w:r w:rsidRPr="00FC5566">
              <w:rPr>
                <w:spacing w:val="-2"/>
                <w:sz w:val="16"/>
                <w:szCs w:val="16"/>
              </w:rPr>
              <w:t xml:space="preserve"> </w:t>
            </w:r>
            <w:r w:rsidRPr="00FC5566">
              <w:rPr>
                <w:sz w:val="16"/>
                <w:szCs w:val="16"/>
              </w:rPr>
              <w:t>for</w:t>
            </w:r>
            <w:r w:rsidRPr="00FC5566">
              <w:rPr>
                <w:spacing w:val="-4"/>
                <w:sz w:val="16"/>
                <w:szCs w:val="16"/>
              </w:rPr>
              <w:t xml:space="preserve"> </w:t>
            </w:r>
            <w:r w:rsidRPr="00FC5566">
              <w:rPr>
                <w:sz w:val="16"/>
                <w:szCs w:val="16"/>
              </w:rPr>
              <w:t>display</w:t>
            </w:r>
            <w:r w:rsidRPr="00FC5566">
              <w:rPr>
                <w:spacing w:val="-7"/>
                <w:sz w:val="16"/>
                <w:szCs w:val="16"/>
              </w:rPr>
              <w:t xml:space="preserve"> </w:t>
            </w:r>
            <w:r w:rsidRPr="00FC5566">
              <w:rPr>
                <w:sz w:val="16"/>
                <w:szCs w:val="16"/>
              </w:rPr>
              <w:t>or</w:t>
            </w:r>
            <w:r w:rsidRPr="00FC5566">
              <w:rPr>
                <w:spacing w:val="-4"/>
                <w:sz w:val="16"/>
                <w:szCs w:val="16"/>
              </w:rPr>
              <w:t xml:space="preserve"> </w:t>
            </w:r>
            <w:r w:rsidRPr="00FC5566">
              <w:rPr>
                <w:sz w:val="16"/>
                <w:szCs w:val="16"/>
              </w:rPr>
              <w:t>exhibition,</w:t>
            </w:r>
            <w:r w:rsidRPr="00FC5566">
              <w:rPr>
                <w:spacing w:val="-5"/>
                <w:sz w:val="16"/>
                <w:szCs w:val="16"/>
              </w:rPr>
              <w:t xml:space="preserve"> </w:t>
            </w:r>
            <w:r w:rsidRPr="00FC5566">
              <w:rPr>
                <w:sz w:val="16"/>
                <w:szCs w:val="16"/>
              </w:rPr>
              <w:t>bars</w:t>
            </w:r>
            <w:r w:rsidRPr="00FC5566">
              <w:rPr>
                <w:spacing w:val="-3"/>
                <w:sz w:val="16"/>
                <w:szCs w:val="16"/>
              </w:rPr>
              <w:t xml:space="preserve"> </w:t>
            </w:r>
            <w:r w:rsidRPr="00FC5566">
              <w:rPr>
                <w:sz w:val="16"/>
                <w:szCs w:val="16"/>
              </w:rPr>
              <w:t>or</w:t>
            </w:r>
            <w:r w:rsidRPr="00FC5566">
              <w:rPr>
                <w:spacing w:val="-6"/>
                <w:sz w:val="16"/>
                <w:szCs w:val="16"/>
              </w:rPr>
              <w:t xml:space="preserve"> </w:t>
            </w:r>
            <w:r w:rsidRPr="00FC5566">
              <w:rPr>
                <w:spacing w:val="-2"/>
                <w:sz w:val="16"/>
                <w:szCs w:val="16"/>
              </w:rPr>
              <w:t>taverns.</w:t>
            </w:r>
          </w:p>
          <w:p w14:paraId="6F96EB0C" w14:textId="77777777" w:rsidR="00FC5566" w:rsidRPr="00FC5566" w:rsidRDefault="00FC5566" w:rsidP="00FC5566">
            <w:pPr>
              <w:widowControl w:val="0"/>
              <w:autoSpaceDE w:val="0"/>
              <w:autoSpaceDN w:val="0"/>
              <w:ind w:left="108" w:right="263"/>
              <w:rPr>
                <w:sz w:val="16"/>
                <w:szCs w:val="16"/>
              </w:rPr>
            </w:pPr>
            <w:r w:rsidRPr="00FC5566">
              <w:rPr>
                <w:sz w:val="16"/>
                <w:szCs w:val="16"/>
              </w:rPr>
              <w:t>2.</w:t>
            </w:r>
            <w:r w:rsidRPr="00FC5566">
              <w:rPr>
                <w:spacing w:val="37"/>
                <w:sz w:val="16"/>
                <w:szCs w:val="16"/>
              </w:rPr>
              <w:t xml:space="preserve"> </w:t>
            </w:r>
            <w:r w:rsidRPr="00FC5566">
              <w:rPr>
                <w:sz w:val="16"/>
                <w:szCs w:val="16"/>
              </w:rPr>
              <w:t>The</w:t>
            </w:r>
            <w:r w:rsidRPr="00FC5566">
              <w:rPr>
                <w:spacing w:val="-4"/>
                <w:sz w:val="16"/>
                <w:szCs w:val="16"/>
              </w:rPr>
              <w:t xml:space="preserve"> </w:t>
            </w:r>
            <w:r w:rsidRPr="00FC5566">
              <w:rPr>
                <w:sz w:val="16"/>
                <w:szCs w:val="16"/>
              </w:rPr>
              <w:t>single</w:t>
            </w:r>
            <w:r w:rsidRPr="00FC5566">
              <w:rPr>
                <w:spacing w:val="-4"/>
                <w:sz w:val="16"/>
                <w:szCs w:val="16"/>
              </w:rPr>
              <w:t xml:space="preserve"> </w:t>
            </w:r>
            <w:r w:rsidRPr="00FC5566">
              <w:rPr>
                <w:sz w:val="16"/>
                <w:szCs w:val="16"/>
              </w:rPr>
              <w:t>multi-purpose</w:t>
            </w:r>
            <w:r w:rsidRPr="00FC5566">
              <w:rPr>
                <w:spacing w:val="-4"/>
                <w:sz w:val="16"/>
                <w:szCs w:val="16"/>
              </w:rPr>
              <w:t xml:space="preserve"> </w:t>
            </w:r>
            <w:r w:rsidRPr="00FC5566">
              <w:rPr>
                <w:sz w:val="16"/>
                <w:szCs w:val="16"/>
              </w:rPr>
              <w:t>room</w:t>
            </w:r>
            <w:r w:rsidRPr="00FC5566">
              <w:rPr>
                <w:spacing w:val="-2"/>
                <w:sz w:val="16"/>
                <w:szCs w:val="16"/>
              </w:rPr>
              <w:t xml:space="preserve"> </w:t>
            </w:r>
            <w:r w:rsidRPr="00FC5566">
              <w:rPr>
                <w:sz w:val="16"/>
                <w:szCs w:val="16"/>
              </w:rPr>
              <w:t>shall</w:t>
            </w:r>
            <w:r w:rsidRPr="00FC5566">
              <w:rPr>
                <w:spacing w:val="-3"/>
                <w:sz w:val="16"/>
                <w:szCs w:val="16"/>
              </w:rPr>
              <w:t xml:space="preserve"> </w:t>
            </w:r>
            <w:r w:rsidRPr="00FC5566">
              <w:rPr>
                <w:sz w:val="16"/>
                <w:szCs w:val="16"/>
              </w:rPr>
              <w:t>not</w:t>
            </w:r>
            <w:r w:rsidRPr="00FC5566">
              <w:rPr>
                <w:spacing w:val="-3"/>
                <w:sz w:val="16"/>
                <w:szCs w:val="16"/>
              </w:rPr>
              <w:t xml:space="preserve"> </w:t>
            </w:r>
            <w:r w:rsidRPr="00FC5566">
              <w:rPr>
                <w:sz w:val="16"/>
                <w:szCs w:val="16"/>
              </w:rPr>
              <w:t>share</w:t>
            </w:r>
            <w:r w:rsidRPr="00FC5566">
              <w:rPr>
                <w:spacing w:val="-4"/>
                <w:sz w:val="16"/>
                <w:szCs w:val="16"/>
              </w:rPr>
              <w:t xml:space="preserve"> </w:t>
            </w:r>
            <w:r w:rsidRPr="00FC5566">
              <w:rPr>
                <w:sz w:val="16"/>
                <w:szCs w:val="16"/>
              </w:rPr>
              <w:t>exit</w:t>
            </w:r>
            <w:r w:rsidRPr="00FC5566">
              <w:rPr>
                <w:spacing w:val="-1"/>
                <w:sz w:val="16"/>
                <w:szCs w:val="16"/>
              </w:rPr>
              <w:t xml:space="preserve"> </w:t>
            </w:r>
            <w:r w:rsidRPr="00FC5566">
              <w:rPr>
                <w:sz w:val="16"/>
                <w:szCs w:val="16"/>
              </w:rPr>
              <w:t>access</w:t>
            </w:r>
            <w:r w:rsidRPr="00FC5566">
              <w:rPr>
                <w:spacing w:val="-2"/>
                <w:sz w:val="16"/>
                <w:szCs w:val="16"/>
              </w:rPr>
              <w:t xml:space="preserve"> </w:t>
            </w:r>
            <w:r w:rsidRPr="00FC5566">
              <w:rPr>
                <w:sz w:val="16"/>
                <w:szCs w:val="16"/>
              </w:rPr>
              <w:t>with</w:t>
            </w:r>
            <w:r w:rsidRPr="00FC5566">
              <w:rPr>
                <w:spacing w:val="-1"/>
                <w:sz w:val="16"/>
                <w:szCs w:val="16"/>
              </w:rPr>
              <w:t xml:space="preserve"> </w:t>
            </w:r>
            <w:r w:rsidRPr="00FC5566">
              <w:rPr>
                <w:sz w:val="16"/>
                <w:szCs w:val="16"/>
              </w:rPr>
              <w:t>other</w:t>
            </w:r>
            <w:r w:rsidRPr="00FC5566">
              <w:rPr>
                <w:spacing w:val="-3"/>
                <w:sz w:val="16"/>
                <w:szCs w:val="16"/>
              </w:rPr>
              <w:t xml:space="preserve"> </w:t>
            </w:r>
            <w:r w:rsidRPr="00FC5566">
              <w:rPr>
                <w:sz w:val="16"/>
                <w:szCs w:val="16"/>
              </w:rPr>
              <w:t>occupancies.</w:t>
            </w:r>
            <w:r w:rsidRPr="00FC5566">
              <w:rPr>
                <w:spacing w:val="-1"/>
                <w:sz w:val="16"/>
                <w:szCs w:val="16"/>
              </w:rPr>
              <w:t xml:space="preserve"> </w:t>
            </w:r>
            <w:r w:rsidRPr="00FC5566">
              <w:rPr>
                <w:sz w:val="16"/>
                <w:szCs w:val="16"/>
              </w:rPr>
              <w:t>Non-separated</w:t>
            </w:r>
            <w:r w:rsidRPr="00FC5566">
              <w:rPr>
                <w:spacing w:val="40"/>
                <w:sz w:val="16"/>
                <w:szCs w:val="16"/>
              </w:rPr>
              <w:t xml:space="preserve"> </w:t>
            </w:r>
            <w:r w:rsidRPr="00FC5566">
              <w:rPr>
                <w:sz w:val="16"/>
                <w:szCs w:val="16"/>
              </w:rPr>
              <w:t>accessory</w:t>
            </w:r>
            <w:r w:rsidRPr="00FC5566">
              <w:rPr>
                <w:spacing w:val="-2"/>
                <w:sz w:val="16"/>
                <w:szCs w:val="16"/>
              </w:rPr>
              <w:t xml:space="preserve"> </w:t>
            </w:r>
            <w:r w:rsidRPr="00FC5566">
              <w:rPr>
                <w:sz w:val="16"/>
                <w:szCs w:val="16"/>
              </w:rPr>
              <w:t>uses that are</w:t>
            </w:r>
            <w:r w:rsidRPr="00FC5566">
              <w:rPr>
                <w:spacing w:val="-1"/>
                <w:sz w:val="16"/>
                <w:szCs w:val="16"/>
              </w:rPr>
              <w:t xml:space="preserve"> </w:t>
            </w:r>
            <w:r w:rsidRPr="00FC5566">
              <w:rPr>
                <w:sz w:val="16"/>
                <w:szCs w:val="16"/>
              </w:rPr>
              <w:t>incidental or ancillary</w:t>
            </w:r>
            <w:r w:rsidRPr="00FC5566">
              <w:rPr>
                <w:spacing w:val="-2"/>
                <w:sz w:val="16"/>
                <w:szCs w:val="16"/>
              </w:rPr>
              <w:t xml:space="preserve"> </w:t>
            </w:r>
            <w:r w:rsidRPr="00FC5566">
              <w:rPr>
                <w:sz w:val="16"/>
                <w:szCs w:val="16"/>
              </w:rPr>
              <w:t>to the</w:t>
            </w:r>
            <w:r w:rsidRPr="00FC5566">
              <w:rPr>
                <w:spacing w:val="-1"/>
                <w:sz w:val="16"/>
                <w:szCs w:val="16"/>
              </w:rPr>
              <w:t xml:space="preserve"> </w:t>
            </w:r>
            <w:r w:rsidRPr="00FC5566">
              <w:rPr>
                <w:sz w:val="16"/>
                <w:szCs w:val="16"/>
              </w:rPr>
              <w:t>single</w:t>
            </w:r>
            <w:r w:rsidRPr="00FC5566">
              <w:rPr>
                <w:spacing w:val="-1"/>
                <w:sz w:val="16"/>
                <w:szCs w:val="16"/>
              </w:rPr>
              <w:t xml:space="preserve"> </w:t>
            </w:r>
            <w:r w:rsidRPr="00FC5566">
              <w:rPr>
                <w:sz w:val="16"/>
                <w:szCs w:val="16"/>
              </w:rPr>
              <w:t>multi-purpose</w:t>
            </w:r>
            <w:r w:rsidRPr="00FC5566">
              <w:rPr>
                <w:spacing w:val="-1"/>
                <w:sz w:val="16"/>
                <w:szCs w:val="16"/>
              </w:rPr>
              <w:t xml:space="preserve"> </w:t>
            </w:r>
            <w:r w:rsidRPr="00FC5566">
              <w:rPr>
                <w:sz w:val="16"/>
                <w:szCs w:val="16"/>
              </w:rPr>
              <w:t>room shall be</w:t>
            </w:r>
            <w:r w:rsidRPr="00FC5566">
              <w:rPr>
                <w:spacing w:val="-1"/>
                <w:sz w:val="16"/>
                <w:szCs w:val="16"/>
              </w:rPr>
              <w:t xml:space="preserve"> </w:t>
            </w:r>
            <w:r w:rsidRPr="00FC5566">
              <w:rPr>
                <w:sz w:val="16"/>
                <w:szCs w:val="16"/>
              </w:rPr>
              <w:t>considered as</w:t>
            </w:r>
            <w:r w:rsidRPr="00FC5566">
              <w:rPr>
                <w:spacing w:val="40"/>
                <w:sz w:val="16"/>
                <w:szCs w:val="16"/>
              </w:rPr>
              <w:t xml:space="preserve"> </w:t>
            </w:r>
            <w:r w:rsidRPr="00FC5566">
              <w:rPr>
                <w:sz w:val="16"/>
                <w:szCs w:val="16"/>
              </w:rPr>
              <w:t>part of the assembly occupancy. The accessory uses shall not be limited to 10 percent of the single</w:t>
            </w:r>
            <w:r w:rsidRPr="00FC5566">
              <w:rPr>
                <w:spacing w:val="40"/>
                <w:sz w:val="16"/>
                <w:szCs w:val="16"/>
              </w:rPr>
              <w:t xml:space="preserve"> </w:t>
            </w:r>
            <w:r w:rsidRPr="00FC5566">
              <w:rPr>
                <w:sz w:val="16"/>
                <w:szCs w:val="16"/>
              </w:rPr>
              <w:t>multi-purpose room floor area and/or building but shall be included and considered as part of the</w:t>
            </w:r>
            <w:r w:rsidRPr="00FC5566">
              <w:rPr>
                <w:spacing w:val="40"/>
                <w:sz w:val="16"/>
                <w:szCs w:val="16"/>
              </w:rPr>
              <w:t xml:space="preserve"> </w:t>
            </w:r>
            <w:r w:rsidRPr="00FC5566">
              <w:rPr>
                <w:sz w:val="16"/>
                <w:szCs w:val="16"/>
              </w:rPr>
              <w:t>limited assembly room floor area.</w:t>
            </w:r>
          </w:p>
          <w:p w14:paraId="0BC422A6" w14:textId="77777777" w:rsidR="00FC5566" w:rsidRPr="00FC5566" w:rsidRDefault="00FC5566" w:rsidP="00FC5566">
            <w:pPr>
              <w:widowControl w:val="0"/>
              <w:autoSpaceDE w:val="0"/>
              <w:autoSpaceDN w:val="0"/>
              <w:ind w:left="108" w:right="263"/>
              <w:rPr>
                <w:sz w:val="16"/>
                <w:szCs w:val="16"/>
              </w:rPr>
            </w:pPr>
            <w:r w:rsidRPr="00FC5566">
              <w:rPr>
                <w:sz w:val="16"/>
                <w:szCs w:val="16"/>
              </w:rPr>
              <w:t>3.</w:t>
            </w:r>
            <w:r w:rsidRPr="00FC5566">
              <w:rPr>
                <w:spacing w:val="37"/>
                <w:sz w:val="16"/>
                <w:szCs w:val="16"/>
              </w:rPr>
              <w:t xml:space="preserve"> </w:t>
            </w:r>
            <w:r w:rsidRPr="00FC5566">
              <w:rPr>
                <w:sz w:val="16"/>
                <w:szCs w:val="16"/>
              </w:rPr>
              <w:t>The</w:t>
            </w:r>
            <w:r w:rsidRPr="00FC5566">
              <w:rPr>
                <w:spacing w:val="-4"/>
                <w:sz w:val="16"/>
                <w:szCs w:val="16"/>
              </w:rPr>
              <w:t xml:space="preserve"> </w:t>
            </w:r>
            <w:r w:rsidRPr="00FC5566">
              <w:rPr>
                <w:sz w:val="16"/>
                <w:szCs w:val="16"/>
              </w:rPr>
              <w:t>single</w:t>
            </w:r>
            <w:r w:rsidRPr="00FC5566">
              <w:rPr>
                <w:spacing w:val="-4"/>
                <w:sz w:val="16"/>
                <w:szCs w:val="16"/>
              </w:rPr>
              <w:t xml:space="preserve"> </w:t>
            </w:r>
            <w:r w:rsidRPr="00FC5566">
              <w:rPr>
                <w:sz w:val="16"/>
                <w:szCs w:val="16"/>
              </w:rPr>
              <w:t>multi-purpose</w:t>
            </w:r>
            <w:r w:rsidRPr="00FC5566">
              <w:rPr>
                <w:spacing w:val="-4"/>
                <w:sz w:val="16"/>
                <w:szCs w:val="16"/>
              </w:rPr>
              <w:t xml:space="preserve"> </w:t>
            </w:r>
            <w:r w:rsidRPr="00FC5566">
              <w:rPr>
                <w:sz w:val="16"/>
                <w:szCs w:val="16"/>
              </w:rPr>
              <w:t>room</w:t>
            </w:r>
            <w:r w:rsidRPr="00FC5566">
              <w:rPr>
                <w:spacing w:val="-2"/>
                <w:sz w:val="16"/>
                <w:szCs w:val="16"/>
              </w:rPr>
              <w:t xml:space="preserve"> </w:t>
            </w:r>
            <w:r w:rsidRPr="00FC5566">
              <w:rPr>
                <w:sz w:val="16"/>
                <w:szCs w:val="16"/>
              </w:rPr>
              <w:t>shall</w:t>
            </w:r>
            <w:r w:rsidRPr="00FC5566">
              <w:rPr>
                <w:spacing w:val="-3"/>
                <w:sz w:val="16"/>
                <w:szCs w:val="16"/>
              </w:rPr>
              <w:t xml:space="preserve"> </w:t>
            </w:r>
            <w:r w:rsidRPr="00FC5566">
              <w:rPr>
                <w:sz w:val="16"/>
                <w:szCs w:val="16"/>
              </w:rPr>
              <w:t>not</w:t>
            </w:r>
            <w:r w:rsidRPr="00FC5566">
              <w:rPr>
                <w:spacing w:val="-3"/>
                <w:sz w:val="16"/>
                <w:szCs w:val="16"/>
              </w:rPr>
              <w:t xml:space="preserve"> </w:t>
            </w:r>
            <w:r w:rsidRPr="00FC5566">
              <w:rPr>
                <w:sz w:val="16"/>
                <w:szCs w:val="16"/>
              </w:rPr>
              <w:t>be</w:t>
            </w:r>
            <w:r w:rsidRPr="00FC5566">
              <w:rPr>
                <w:spacing w:val="-6"/>
                <w:sz w:val="16"/>
                <w:szCs w:val="16"/>
              </w:rPr>
              <w:t xml:space="preserve"> </w:t>
            </w:r>
            <w:r w:rsidRPr="00FC5566">
              <w:rPr>
                <w:sz w:val="16"/>
                <w:szCs w:val="16"/>
              </w:rPr>
              <w:t>part</w:t>
            </w:r>
            <w:r w:rsidRPr="00FC5566">
              <w:rPr>
                <w:spacing w:val="-3"/>
                <w:sz w:val="16"/>
                <w:szCs w:val="16"/>
              </w:rPr>
              <w:t xml:space="preserve"> </w:t>
            </w:r>
            <w:r w:rsidRPr="00FC5566">
              <w:rPr>
                <w:sz w:val="16"/>
                <w:szCs w:val="16"/>
              </w:rPr>
              <w:t>of</w:t>
            </w:r>
            <w:r w:rsidRPr="00FC5566">
              <w:rPr>
                <w:spacing w:val="-3"/>
                <w:sz w:val="16"/>
                <w:szCs w:val="16"/>
              </w:rPr>
              <w:t xml:space="preserve"> </w:t>
            </w:r>
            <w:r w:rsidRPr="00FC5566">
              <w:rPr>
                <w:sz w:val="16"/>
                <w:szCs w:val="16"/>
              </w:rPr>
              <w:t>a</w:t>
            </w:r>
            <w:r w:rsidRPr="00FC5566">
              <w:rPr>
                <w:spacing w:val="-1"/>
                <w:sz w:val="16"/>
                <w:szCs w:val="16"/>
              </w:rPr>
              <w:t xml:space="preserve"> </w:t>
            </w:r>
            <w:r w:rsidRPr="00FC5566">
              <w:rPr>
                <w:sz w:val="16"/>
                <w:szCs w:val="16"/>
              </w:rPr>
              <w:t>fire</w:t>
            </w:r>
            <w:r w:rsidRPr="00FC5566">
              <w:rPr>
                <w:spacing w:val="-4"/>
                <w:sz w:val="16"/>
                <w:szCs w:val="16"/>
              </w:rPr>
              <w:t xml:space="preserve"> </w:t>
            </w:r>
            <w:r w:rsidRPr="00FC5566">
              <w:rPr>
                <w:sz w:val="16"/>
                <w:szCs w:val="16"/>
              </w:rPr>
              <w:t>area</w:t>
            </w:r>
            <w:r w:rsidRPr="00FC5566">
              <w:rPr>
                <w:spacing w:val="-4"/>
                <w:sz w:val="16"/>
                <w:szCs w:val="16"/>
              </w:rPr>
              <w:t xml:space="preserve"> </w:t>
            </w:r>
            <w:r w:rsidRPr="00FC5566">
              <w:rPr>
                <w:sz w:val="16"/>
                <w:szCs w:val="16"/>
              </w:rPr>
              <w:t>containing</w:t>
            </w:r>
            <w:r w:rsidRPr="00FC5566">
              <w:rPr>
                <w:spacing w:val="-3"/>
                <w:sz w:val="16"/>
                <w:szCs w:val="16"/>
              </w:rPr>
              <w:t xml:space="preserve"> </w:t>
            </w:r>
            <w:r w:rsidRPr="00FC5566">
              <w:rPr>
                <w:sz w:val="16"/>
                <w:szCs w:val="16"/>
              </w:rPr>
              <w:t>other</w:t>
            </w:r>
            <w:r w:rsidRPr="00FC5566">
              <w:rPr>
                <w:spacing w:val="-3"/>
                <w:sz w:val="16"/>
                <w:szCs w:val="16"/>
              </w:rPr>
              <w:t xml:space="preserve"> </w:t>
            </w:r>
            <w:r w:rsidRPr="00FC5566">
              <w:rPr>
                <w:sz w:val="16"/>
                <w:szCs w:val="16"/>
              </w:rPr>
              <w:t>assembly</w:t>
            </w:r>
            <w:r w:rsidRPr="00FC5566">
              <w:rPr>
                <w:spacing w:val="40"/>
                <w:sz w:val="16"/>
                <w:szCs w:val="16"/>
              </w:rPr>
              <w:t xml:space="preserve"> </w:t>
            </w:r>
            <w:r w:rsidRPr="00FC5566">
              <w:rPr>
                <w:spacing w:val="-2"/>
                <w:sz w:val="16"/>
                <w:szCs w:val="16"/>
              </w:rPr>
              <w:t>occupancies.</w:t>
            </w:r>
          </w:p>
          <w:p w14:paraId="7E71F45F" w14:textId="77777777" w:rsidR="00FC5566" w:rsidRPr="00FC5566" w:rsidRDefault="00FC5566" w:rsidP="00FC5566">
            <w:pPr>
              <w:widowControl w:val="0"/>
              <w:autoSpaceDE w:val="0"/>
              <w:autoSpaceDN w:val="0"/>
              <w:ind w:left="108" w:right="263"/>
              <w:rPr>
                <w:sz w:val="16"/>
                <w:szCs w:val="16"/>
              </w:rPr>
            </w:pPr>
            <w:r w:rsidRPr="00FC5566">
              <w:rPr>
                <w:sz w:val="16"/>
                <w:szCs w:val="16"/>
              </w:rPr>
              <w:t>4.</w:t>
            </w:r>
            <w:r w:rsidRPr="00FC5566">
              <w:rPr>
                <w:spacing w:val="74"/>
                <w:sz w:val="16"/>
                <w:szCs w:val="16"/>
              </w:rPr>
              <w:t xml:space="preserve"> </w:t>
            </w:r>
            <w:r w:rsidRPr="00FC5566">
              <w:rPr>
                <w:sz w:val="16"/>
                <w:szCs w:val="16"/>
              </w:rPr>
              <w:t>A</w:t>
            </w:r>
            <w:r w:rsidRPr="00FC5566">
              <w:rPr>
                <w:spacing w:val="-5"/>
                <w:sz w:val="16"/>
                <w:szCs w:val="16"/>
              </w:rPr>
              <w:t xml:space="preserve"> </w:t>
            </w:r>
            <w:r w:rsidRPr="00FC5566">
              <w:rPr>
                <w:sz w:val="16"/>
                <w:szCs w:val="16"/>
              </w:rPr>
              <w:t>single</w:t>
            </w:r>
            <w:r w:rsidRPr="00FC5566">
              <w:rPr>
                <w:spacing w:val="-4"/>
                <w:sz w:val="16"/>
                <w:szCs w:val="16"/>
              </w:rPr>
              <w:t xml:space="preserve"> </w:t>
            </w:r>
            <w:r w:rsidRPr="00FC5566">
              <w:rPr>
                <w:sz w:val="16"/>
                <w:szCs w:val="16"/>
              </w:rPr>
              <w:t>multi-purpose</w:t>
            </w:r>
            <w:r w:rsidRPr="00FC5566">
              <w:rPr>
                <w:spacing w:val="-4"/>
                <w:sz w:val="16"/>
                <w:szCs w:val="16"/>
              </w:rPr>
              <w:t xml:space="preserve"> </w:t>
            </w:r>
            <w:r w:rsidRPr="00FC5566">
              <w:rPr>
                <w:sz w:val="16"/>
                <w:szCs w:val="16"/>
              </w:rPr>
              <w:t>room</w:t>
            </w:r>
            <w:r w:rsidRPr="00FC5566">
              <w:rPr>
                <w:spacing w:val="-2"/>
                <w:sz w:val="16"/>
                <w:szCs w:val="16"/>
              </w:rPr>
              <w:t xml:space="preserve"> </w:t>
            </w:r>
            <w:r w:rsidRPr="00FC5566">
              <w:rPr>
                <w:sz w:val="16"/>
                <w:szCs w:val="16"/>
              </w:rPr>
              <w:t>with</w:t>
            </w:r>
            <w:r w:rsidRPr="00FC5566">
              <w:rPr>
                <w:spacing w:val="-1"/>
                <w:sz w:val="16"/>
                <w:szCs w:val="16"/>
              </w:rPr>
              <w:t xml:space="preserve"> </w:t>
            </w:r>
            <w:r w:rsidRPr="00FC5566">
              <w:rPr>
                <w:sz w:val="16"/>
                <w:szCs w:val="16"/>
              </w:rPr>
              <w:t>an</w:t>
            </w:r>
            <w:r w:rsidRPr="00FC5566">
              <w:rPr>
                <w:spacing w:val="-1"/>
                <w:sz w:val="16"/>
                <w:szCs w:val="16"/>
              </w:rPr>
              <w:t xml:space="preserve"> </w:t>
            </w:r>
            <w:r w:rsidRPr="00FC5566">
              <w:rPr>
                <w:sz w:val="16"/>
                <w:szCs w:val="16"/>
              </w:rPr>
              <w:t>occupant</w:t>
            </w:r>
            <w:r w:rsidRPr="00FC5566">
              <w:rPr>
                <w:spacing w:val="-1"/>
                <w:sz w:val="16"/>
                <w:szCs w:val="16"/>
              </w:rPr>
              <w:t xml:space="preserve"> </w:t>
            </w:r>
            <w:r w:rsidRPr="00FC5566">
              <w:rPr>
                <w:sz w:val="16"/>
                <w:szCs w:val="16"/>
              </w:rPr>
              <w:t>load</w:t>
            </w:r>
            <w:r w:rsidRPr="00FC5566">
              <w:rPr>
                <w:spacing w:val="-3"/>
                <w:sz w:val="16"/>
                <w:szCs w:val="16"/>
              </w:rPr>
              <w:t xml:space="preserve"> </w:t>
            </w:r>
            <w:r w:rsidRPr="00FC5566">
              <w:rPr>
                <w:sz w:val="16"/>
                <w:szCs w:val="16"/>
              </w:rPr>
              <w:t>greater</w:t>
            </w:r>
            <w:r w:rsidRPr="00FC5566">
              <w:rPr>
                <w:spacing w:val="-3"/>
                <w:sz w:val="16"/>
                <w:szCs w:val="16"/>
              </w:rPr>
              <w:t xml:space="preserve"> </w:t>
            </w:r>
            <w:r w:rsidRPr="00FC5566">
              <w:rPr>
                <w:sz w:val="16"/>
                <w:szCs w:val="16"/>
              </w:rPr>
              <w:t>than</w:t>
            </w:r>
            <w:r w:rsidRPr="00FC5566">
              <w:rPr>
                <w:spacing w:val="-3"/>
                <w:sz w:val="16"/>
                <w:szCs w:val="16"/>
              </w:rPr>
              <w:t xml:space="preserve"> </w:t>
            </w:r>
            <w:r w:rsidRPr="00FC5566">
              <w:rPr>
                <w:sz w:val="16"/>
                <w:szCs w:val="16"/>
              </w:rPr>
              <w:t>300</w:t>
            </w:r>
            <w:r w:rsidRPr="00FC5566">
              <w:rPr>
                <w:spacing w:val="-3"/>
                <w:sz w:val="16"/>
                <w:szCs w:val="16"/>
              </w:rPr>
              <w:t xml:space="preserve"> </w:t>
            </w:r>
            <w:r w:rsidRPr="00FC5566">
              <w:rPr>
                <w:sz w:val="16"/>
                <w:szCs w:val="16"/>
              </w:rPr>
              <w:t>persons</w:t>
            </w:r>
            <w:r w:rsidRPr="00FC5566">
              <w:rPr>
                <w:spacing w:val="-2"/>
                <w:sz w:val="16"/>
                <w:szCs w:val="16"/>
              </w:rPr>
              <w:t xml:space="preserve"> </w:t>
            </w:r>
            <w:r w:rsidRPr="00FC5566">
              <w:rPr>
                <w:sz w:val="16"/>
                <w:szCs w:val="16"/>
              </w:rPr>
              <w:t>shall</w:t>
            </w:r>
            <w:r w:rsidRPr="00FC5566">
              <w:rPr>
                <w:spacing w:val="-3"/>
                <w:sz w:val="16"/>
                <w:szCs w:val="16"/>
              </w:rPr>
              <w:t xml:space="preserve"> </w:t>
            </w:r>
            <w:r w:rsidRPr="00FC5566">
              <w:rPr>
                <w:sz w:val="16"/>
                <w:szCs w:val="16"/>
              </w:rPr>
              <w:t>be</w:t>
            </w:r>
            <w:r w:rsidRPr="00FC5566">
              <w:rPr>
                <w:spacing w:val="-4"/>
                <w:sz w:val="16"/>
                <w:szCs w:val="16"/>
              </w:rPr>
              <w:t xml:space="preserve"> </w:t>
            </w:r>
            <w:r w:rsidRPr="00FC5566">
              <w:rPr>
                <w:sz w:val="16"/>
                <w:szCs w:val="16"/>
              </w:rPr>
              <w:t>provided</w:t>
            </w:r>
            <w:r w:rsidRPr="00FC5566">
              <w:rPr>
                <w:spacing w:val="40"/>
                <w:sz w:val="16"/>
                <w:szCs w:val="16"/>
              </w:rPr>
              <w:t xml:space="preserve"> </w:t>
            </w:r>
            <w:r w:rsidRPr="00FC5566">
              <w:rPr>
                <w:sz w:val="16"/>
                <w:szCs w:val="16"/>
              </w:rPr>
              <w:t>with a fire alarm system in accordance with Section 907.2.1.</w:t>
            </w:r>
          </w:p>
          <w:p w14:paraId="74B8D7F2" w14:textId="77777777" w:rsidR="00FC5566" w:rsidRPr="00FC5566" w:rsidRDefault="00FC5566" w:rsidP="00FC5566">
            <w:pPr>
              <w:widowControl w:val="0"/>
              <w:autoSpaceDE w:val="0"/>
              <w:autoSpaceDN w:val="0"/>
              <w:ind w:left="108" w:right="158"/>
              <w:rPr>
                <w:sz w:val="16"/>
                <w:szCs w:val="16"/>
              </w:rPr>
            </w:pPr>
            <w:r w:rsidRPr="00FC5566">
              <w:rPr>
                <w:sz w:val="16"/>
                <w:szCs w:val="16"/>
              </w:rPr>
              <w:t>5.</w:t>
            </w:r>
            <w:r w:rsidRPr="00FC5566">
              <w:rPr>
                <w:spacing w:val="37"/>
                <w:sz w:val="16"/>
                <w:szCs w:val="16"/>
              </w:rPr>
              <w:t xml:space="preserve"> </w:t>
            </w:r>
            <w:r w:rsidRPr="00FC5566">
              <w:rPr>
                <w:sz w:val="16"/>
                <w:szCs w:val="16"/>
              </w:rPr>
              <w:t>The</w:t>
            </w:r>
            <w:r w:rsidRPr="00FC5566">
              <w:rPr>
                <w:spacing w:val="-4"/>
                <w:sz w:val="16"/>
                <w:szCs w:val="16"/>
              </w:rPr>
              <w:t xml:space="preserve"> </w:t>
            </w:r>
            <w:r w:rsidRPr="00FC5566">
              <w:rPr>
                <w:sz w:val="16"/>
                <w:szCs w:val="16"/>
              </w:rPr>
              <w:t>single</w:t>
            </w:r>
            <w:r w:rsidRPr="00FC5566">
              <w:rPr>
                <w:spacing w:val="-4"/>
                <w:sz w:val="16"/>
                <w:szCs w:val="16"/>
              </w:rPr>
              <w:t xml:space="preserve"> </w:t>
            </w:r>
            <w:r w:rsidRPr="00FC5566">
              <w:rPr>
                <w:sz w:val="16"/>
                <w:szCs w:val="16"/>
              </w:rPr>
              <w:t>multi-purpose</w:t>
            </w:r>
            <w:r w:rsidRPr="00FC5566">
              <w:rPr>
                <w:spacing w:val="-4"/>
                <w:sz w:val="16"/>
                <w:szCs w:val="16"/>
              </w:rPr>
              <w:t xml:space="preserve"> </w:t>
            </w:r>
            <w:r w:rsidRPr="00FC5566">
              <w:rPr>
                <w:sz w:val="16"/>
                <w:szCs w:val="16"/>
              </w:rPr>
              <w:t>room</w:t>
            </w:r>
            <w:r w:rsidRPr="00FC5566">
              <w:rPr>
                <w:spacing w:val="-2"/>
                <w:sz w:val="16"/>
                <w:szCs w:val="16"/>
              </w:rPr>
              <w:t xml:space="preserve"> </w:t>
            </w:r>
            <w:r w:rsidRPr="00FC5566">
              <w:rPr>
                <w:sz w:val="16"/>
                <w:szCs w:val="16"/>
              </w:rPr>
              <w:t>with</w:t>
            </w:r>
            <w:r w:rsidRPr="00FC5566">
              <w:rPr>
                <w:spacing w:val="-1"/>
                <w:sz w:val="16"/>
                <w:szCs w:val="16"/>
              </w:rPr>
              <w:t xml:space="preserve"> </w:t>
            </w:r>
            <w:r w:rsidRPr="00FC5566">
              <w:rPr>
                <w:sz w:val="16"/>
                <w:szCs w:val="16"/>
              </w:rPr>
              <w:t>its</w:t>
            </w:r>
            <w:r w:rsidRPr="00FC5566">
              <w:rPr>
                <w:spacing w:val="-4"/>
                <w:sz w:val="16"/>
                <w:szCs w:val="16"/>
              </w:rPr>
              <w:t xml:space="preserve"> </w:t>
            </w:r>
            <w:r w:rsidRPr="00FC5566">
              <w:rPr>
                <w:sz w:val="16"/>
                <w:szCs w:val="16"/>
              </w:rPr>
              <w:t>accessory</w:t>
            </w:r>
            <w:r w:rsidRPr="00FC5566">
              <w:rPr>
                <w:spacing w:val="-5"/>
                <w:sz w:val="16"/>
                <w:szCs w:val="16"/>
              </w:rPr>
              <w:t xml:space="preserve"> </w:t>
            </w:r>
            <w:r w:rsidRPr="00FC5566">
              <w:rPr>
                <w:sz w:val="16"/>
                <w:szCs w:val="16"/>
              </w:rPr>
              <w:t>or</w:t>
            </w:r>
            <w:r w:rsidRPr="00FC5566">
              <w:rPr>
                <w:spacing w:val="-3"/>
                <w:sz w:val="16"/>
                <w:szCs w:val="16"/>
              </w:rPr>
              <w:t xml:space="preserve"> </w:t>
            </w:r>
            <w:r w:rsidRPr="00FC5566">
              <w:rPr>
                <w:sz w:val="16"/>
                <w:szCs w:val="16"/>
              </w:rPr>
              <w:t>ancillary</w:t>
            </w:r>
            <w:r w:rsidRPr="00FC5566">
              <w:rPr>
                <w:spacing w:val="-5"/>
                <w:sz w:val="16"/>
                <w:szCs w:val="16"/>
              </w:rPr>
              <w:t xml:space="preserve"> </w:t>
            </w:r>
            <w:r w:rsidRPr="00FC5566">
              <w:rPr>
                <w:sz w:val="16"/>
                <w:szCs w:val="16"/>
              </w:rPr>
              <w:t>uses</w:t>
            </w:r>
            <w:r w:rsidRPr="00FC5566">
              <w:rPr>
                <w:spacing w:val="-2"/>
                <w:sz w:val="16"/>
                <w:szCs w:val="16"/>
              </w:rPr>
              <w:t xml:space="preserve"> </w:t>
            </w:r>
            <w:r w:rsidRPr="00FC5566">
              <w:rPr>
                <w:sz w:val="16"/>
                <w:szCs w:val="16"/>
              </w:rPr>
              <w:t>shall</w:t>
            </w:r>
            <w:r w:rsidRPr="00FC5566">
              <w:rPr>
                <w:spacing w:val="-3"/>
                <w:sz w:val="16"/>
                <w:szCs w:val="16"/>
              </w:rPr>
              <w:t xml:space="preserve"> </w:t>
            </w:r>
            <w:r w:rsidRPr="00FC5566">
              <w:rPr>
                <w:sz w:val="16"/>
                <w:szCs w:val="16"/>
              </w:rPr>
              <w:t>be</w:t>
            </w:r>
            <w:r w:rsidRPr="00FC5566">
              <w:rPr>
                <w:spacing w:val="-4"/>
                <w:sz w:val="16"/>
                <w:szCs w:val="16"/>
              </w:rPr>
              <w:t xml:space="preserve"> </w:t>
            </w:r>
            <w:r w:rsidRPr="00FC5566">
              <w:rPr>
                <w:sz w:val="16"/>
                <w:szCs w:val="16"/>
              </w:rPr>
              <w:t>separated,</w:t>
            </w:r>
            <w:r w:rsidRPr="00FC5566">
              <w:rPr>
                <w:spacing w:val="-4"/>
                <w:sz w:val="16"/>
                <w:szCs w:val="16"/>
              </w:rPr>
              <w:t xml:space="preserve"> </w:t>
            </w:r>
            <w:r w:rsidRPr="00FC5566">
              <w:rPr>
                <w:sz w:val="16"/>
                <w:szCs w:val="16"/>
              </w:rPr>
              <w:t>when</w:t>
            </w:r>
            <w:r w:rsidRPr="00FC5566">
              <w:rPr>
                <w:spacing w:val="-1"/>
                <w:sz w:val="16"/>
                <w:szCs w:val="16"/>
              </w:rPr>
              <w:t xml:space="preserve"> </w:t>
            </w:r>
            <w:r w:rsidRPr="00FC5566">
              <w:rPr>
                <w:sz w:val="16"/>
                <w:szCs w:val="16"/>
              </w:rPr>
              <w:t>part</w:t>
            </w:r>
            <w:r w:rsidRPr="00FC5566">
              <w:rPr>
                <w:spacing w:val="-1"/>
                <w:sz w:val="16"/>
                <w:szCs w:val="16"/>
              </w:rPr>
              <w:t xml:space="preserve"> </w:t>
            </w:r>
            <w:r w:rsidRPr="00FC5566">
              <w:rPr>
                <w:sz w:val="16"/>
                <w:szCs w:val="16"/>
              </w:rPr>
              <w:t>of</w:t>
            </w:r>
            <w:r w:rsidRPr="00FC5566">
              <w:rPr>
                <w:spacing w:val="40"/>
                <w:sz w:val="16"/>
                <w:szCs w:val="16"/>
              </w:rPr>
              <w:t xml:space="preserve"> </w:t>
            </w:r>
            <w:r w:rsidRPr="00FC5566">
              <w:rPr>
                <w:sz w:val="16"/>
                <w:szCs w:val="16"/>
              </w:rPr>
              <w:t>a multiple occupancy, in accordance with Table 508.4 and Section 707 from the remainder of the</w:t>
            </w:r>
            <w:r w:rsidRPr="00FC5566">
              <w:rPr>
                <w:spacing w:val="40"/>
                <w:sz w:val="16"/>
                <w:szCs w:val="16"/>
              </w:rPr>
              <w:t xml:space="preserve"> </w:t>
            </w:r>
            <w:r w:rsidRPr="00FC5566">
              <w:rPr>
                <w:sz w:val="16"/>
                <w:szCs w:val="16"/>
              </w:rPr>
              <w:t>building. The single multi-purpose room fire area containing the single multi-purpose room and its</w:t>
            </w:r>
            <w:r w:rsidRPr="00FC5566">
              <w:rPr>
                <w:spacing w:val="40"/>
                <w:sz w:val="16"/>
                <w:szCs w:val="16"/>
              </w:rPr>
              <w:t xml:space="preserve"> </w:t>
            </w:r>
            <w:r w:rsidRPr="00FC5566">
              <w:rPr>
                <w:sz w:val="16"/>
                <w:szCs w:val="16"/>
              </w:rPr>
              <w:t>accessory or ancillary uses shall be less than 12,000 sf.</w:t>
            </w:r>
          </w:p>
          <w:p w14:paraId="72414D6E" w14:textId="77777777" w:rsidR="00FC5566" w:rsidRPr="00FC5566" w:rsidRDefault="00FC5566" w:rsidP="00FC5566">
            <w:pPr>
              <w:widowControl w:val="0"/>
              <w:autoSpaceDE w:val="0"/>
              <w:autoSpaceDN w:val="0"/>
              <w:ind w:left="108"/>
              <w:rPr>
                <w:sz w:val="16"/>
                <w:szCs w:val="16"/>
              </w:rPr>
            </w:pPr>
            <w:r w:rsidRPr="00FC5566">
              <w:rPr>
                <w:sz w:val="16"/>
                <w:szCs w:val="16"/>
              </w:rPr>
              <w:t>6.</w:t>
            </w:r>
            <w:r w:rsidRPr="00FC5566">
              <w:rPr>
                <w:spacing w:val="36"/>
                <w:sz w:val="16"/>
                <w:szCs w:val="16"/>
              </w:rPr>
              <w:t xml:space="preserve"> </w:t>
            </w:r>
            <w:r w:rsidRPr="00FC5566">
              <w:rPr>
                <w:sz w:val="16"/>
                <w:szCs w:val="16"/>
              </w:rPr>
              <w:t>Provide</w:t>
            </w:r>
            <w:r w:rsidRPr="00FC5566">
              <w:rPr>
                <w:spacing w:val="-4"/>
                <w:sz w:val="16"/>
                <w:szCs w:val="16"/>
              </w:rPr>
              <w:t xml:space="preserve"> </w:t>
            </w:r>
            <w:r w:rsidRPr="00FC5566">
              <w:rPr>
                <w:sz w:val="16"/>
                <w:szCs w:val="16"/>
              </w:rPr>
              <w:t>system</w:t>
            </w:r>
            <w:r w:rsidRPr="00FC5566">
              <w:rPr>
                <w:spacing w:val="-2"/>
                <w:sz w:val="16"/>
                <w:szCs w:val="16"/>
              </w:rPr>
              <w:t xml:space="preserve"> </w:t>
            </w:r>
            <w:r w:rsidRPr="00FC5566">
              <w:rPr>
                <w:sz w:val="16"/>
                <w:szCs w:val="16"/>
              </w:rPr>
              <w:t>smoke</w:t>
            </w:r>
            <w:r w:rsidRPr="00FC5566">
              <w:rPr>
                <w:spacing w:val="-4"/>
                <w:sz w:val="16"/>
                <w:szCs w:val="16"/>
              </w:rPr>
              <w:t xml:space="preserve"> </w:t>
            </w:r>
            <w:r w:rsidRPr="00FC5566">
              <w:rPr>
                <w:sz w:val="16"/>
                <w:szCs w:val="16"/>
              </w:rPr>
              <w:t>detection</w:t>
            </w:r>
            <w:r w:rsidRPr="00FC5566">
              <w:rPr>
                <w:spacing w:val="-3"/>
                <w:sz w:val="16"/>
                <w:szCs w:val="16"/>
              </w:rPr>
              <w:t xml:space="preserve"> </w:t>
            </w:r>
            <w:r w:rsidRPr="00FC5566">
              <w:rPr>
                <w:sz w:val="16"/>
                <w:szCs w:val="16"/>
              </w:rPr>
              <w:t>in</w:t>
            </w:r>
            <w:r w:rsidRPr="00FC5566">
              <w:rPr>
                <w:spacing w:val="-3"/>
                <w:sz w:val="16"/>
                <w:szCs w:val="16"/>
              </w:rPr>
              <w:t xml:space="preserve"> </w:t>
            </w:r>
            <w:r w:rsidRPr="00FC5566">
              <w:rPr>
                <w:sz w:val="16"/>
                <w:szCs w:val="16"/>
              </w:rPr>
              <w:t>all</w:t>
            </w:r>
            <w:r w:rsidRPr="00FC5566">
              <w:rPr>
                <w:spacing w:val="-3"/>
                <w:sz w:val="16"/>
                <w:szCs w:val="16"/>
              </w:rPr>
              <w:t xml:space="preserve"> </w:t>
            </w:r>
            <w:r w:rsidRPr="00FC5566">
              <w:rPr>
                <w:sz w:val="16"/>
                <w:szCs w:val="16"/>
              </w:rPr>
              <w:t>areas</w:t>
            </w:r>
            <w:r w:rsidRPr="00FC5566">
              <w:rPr>
                <w:spacing w:val="-2"/>
                <w:sz w:val="16"/>
                <w:szCs w:val="16"/>
              </w:rPr>
              <w:t xml:space="preserve"> </w:t>
            </w:r>
            <w:r w:rsidRPr="00FC5566">
              <w:rPr>
                <w:sz w:val="16"/>
                <w:szCs w:val="16"/>
              </w:rPr>
              <w:t>in</w:t>
            </w:r>
            <w:r w:rsidRPr="00FC5566">
              <w:rPr>
                <w:spacing w:val="-1"/>
                <w:sz w:val="16"/>
                <w:szCs w:val="16"/>
              </w:rPr>
              <w:t xml:space="preserve"> </w:t>
            </w:r>
            <w:r w:rsidRPr="00FC5566">
              <w:rPr>
                <w:sz w:val="16"/>
                <w:szCs w:val="16"/>
              </w:rPr>
              <w:t>accordance</w:t>
            </w:r>
            <w:r w:rsidRPr="00FC5566">
              <w:rPr>
                <w:spacing w:val="-4"/>
                <w:sz w:val="16"/>
                <w:szCs w:val="16"/>
              </w:rPr>
              <w:t xml:space="preserve"> </w:t>
            </w:r>
            <w:r w:rsidRPr="00FC5566">
              <w:rPr>
                <w:sz w:val="16"/>
                <w:szCs w:val="16"/>
              </w:rPr>
              <w:t>with</w:t>
            </w:r>
            <w:r w:rsidRPr="00FC5566">
              <w:rPr>
                <w:spacing w:val="-1"/>
                <w:sz w:val="16"/>
                <w:szCs w:val="16"/>
              </w:rPr>
              <w:t xml:space="preserve"> </w:t>
            </w:r>
            <w:r w:rsidRPr="00FC5566">
              <w:rPr>
                <w:sz w:val="16"/>
                <w:szCs w:val="16"/>
              </w:rPr>
              <w:t>Section</w:t>
            </w:r>
            <w:r w:rsidRPr="00FC5566">
              <w:rPr>
                <w:spacing w:val="-3"/>
                <w:sz w:val="16"/>
                <w:szCs w:val="16"/>
              </w:rPr>
              <w:t xml:space="preserve"> </w:t>
            </w:r>
            <w:r w:rsidRPr="00FC5566">
              <w:rPr>
                <w:sz w:val="16"/>
                <w:szCs w:val="16"/>
              </w:rPr>
              <w:t>907</w:t>
            </w:r>
            <w:r w:rsidRPr="00FC5566">
              <w:rPr>
                <w:spacing w:val="-3"/>
                <w:sz w:val="16"/>
                <w:szCs w:val="16"/>
              </w:rPr>
              <w:t xml:space="preserve"> </w:t>
            </w:r>
            <w:r w:rsidRPr="00FC5566">
              <w:rPr>
                <w:sz w:val="16"/>
                <w:szCs w:val="16"/>
              </w:rPr>
              <w:t>throughout</w:t>
            </w:r>
            <w:r w:rsidRPr="00FC5566">
              <w:rPr>
                <w:spacing w:val="-1"/>
                <w:sz w:val="16"/>
                <w:szCs w:val="16"/>
              </w:rPr>
              <w:t xml:space="preserve"> </w:t>
            </w:r>
            <w:r w:rsidRPr="00FC5566">
              <w:rPr>
                <w:sz w:val="16"/>
                <w:szCs w:val="16"/>
              </w:rPr>
              <w:t>the</w:t>
            </w:r>
            <w:r w:rsidRPr="00FC5566">
              <w:rPr>
                <w:spacing w:val="-4"/>
                <w:sz w:val="16"/>
                <w:szCs w:val="16"/>
              </w:rPr>
              <w:t xml:space="preserve"> </w:t>
            </w:r>
            <w:r w:rsidRPr="00FC5566">
              <w:rPr>
                <w:sz w:val="16"/>
                <w:szCs w:val="16"/>
              </w:rPr>
              <w:t>entire</w:t>
            </w:r>
            <w:r w:rsidRPr="00FC5566">
              <w:rPr>
                <w:spacing w:val="40"/>
                <w:sz w:val="16"/>
                <w:szCs w:val="16"/>
              </w:rPr>
              <w:t xml:space="preserve"> </w:t>
            </w:r>
            <w:r w:rsidRPr="00FC5566">
              <w:rPr>
                <w:spacing w:val="-2"/>
                <w:sz w:val="16"/>
                <w:szCs w:val="16"/>
              </w:rPr>
              <w:t>building.</w:t>
            </w:r>
          </w:p>
        </w:tc>
      </w:tr>
      <w:tr w:rsidR="00FC5566" w:rsidRPr="00FC5566" w14:paraId="35C6856E" w14:textId="77777777" w:rsidTr="00B247D5">
        <w:trPr>
          <w:trHeight w:val="259"/>
        </w:trPr>
        <w:tc>
          <w:tcPr>
            <w:tcW w:w="1080" w:type="dxa"/>
          </w:tcPr>
          <w:p w14:paraId="32DCA32E" w14:textId="77777777" w:rsidR="00FC5566" w:rsidRPr="00FC5566" w:rsidRDefault="00FC5566" w:rsidP="00FC5566">
            <w:pPr>
              <w:widowControl w:val="0"/>
              <w:autoSpaceDE w:val="0"/>
              <w:autoSpaceDN w:val="0"/>
              <w:ind w:right="15"/>
              <w:jc w:val="center"/>
              <w:rPr>
                <w:sz w:val="16"/>
                <w:szCs w:val="16"/>
              </w:rPr>
            </w:pPr>
            <w:r w:rsidRPr="00FC5566">
              <w:rPr>
                <w:spacing w:val="-2"/>
                <w:sz w:val="16"/>
                <w:szCs w:val="16"/>
              </w:rPr>
              <w:t>Amend</w:t>
            </w:r>
          </w:p>
        </w:tc>
        <w:tc>
          <w:tcPr>
            <w:tcW w:w="2430" w:type="dxa"/>
          </w:tcPr>
          <w:p w14:paraId="556CE118" w14:textId="77777777" w:rsidR="00FC5566" w:rsidRPr="00FC5566" w:rsidRDefault="00FC5566" w:rsidP="00FC5566">
            <w:pPr>
              <w:widowControl w:val="0"/>
              <w:autoSpaceDE w:val="0"/>
              <w:autoSpaceDN w:val="0"/>
              <w:ind w:left="107"/>
              <w:rPr>
                <w:sz w:val="16"/>
                <w:szCs w:val="16"/>
              </w:rPr>
            </w:pPr>
            <w:r w:rsidRPr="00FC5566">
              <w:rPr>
                <w:sz w:val="16"/>
                <w:szCs w:val="16"/>
              </w:rPr>
              <w:t>Section</w:t>
            </w:r>
            <w:r w:rsidRPr="00FC5566">
              <w:rPr>
                <w:spacing w:val="-12"/>
                <w:sz w:val="16"/>
                <w:szCs w:val="16"/>
              </w:rPr>
              <w:t xml:space="preserve"> </w:t>
            </w:r>
            <w:r w:rsidRPr="00FC5566">
              <w:rPr>
                <w:sz w:val="16"/>
                <w:szCs w:val="16"/>
              </w:rPr>
              <w:t>903.2.1.3,</w:t>
            </w:r>
            <w:r w:rsidRPr="00FC5566">
              <w:rPr>
                <w:spacing w:val="-7"/>
                <w:sz w:val="16"/>
                <w:szCs w:val="16"/>
              </w:rPr>
              <w:t xml:space="preserve"> </w:t>
            </w:r>
            <w:r w:rsidRPr="00FC5566">
              <w:rPr>
                <w:sz w:val="16"/>
                <w:szCs w:val="16"/>
              </w:rPr>
              <w:t>Group</w:t>
            </w:r>
            <w:r w:rsidRPr="00FC5566">
              <w:rPr>
                <w:spacing w:val="-7"/>
                <w:sz w:val="16"/>
                <w:szCs w:val="16"/>
              </w:rPr>
              <w:t xml:space="preserve"> </w:t>
            </w:r>
            <w:r w:rsidRPr="00FC5566">
              <w:rPr>
                <w:sz w:val="16"/>
                <w:szCs w:val="16"/>
              </w:rPr>
              <w:t>A-</w:t>
            </w:r>
            <w:r w:rsidRPr="00FC5566">
              <w:rPr>
                <w:spacing w:val="-5"/>
                <w:sz w:val="16"/>
                <w:szCs w:val="16"/>
              </w:rPr>
              <w:t>3.</w:t>
            </w:r>
          </w:p>
        </w:tc>
        <w:tc>
          <w:tcPr>
            <w:tcW w:w="7099" w:type="dxa"/>
          </w:tcPr>
          <w:p w14:paraId="4D043733" w14:textId="77777777" w:rsidR="00FC5566" w:rsidRPr="00FC5566" w:rsidRDefault="00FC5566" w:rsidP="00FC5566">
            <w:pPr>
              <w:widowControl w:val="0"/>
              <w:autoSpaceDE w:val="0"/>
              <w:autoSpaceDN w:val="0"/>
              <w:rPr>
                <w:sz w:val="16"/>
                <w:szCs w:val="16"/>
              </w:rPr>
            </w:pPr>
          </w:p>
        </w:tc>
      </w:tr>
      <w:tr w:rsidR="00FC5566" w:rsidRPr="00FC5566" w14:paraId="4B6F6CF7" w14:textId="77777777" w:rsidTr="00B247D5">
        <w:trPr>
          <w:trHeight w:val="562"/>
        </w:trPr>
        <w:tc>
          <w:tcPr>
            <w:tcW w:w="1080" w:type="dxa"/>
          </w:tcPr>
          <w:p w14:paraId="1BF9A800" w14:textId="77777777" w:rsidR="00FC5566" w:rsidRPr="00FC5566" w:rsidRDefault="00FC5566" w:rsidP="00FC5566">
            <w:pPr>
              <w:widowControl w:val="0"/>
              <w:autoSpaceDE w:val="0"/>
              <w:autoSpaceDN w:val="0"/>
              <w:ind w:right="15"/>
              <w:jc w:val="center"/>
              <w:rPr>
                <w:sz w:val="16"/>
                <w:szCs w:val="16"/>
              </w:rPr>
            </w:pPr>
            <w:r w:rsidRPr="00FC5566">
              <w:rPr>
                <w:spacing w:val="-2"/>
                <w:sz w:val="16"/>
                <w:szCs w:val="16"/>
              </w:rPr>
              <w:t>Adopt</w:t>
            </w:r>
          </w:p>
        </w:tc>
        <w:tc>
          <w:tcPr>
            <w:tcW w:w="2430" w:type="dxa"/>
          </w:tcPr>
          <w:p w14:paraId="53AED613" w14:textId="77777777" w:rsidR="00FC5566" w:rsidRPr="00FC5566" w:rsidRDefault="00FC5566" w:rsidP="00FC5566">
            <w:pPr>
              <w:widowControl w:val="0"/>
              <w:autoSpaceDE w:val="0"/>
              <w:autoSpaceDN w:val="0"/>
              <w:ind w:left="107"/>
              <w:rPr>
                <w:sz w:val="16"/>
                <w:szCs w:val="16"/>
              </w:rPr>
            </w:pPr>
            <w:r w:rsidRPr="00FC5566">
              <w:rPr>
                <w:sz w:val="16"/>
                <w:szCs w:val="16"/>
              </w:rPr>
              <w:t>Item</w:t>
            </w:r>
            <w:r w:rsidRPr="00FC5566">
              <w:rPr>
                <w:spacing w:val="-6"/>
                <w:sz w:val="16"/>
                <w:szCs w:val="16"/>
              </w:rPr>
              <w:t xml:space="preserve"> </w:t>
            </w:r>
            <w:r w:rsidRPr="00FC5566">
              <w:rPr>
                <w:spacing w:val="-4"/>
                <w:sz w:val="16"/>
                <w:szCs w:val="16"/>
              </w:rPr>
              <w:t>(4.)</w:t>
            </w:r>
          </w:p>
        </w:tc>
        <w:tc>
          <w:tcPr>
            <w:tcW w:w="7099" w:type="dxa"/>
          </w:tcPr>
          <w:p w14:paraId="75577B14" w14:textId="77777777" w:rsidR="00FC5566" w:rsidRPr="00FC5566" w:rsidRDefault="00FC5566" w:rsidP="00FC5566">
            <w:pPr>
              <w:widowControl w:val="0"/>
              <w:autoSpaceDE w:val="0"/>
              <w:autoSpaceDN w:val="0"/>
              <w:ind w:left="108"/>
              <w:rPr>
                <w:sz w:val="16"/>
                <w:szCs w:val="16"/>
              </w:rPr>
            </w:pPr>
            <w:r w:rsidRPr="00FC5566">
              <w:rPr>
                <w:sz w:val="16"/>
                <w:szCs w:val="16"/>
              </w:rPr>
              <w:t>4. Open air pavilions on three sides or more, not exceeding 12,000 square feet, shall not be required to</w:t>
            </w:r>
            <w:r w:rsidRPr="00FC5566">
              <w:rPr>
                <w:spacing w:val="40"/>
                <w:sz w:val="16"/>
                <w:szCs w:val="16"/>
              </w:rPr>
              <w:t xml:space="preserve"> </w:t>
            </w:r>
            <w:r w:rsidRPr="00FC5566">
              <w:rPr>
                <w:sz w:val="16"/>
                <w:szCs w:val="16"/>
              </w:rPr>
              <w:t>comply</w:t>
            </w:r>
            <w:r w:rsidRPr="00FC5566">
              <w:rPr>
                <w:spacing w:val="-3"/>
                <w:sz w:val="16"/>
                <w:szCs w:val="16"/>
              </w:rPr>
              <w:t xml:space="preserve"> </w:t>
            </w:r>
            <w:r w:rsidRPr="00FC5566">
              <w:rPr>
                <w:sz w:val="16"/>
                <w:szCs w:val="16"/>
              </w:rPr>
              <w:t>with</w:t>
            </w:r>
            <w:r w:rsidRPr="00FC5566">
              <w:rPr>
                <w:spacing w:val="-1"/>
                <w:sz w:val="16"/>
                <w:szCs w:val="16"/>
              </w:rPr>
              <w:t xml:space="preserve"> </w:t>
            </w:r>
            <w:r w:rsidRPr="00FC5566">
              <w:rPr>
                <w:sz w:val="16"/>
                <w:szCs w:val="16"/>
              </w:rPr>
              <w:t>Section</w:t>
            </w:r>
            <w:r w:rsidRPr="00FC5566">
              <w:rPr>
                <w:spacing w:val="-3"/>
                <w:sz w:val="16"/>
                <w:szCs w:val="16"/>
              </w:rPr>
              <w:t xml:space="preserve"> </w:t>
            </w:r>
            <w:r w:rsidRPr="00FC5566">
              <w:rPr>
                <w:sz w:val="16"/>
                <w:szCs w:val="16"/>
              </w:rPr>
              <w:t>903.2.1.3(2)</w:t>
            </w:r>
            <w:r w:rsidRPr="00FC5566">
              <w:rPr>
                <w:spacing w:val="-3"/>
                <w:sz w:val="16"/>
                <w:szCs w:val="16"/>
              </w:rPr>
              <w:t xml:space="preserve"> </w:t>
            </w:r>
            <w:r w:rsidRPr="00FC5566">
              <w:rPr>
                <w:sz w:val="16"/>
                <w:szCs w:val="16"/>
              </w:rPr>
              <w:t>where</w:t>
            </w:r>
            <w:r w:rsidRPr="00FC5566">
              <w:rPr>
                <w:spacing w:val="-1"/>
                <w:sz w:val="16"/>
                <w:szCs w:val="16"/>
              </w:rPr>
              <w:t xml:space="preserve"> </w:t>
            </w:r>
            <w:r w:rsidRPr="00FC5566">
              <w:rPr>
                <w:sz w:val="16"/>
                <w:szCs w:val="16"/>
              </w:rPr>
              <w:t>each</w:t>
            </w:r>
            <w:r w:rsidRPr="00FC5566">
              <w:rPr>
                <w:spacing w:val="-1"/>
                <w:sz w:val="16"/>
                <w:szCs w:val="16"/>
              </w:rPr>
              <w:t xml:space="preserve"> </w:t>
            </w:r>
            <w:r w:rsidRPr="00FC5566">
              <w:rPr>
                <w:sz w:val="16"/>
                <w:szCs w:val="16"/>
              </w:rPr>
              <w:t>side</w:t>
            </w:r>
            <w:r w:rsidRPr="00FC5566">
              <w:rPr>
                <w:spacing w:val="-6"/>
                <w:sz w:val="16"/>
                <w:szCs w:val="16"/>
              </w:rPr>
              <w:t xml:space="preserve"> </w:t>
            </w:r>
            <w:r w:rsidRPr="00FC5566">
              <w:rPr>
                <w:sz w:val="16"/>
                <w:szCs w:val="16"/>
              </w:rPr>
              <w:t>has</w:t>
            </w:r>
            <w:r w:rsidRPr="00FC5566">
              <w:rPr>
                <w:spacing w:val="-4"/>
                <w:sz w:val="16"/>
                <w:szCs w:val="16"/>
              </w:rPr>
              <w:t xml:space="preserve"> </w:t>
            </w:r>
            <w:r w:rsidRPr="00FC5566">
              <w:rPr>
                <w:sz w:val="16"/>
                <w:szCs w:val="16"/>
              </w:rPr>
              <w:t>unobstructed</w:t>
            </w:r>
            <w:r w:rsidRPr="00FC5566">
              <w:rPr>
                <w:spacing w:val="-3"/>
                <w:sz w:val="16"/>
                <w:szCs w:val="16"/>
              </w:rPr>
              <w:t xml:space="preserve"> </w:t>
            </w:r>
            <w:r w:rsidRPr="00FC5566">
              <w:rPr>
                <w:sz w:val="16"/>
                <w:szCs w:val="16"/>
              </w:rPr>
              <w:t>access</w:t>
            </w:r>
            <w:r w:rsidRPr="00FC5566">
              <w:rPr>
                <w:spacing w:val="-2"/>
                <w:sz w:val="16"/>
                <w:szCs w:val="16"/>
              </w:rPr>
              <w:t xml:space="preserve"> </w:t>
            </w:r>
            <w:r w:rsidRPr="00FC5566">
              <w:rPr>
                <w:sz w:val="16"/>
                <w:szCs w:val="16"/>
              </w:rPr>
              <w:t>to</w:t>
            </w:r>
            <w:r w:rsidRPr="00FC5566">
              <w:rPr>
                <w:spacing w:val="-3"/>
                <w:sz w:val="16"/>
                <w:szCs w:val="16"/>
              </w:rPr>
              <w:t xml:space="preserve"> </w:t>
            </w:r>
            <w:r w:rsidRPr="00FC5566">
              <w:rPr>
                <w:sz w:val="16"/>
                <w:szCs w:val="16"/>
              </w:rPr>
              <w:t>a</w:t>
            </w:r>
            <w:r w:rsidRPr="00FC5566">
              <w:rPr>
                <w:spacing w:val="-4"/>
                <w:sz w:val="16"/>
                <w:szCs w:val="16"/>
              </w:rPr>
              <w:t xml:space="preserve"> </w:t>
            </w:r>
            <w:r w:rsidRPr="00FC5566">
              <w:rPr>
                <w:sz w:val="16"/>
                <w:szCs w:val="16"/>
              </w:rPr>
              <w:t>public</w:t>
            </w:r>
            <w:r w:rsidRPr="00FC5566">
              <w:rPr>
                <w:spacing w:val="-1"/>
                <w:sz w:val="16"/>
                <w:szCs w:val="16"/>
              </w:rPr>
              <w:t xml:space="preserve"> </w:t>
            </w:r>
            <w:r w:rsidRPr="00FC5566">
              <w:rPr>
                <w:sz w:val="16"/>
                <w:szCs w:val="16"/>
              </w:rPr>
              <w:t>way</w:t>
            </w:r>
            <w:r w:rsidRPr="00FC5566">
              <w:rPr>
                <w:spacing w:val="-5"/>
                <w:sz w:val="16"/>
                <w:szCs w:val="16"/>
              </w:rPr>
              <w:t xml:space="preserve"> </w:t>
            </w:r>
            <w:r w:rsidRPr="00FC5566">
              <w:rPr>
                <w:sz w:val="16"/>
                <w:szCs w:val="16"/>
              </w:rPr>
              <w:t>(10’-0”</w:t>
            </w:r>
            <w:r w:rsidRPr="00FC5566">
              <w:rPr>
                <w:spacing w:val="-1"/>
                <w:sz w:val="16"/>
                <w:szCs w:val="16"/>
              </w:rPr>
              <w:t xml:space="preserve"> </w:t>
            </w:r>
            <w:r w:rsidRPr="00FC5566">
              <w:rPr>
                <w:sz w:val="16"/>
                <w:szCs w:val="16"/>
              </w:rPr>
              <w:t>wide</w:t>
            </w:r>
          </w:p>
          <w:p w14:paraId="3819A8D9" w14:textId="77777777" w:rsidR="00FC5566" w:rsidRPr="00FC5566" w:rsidRDefault="00FC5566" w:rsidP="00FC5566">
            <w:pPr>
              <w:widowControl w:val="0"/>
              <w:autoSpaceDE w:val="0"/>
              <w:autoSpaceDN w:val="0"/>
              <w:ind w:left="108"/>
              <w:rPr>
                <w:sz w:val="16"/>
                <w:szCs w:val="16"/>
              </w:rPr>
            </w:pPr>
            <w:r w:rsidRPr="00FC5566">
              <w:rPr>
                <w:sz w:val="16"/>
                <w:szCs w:val="16"/>
              </w:rPr>
              <w:t>by</w:t>
            </w:r>
            <w:r w:rsidRPr="00FC5566">
              <w:rPr>
                <w:spacing w:val="-4"/>
                <w:sz w:val="16"/>
                <w:szCs w:val="16"/>
              </w:rPr>
              <w:t xml:space="preserve"> </w:t>
            </w:r>
            <w:r w:rsidRPr="00FC5566">
              <w:rPr>
                <w:sz w:val="16"/>
                <w:szCs w:val="16"/>
              </w:rPr>
              <w:t>10’-0”</w:t>
            </w:r>
            <w:r w:rsidRPr="00FC5566">
              <w:rPr>
                <w:spacing w:val="-3"/>
                <w:sz w:val="16"/>
                <w:szCs w:val="16"/>
              </w:rPr>
              <w:t xml:space="preserve"> </w:t>
            </w:r>
            <w:r w:rsidRPr="00FC5566">
              <w:rPr>
                <w:sz w:val="16"/>
                <w:szCs w:val="16"/>
              </w:rPr>
              <w:t>high).</w:t>
            </w:r>
            <w:r w:rsidRPr="00FC5566">
              <w:rPr>
                <w:spacing w:val="-1"/>
                <w:sz w:val="16"/>
                <w:szCs w:val="16"/>
              </w:rPr>
              <w:t xml:space="preserve"> </w:t>
            </w:r>
            <w:r w:rsidRPr="00FC5566">
              <w:rPr>
                <w:sz w:val="16"/>
                <w:szCs w:val="16"/>
              </w:rPr>
              <w:t>No</w:t>
            </w:r>
            <w:r w:rsidRPr="00FC5566">
              <w:rPr>
                <w:spacing w:val="-2"/>
                <w:sz w:val="16"/>
                <w:szCs w:val="16"/>
              </w:rPr>
              <w:t xml:space="preserve"> </w:t>
            </w:r>
            <w:r w:rsidRPr="00FC5566">
              <w:rPr>
                <w:sz w:val="16"/>
                <w:szCs w:val="16"/>
              </w:rPr>
              <w:t>fixed</w:t>
            </w:r>
            <w:r w:rsidRPr="00FC5566">
              <w:rPr>
                <w:spacing w:val="-1"/>
                <w:sz w:val="16"/>
                <w:szCs w:val="16"/>
              </w:rPr>
              <w:t xml:space="preserve"> </w:t>
            </w:r>
            <w:r w:rsidRPr="00FC5566">
              <w:rPr>
                <w:sz w:val="16"/>
                <w:szCs w:val="16"/>
              </w:rPr>
              <w:t>elements,</w:t>
            </w:r>
            <w:r w:rsidRPr="00FC5566">
              <w:rPr>
                <w:spacing w:val="-1"/>
                <w:sz w:val="16"/>
                <w:szCs w:val="16"/>
              </w:rPr>
              <w:t xml:space="preserve"> </w:t>
            </w:r>
            <w:r w:rsidRPr="00FC5566">
              <w:rPr>
                <w:sz w:val="16"/>
                <w:szCs w:val="16"/>
              </w:rPr>
              <w:t>equipment,</w:t>
            </w:r>
            <w:r w:rsidRPr="00FC5566">
              <w:rPr>
                <w:spacing w:val="-3"/>
                <w:sz w:val="16"/>
                <w:szCs w:val="16"/>
              </w:rPr>
              <w:t xml:space="preserve"> </w:t>
            </w:r>
            <w:r w:rsidRPr="00FC5566">
              <w:rPr>
                <w:sz w:val="16"/>
                <w:szCs w:val="16"/>
              </w:rPr>
              <w:t>seating,</w:t>
            </w:r>
            <w:r w:rsidRPr="00FC5566">
              <w:rPr>
                <w:spacing w:val="-3"/>
                <w:sz w:val="16"/>
                <w:szCs w:val="16"/>
              </w:rPr>
              <w:t xml:space="preserve"> </w:t>
            </w:r>
            <w:r w:rsidRPr="00FC5566">
              <w:rPr>
                <w:sz w:val="16"/>
                <w:szCs w:val="16"/>
              </w:rPr>
              <w:t>etc.</w:t>
            </w:r>
            <w:r w:rsidRPr="00FC5566">
              <w:rPr>
                <w:spacing w:val="-3"/>
                <w:sz w:val="16"/>
                <w:szCs w:val="16"/>
              </w:rPr>
              <w:t xml:space="preserve"> </w:t>
            </w:r>
            <w:r w:rsidRPr="00FC5566">
              <w:rPr>
                <w:sz w:val="16"/>
                <w:szCs w:val="16"/>
              </w:rPr>
              <w:t>are</w:t>
            </w:r>
            <w:r w:rsidRPr="00FC5566">
              <w:rPr>
                <w:spacing w:val="-3"/>
                <w:sz w:val="16"/>
                <w:szCs w:val="16"/>
              </w:rPr>
              <w:t xml:space="preserve"> </w:t>
            </w:r>
            <w:r w:rsidRPr="00FC5566">
              <w:rPr>
                <w:sz w:val="16"/>
                <w:szCs w:val="16"/>
              </w:rPr>
              <w:t>permitted</w:t>
            </w:r>
            <w:r w:rsidRPr="00FC5566">
              <w:rPr>
                <w:spacing w:val="-2"/>
                <w:sz w:val="16"/>
                <w:szCs w:val="16"/>
              </w:rPr>
              <w:t xml:space="preserve"> </w:t>
            </w:r>
            <w:r w:rsidRPr="00FC5566">
              <w:rPr>
                <w:sz w:val="16"/>
                <w:szCs w:val="16"/>
              </w:rPr>
              <w:t>within</w:t>
            </w:r>
            <w:r w:rsidRPr="00FC5566">
              <w:rPr>
                <w:spacing w:val="-1"/>
                <w:sz w:val="16"/>
                <w:szCs w:val="16"/>
              </w:rPr>
              <w:t xml:space="preserve"> </w:t>
            </w:r>
            <w:r w:rsidRPr="00FC5566">
              <w:rPr>
                <w:sz w:val="16"/>
                <w:szCs w:val="16"/>
              </w:rPr>
              <w:t>the</w:t>
            </w:r>
            <w:r w:rsidRPr="00FC5566">
              <w:rPr>
                <w:spacing w:val="-3"/>
                <w:sz w:val="16"/>
                <w:szCs w:val="16"/>
              </w:rPr>
              <w:t xml:space="preserve"> </w:t>
            </w:r>
            <w:r w:rsidRPr="00FC5566">
              <w:rPr>
                <w:sz w:val="16"/>
                <w:szCs w:val="16"/>
              </w:rPr>
              <w:t>10’-0”</w:t>
            </w:r>
            <w:r w:rsidRPr="00FC5566">
              <w:rPr>
                <w:spacing w:val="-3"/>
                <w:sz w:val="16"/>
                <w:szCs w:val="16"/>
              </w:rPr>
              <w:t xml:space="preserve"> </w:t>
            </w:r>
            <w:r w:rsidRPr="00FC5566">
              <w:rPr>
                <w:sz w:val="16"/>
                <w:szCs w:val="16"/>
              </w:rPr>
              <w:t>by</w:t>
            </w:r>
            <w:r w:rsidRPr="00FC5566">
              <w:rPr>
                <w:spacing w:val="-4"/>
                <w:sz w:val="16"/>
                <w:szCs w:val="16"/>
              </w:rPr>
              <w:t xml:space="preserve"> </w:t>
            </w:r>
            <w:r w:rsidRPr="00FC5566">
              <w:rPr>
                <w:sz w:val="16"/>
                <w:szCs w:val="16"/>
              </w:rPr>
              <w:t>10’-0”</w:t>
            </w:r>
            <w:r w:rsidRPr="00FC5566">
              <w:rPr>
                <w:spacing w:val="40"/>
                <w:sz w:val="16"/>
                <w:szCs w:val="16"/>
              </w:rPr>
              <w:t xml:space="preserve"> </w:t>
            </w:r>
            <w:r w:rsidRPr="00FC5566">
              <w:rPr>
                <w:spacing w:val="-2"/>
                <w:sz w:val="16"/>
                <w:szCs w:val="16"/>
              </w:rPr>
              <w:t>access.</w:t>
            </w:r>
          </w:p>
        </w:tc>
      </w:tr>
      <w:tr w:rsidR="00FC5566" w:rsidRPr="00FC5566" w14:paraId="0F351452" w14:textId="77777777" w:rsidTr="00B247D5">
        <w:trPr>
          <w:trHeight w:val="736"/>
        </w:trPr>
        <w:tc>
          <w:tcPr>
            <w:tcW w:w="1080" w:type="dxa"/>
            <w:tcBorders>
              <w:top w:val="single" w:sz="6" w:space="0" w:color="000000"/>
              <w:left w:val="single" w:sz="6" w:space="0" w:color="000000"/>
              <w:bottom w:val="single" w:sz="6" w:space="0" w:color="000000"/>
              <w:right w:val="single" w:sz="6" w:space="0" w:color="000000"/>
            </w:tcBorders>
          </w:tcPr>
          <w:p w14:paraId="0CB41B4C" w14:textId="77777777" w:rsidR="00FC5566" w:rsidRPr="00FC5566" w:rsidRDefault="00FC5566" w:rsidP="00FC5566">
            <w:pPr>
              <w:ind w:right="5"/>
              <w:jc w:val="center"/>
              <w:rPr>
                <w:spacing w:val="-2"/>
                <w:sz w:val="16"/>
                <w:szCs w:val="16"/>
              </w:rPr>
            </w:pPr>
            <w:r w:rsidRPr="00FC5566">
              <w:rPr>
                <w:spacing w:val="-2"/>
                <w:sz w:val="16"/>
                <w:szCs w:val="16"/>
              </w:rPr>
              <w:t>Adopt</w:t>
            </w:r>
          </w:p>
        </w:tc>
        <w:tc>
          <w:tcPr>
            <w:tcW w:w="2430" w:type="dxa"/>
            <w:tcBorders>
              <w:top w:val="single" w:sz="6" w:space="0" w:color="000000"/>
              <w:left w:val="single" w:sz="6" w:space="0" w:color="000000"/>
              <w:bottom w:val="single" w:sz="6" w:space="0" w:color="000000"/>
              <w:right w:val="single" w:sz="6" w:space="0" w:color="000000"/>
            </w:tcBorders>
          </w:tcPr>
          <w:p w14:paraId="7487E4BC" w14:textId="77777777" w:rsidR="00FC5566" w:rsidRPr="00FC5566" w:rsidRDefault="00FC5566" w:rsidP="00FC5566">
            <w:pPr>
              <w:ind w:left="71"/>
              <w:rPr>
                <w:sz w:val="16"/>
                <w:szCs w:val="16"/>
              </w:rPr>
            </w:pPr>
            <w:r w:rsidRPr="00FC5566">
              <w:rPr>
                <w:sz w:val="16"/>
                <w:szCs w:val="16"/>
              </w:rPr>
              <w:t>Exception</w:t>
            </w:r>
          </w:p>
        </w:tc>
        <w:tc>
          <w:tcPr>
            <w:tcW w:w="7099" w:type="dxa"/>
            <w:tcBorders>
              <w:top w:val="single" w:sz="6" w:space="0" w:color="000000"/>
              <w:left w:val="single" w:sz="6" w:space="0" w:color="000000"/>
              <w:bottom w:val="single" w:sz="6" w:space="0" w:color="000000"/>
              <w:right w:val="single" w:sz="6" w:space="0" w:color="000000"/>
            </w:tcBorders>
          </w:tcPr>
          <w:p w14:paraId="1C5EEDFF" w14:textId="77777777" w:rsidR="00FC5566" w:rsidRPr="00FC5566" w:rsidRDefault="00FC5566" w:rsidP="00FC5566">
            <w:pPr>
              <w:ind w:left="78"/>
              <w:rPr>
                <w:b/>
                <w:bCs/>
                <w:sz w:val="16"/>
                <w:szCs w:val="16"/>
              </w:rPr>
            </w:pPr>
            <w:r w:rsidRPr="00FC5566">
              <w:rPr>
                <w:b/>
                <w:bCs/>
                <w:sz w:val="16"/>
                <w:szCs w:val="16"/>
              </w:rPr>
              <w:t>Exception:</w:t>
            </w:r>
          </w:p>
          <w:p w14:paraId="00DD001F" w14:textId="77777777" w:rsidR="00FC5566" w:rsidRPr="00FC5566" w:rsidRDefault="00FC5566" w:rsidP="00FC5566">
            <w:pPr>
              <w:ind w:left="78"/>
              <w:rPr>
                <w:sz w:val="16"/>
                <w:szCs w:val="16"/>
              </w:rPr>
            </w:pPr>
            <w:r w:rsidRPr="00FC5566">
              <w:rPr>
                <w:sz w:val="16"/>
                <w:szCs w:val="16"/>
              </w:rPr>
              <w:t>The requirements of Sections 903.2.1.3(1) and 903.2.1.3(2) shall not apply to a single multi- purpose room less than 12,000 sf when all of the following conditions are met:</w:t>
            </w:r>
          </w:p>
          <w:p w14:paraId="395A4661" w14:textId="77777777" w:rsidR="00FC5566" w:rsidRPr="00FC5566" w:rsidRDefault="00FC5566" w:rsidP="00FC5566">
            <w:pPr>
              <w:ind w:left="78"/>
              <w:rPr>
                <w:sz w:val="16"/>
                <w:szCs w:val="16"/>
              </w:rPr>
            </w:pPr>
            <w:r w:rsidRPr="00FC5566">
              <w:rPr>
                <w:sz w:val="16"/>
                <w:szCs w:val="16"/>
              </w:rPr>
              <w:t>1. The single multi-purpose room shall not be used for display or exhibition.</w:t>
            </w:r>
          </w:p>
          <w:p w14:paraId="574ADC04" w14:textId="77777777" w:rsidR="00FC5566" w:rsidRPr="00FC5566" w:rsidRDefault="00FC5566" w:rsidP="00FC5566">
            <w:pPr>
              <w:ind w:left="78"/>
              <w:rPr>
                <w:sz w:val="16"/>
                <w:szCs w:val="16"/>
              </w:rPr>
            </w:pPr>
            <w:r w:rsidRPr="00FC5566">
              <w:rPr>
                <w:sz w:val="16"/>
                <w:szCs w:val="16"/>
              </w:rPr>
              <w:t>2. The single multi-purpose room shall not share exit access with other occupancies. Non-separated accessory uses that are incidental or ancillary to the single multi-purpose room shall be considered as part of the assembly occupancy. The accessory uses shall not be limited to 10 percent of the single multi-purpose room floor area and/or building but shall be included and considered as part of the limited assembly room floor area.</w:t>
            </w:r>
          </w:p>
          <w:p w14:paraId="6DE77684" w14:textId="77777777" w:rsidR="00FC5566" w:rsidRPr="00FC5566" w:rsidRDefault="00FC5566" w:rsidP="00FC5566">
            <w:pPr>
              <w:ind w:left="78"/>
              <w:rPr>
                <w:sz w:val="16"/>
                <w:szCs w:val="16"/>
              </w:rPr>
            </w:pPr>
            <w:r w:rsidRPr="00FC5566">
              <w:rPr>
                <w:sz w:val="16"/>
                <w:szCs w:val="16"/>
              </w:rPr>
              <w:t>3. The single multi-purpose room shall not be part of a fire area containing other assembly occupancies.</w:t>
            </w:r>
          </w:p>
          <w:p w14:paraId="63BAA9D3" w14:textId="77777777" w:rsidR="00FC5566" w:rsidRPr="00FC5566" w:rsidRDefault="00FC5566" w:rsidP="00FC5566">
            <w:pPr>
              <w:ind w:left="78"/>
              <w:rPr>
                <w:sz w:val="16"/>
                <w:szCs w:val="16"/>
              </w:rPr>
            </w:pPr>
            <w:r w:rsidRPr="00FC5566">
              <w:rPr>
                <w:sz w:val="16"/>
                <w:szCs w:val="16"/>
              </w:rPr>
              <w:t>4. A single multi-purpose room with an occupant load greater than 300 persons shall be provided with a fire alarm system in accordance with Section 907.2.1.</w:t>
            </w:r>
          </w:p>
          <w:p w14:paraId="0B11F7DF" w14:textId="77777777" w:rsidR="00FC5566" w:rsidRPr="00FC5566" w:rsidRDefault="00FC5566" w:rsidP="00FC5566">
            <w:pPr>
              <w:ind w:left="78"/>
              <w:rPr>
                <w:sz w:val="16"/>
                <w:szCs w:val="16"/>
              </w:rPr>
            </w:pPr>
            <w:r w:rsidRPr="00FC5566">
              <w:rPr>
                <w:sz w:val="16"/>
                <w:szCs w:val="16"/>
              </w:rPr>
              <w:t>5. The single multi-purpose room with its accessory or ancillary uses shall be separated, when part of a multiple occupancy, in accordance with Table 508.4 and Section 707 from the remainder of the building. The single multi-purpose room fire area containing the single multi-purpose room and its accessory or ancillary uses shall be less than 12,000 sf.</w:t>
            </w:r>
          </w:p>
          <w:p w14:paraId="4B5ECEEC" w14:textId="77777777" w:rsidR="00FC5566" w:rsidRPr="00FC5566" w:rsidRDefault="00FC5566" w:rsidP="00FC5566">
            <w:pPr>
              <w:ind w:left="78"/>
              <w:rPr>
                <w:sz w:val="16"/>
                <w:szCs w:val="16"/>
              </w:rPr>
            </w:pPr>
            <w:r w:rsidRPr="00FC5566">
              <w:rPr>
                <w:sz w:val="16"/>
                <w:szCs w:val="16"/>
              </w:rPr>
              <w:t>6. Provide system smoke detection in all areas in accordance with Section 907 throughout the entire building.</w:t>
            </w:r>
          </w:p>
        </w:tc>
      </w:tr>
      <w:tr w:rsidR="00FC5566" w:rsidRPr="00FC5566" w14:paraId="7B8656EB"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02594670"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35EFF674" w14:textId="77777777" w:rsidR="00FC5566" w:rsidRPr="00FC5566" w:rsidRDefault="00FC5566" w:rsidP="00FC5566">
            <w:pPr>
              <w:ind w:left="71"/>
              <w:rPr>
                <w:sz w:val="16"/>
                <w:szCs w:val="16"/>
              </w:rPr>
            </w:pPr>
            <w:r w:rsidRPr="00FC5566">
              <w:rPr>
                <w:sz w:val="16"/>
                <w:szCs w:val="16"/>
              </w:rPr>
              <w:t>Section 903.2.8, Group R.</w:t>
            </w:r>
          </w:p>
        </w:tc>
        <w:tc>
          <w:tcPr>
            <w:tcW w:w="7099" w:type="dxa"/>
            <w:tcBorders>
              <w:top w:val="single" w:sz="6" w:space="0" w:color="000000"/>
              <w:left w:val="single" w:sz="6" w:space="0" w:color="000000"/>
              <w:bottom w:val="single" w:sz="6" w:space="0" w:color="000000"/>
              <w:right w:val="single" w:sz="6" w:space="0" w:color="000000"/>
            </w:tcBorders>
          </w:tcPr>
          <w:p w14:paraId="51CE89B9" w14:textId="77777777" w:rsidR="00FC5566" w:rsidRPr="00FC5566" w:rsidRDefault="00FC5566" w:rsidP="00FC5566">
            <w:pPr>
              <w:ind w:left="108"/>
              <w:rPr>
                <w:sz w:val="16"/>
                <w:szCs w:val="16"/>
              </w:rPr>
            </w:pPr>
          </w:p>
        </w:tc>
      </w:tr>
      <w:tr w:rsidR="00FC5566" w:rsidRPr="00FC5566" w14:paraId="772CDA73" w14:textId="77777777" w:rsidTr="00B247D5">
        <w:trPr>
          <w:trHeight w:val="1362"/>
        </w:trPr>
        <w:tc>
          <w:tcPr>
            <w:tcW w:w="1080" w:type="dxa"/>
            <w:tcBorders>
              <w:top w:val="single" w:sz="6" w:space="0" w:color="000000"/>
              <w:left w:val="single" w:sz="6" w:space="0" w:color="000000"/>
              <w:bottom w:val="single" w:sz="6" w:space="0" w:color="000000"/>
              <w:right w:val="single" w:sz="6" w:space="0" w:color="000000"/>
            </w:tcBorders>
          </w:tcPr>
          <w:p w14:paraId="6BC177F8" w14:textId="77777777" w:rsidR="00FC5566" w:rsidRPr="00FC5566" w:rsidRDefault="00FC5566" w:rsidP="00FC5566">
            <w:pPr>
              <w:ind w:right="5"/>
              <w:jc w:val="center"/>
              <w:rPr>
                <w:spacing w:val="-2"/>
                <w:sz w:val="16"/>
                <w:szCs w:val="16"/>
              </w:rPr>
            </w:pPr>
            <w:r w:rsidRPr="00FC5566">
              <w:rPr>
                <w:spacing w:val="-2"/>
                <w:sz w:val="16"/>
                <w:szCs w:val="16"/>
              </w:rPr>
              <w:t>Adopt</w:t>
            </w:r>
          </w:p>
        </w:tc>
        <w:tc>
          <w:tcPr>
            <w:tcW w:w="2430" w:type="dxa"/>
            <w:tcBorders>
              <w:top w:val="single" w:sz="6" w:space="0" w:color="000000"/>
              <w:left w:val="single" w:sz="6" w:space="0" w:color="000000"/>
              <w:bottom w:val="single" w:sz="6" w:space="0" w:color="000000"/>
              <w:right w:val="single" w:sz="6" w:space="0" w:color="000000"/>
            </w:tcBorders>
          </w:tcPr>
          <w:p w14:paraId="78245602" w14:textId="77777777" w:rsidR="00FC5566" w:rsidRPr="00FC5566" w:rsidRDefault="00FC5566" w:rsidP="00FC5566">
            <w:pPr>
              <w:ind w:left="71"/>
              <w:rPr>
                <w:sz w:val="16"/>
                <w:szCs w:val="16"/>
              </w:rPr>
            </w:pPr>
            <w:r w:rsidRPr="00FC5566">
              <w:rPr>
                <w:sz w:val="16"/>
                <w:szCs w:val="16"/>
              </w:rPr>
              <w:t>Exceptions</w:t>
            </w:r>
          </w:p>
        </w:tc>
        <w:tc>
          <w:tcPr>
            <w:tcW w:w="7099" w:type="dxa"/>
            <w:tcBorders>
              <w:top w:val="single" w:sz="6" w:space="0" w:color="000000"/>
              <w:left w:val="single" w:sz="6" w:space="0" w:color="000000"/>
              <w:bottom w:val="single" w:sz="6" w:space="0" w:color="000000"/>
              <w:right w:val="single" w:sz="6" w:space="0" w:color="000000"/>
            </w:tcBorders>
          </w:tcPr>
          <w:p w14:paraId="250480BE" w14:textId="77777777" w:rsidR="00FC5566" w:rsidRPr="00FC5566" w:rsidRDefault="00FC5566" w:rsidP="00FC5566">
            <w:pPr>
              <w:ind w:left="78"/>
              <w:rPr>
                <w:b/>
                <w:bCs/>
                <w:sz w:val="16"/>
                <w:szCs w:val="16"/>
              </w:rPr>
            </w:pPr>
            <w:r w:rsidRPr="00FC5566">
              <w:rPr>
                <w:b/>
                <w:bCs/>
                <w:sz w:val="16"/>
                <w:szCs w:val="16"/>
              </w:rPr>
              <w:t xml:space="preserve">Exceptions: </w:t>
            </w:r>
          </w:p>
          <w:p w14:paraId="38CBAFCC" w14:textId="77777777" w:rsidR="00FC5566" w:rsidRPr="00FC5566" w:rsidRDefault="00FC5566" w:rsidP="00FC5566">
            <w:pPr>
              <w:ind w:left="78"/>
              <w:rPr>
                <w:sz w:val="16"/>
                <w:szCs w:val="16"/>
              </w:rPr>
            </w:pPr>
            <w:r w:rsidRPr="00FC5566">
              <w:rPr>
                <w:sz w:val="16"/>
                <w:szCs w:val="16"/>
              </w:rPr>
              <w:t xml:space="preserve">1. An automatic sprinkler system is not required when not more than two dwelling or sleeping units are attached to a commercial or non-residential occupancy where all of the following conditions exist: </w:t>
            </w:r>
          </w:p>
          <w:p w14:paraId="7923F67A" w14:textId="77777777" w:rsidR="00FC5566" w:rsidRPr="00FC5566" w:rsidRDefault="00FC5566" w:rsidP="00FC5566">
            <w:pPr>
              <w:ind w:left="86" w:firstLine="2"/>
              <w:rPr>
                <w:sz w:val="16"/>
                <w:szCs w:val="16"/>
              </w:rPr>
            </w:pPr>
            <w:r w:rsidRPr="00FC5566">
              <w:rPr>
                <w:sz w:val="16"/>
                <w:szCs w:val="16"/>
              </w:rPr>
              <w:t>1.1  The dwelling or sleeping units shall be separated vertically and/or horizontally from the non- residential occupancy as well as each other by two-hour construction in accordance with Sections 707 and 711.</w:t>
            </w:r>
          </w:p>
          <w:p w14:paraId="73B3B08F" w14:textId="77777777" w:rsidR="00FC5566" w:rsidRPr="00FC5566" w:rsidRDefault="00FC5566" w:rsidP="00FC5566">
            <w:pPr>
              <w:ind w:left="86" w:firstLine="2"/>
              <w:rPr>
                <w:sz w:val="16"/>
                <w:szCs w:val="16"/>
              </w:rPr>
            </w:pPr>
            <w:r w:rsidRPr="00FC5566">
              <w:rPr>
                <w:sz w:val="16"/>
                <w:szCs w:val="16"/>
              </w:rPr>
              <w:t>1.2  Provide system smoke detection in all areas in accordance with Section 907 throughout the entire building.</w:t>
            </w:r>
          </w:p>
          <w:p w14:paraId="4F896319" w14:textId="77777777" w:rsidR="00FC5566" w:rsidRPr="00FC5566" w:rsidRDefault="00FC5566" w:rsidP="00FC5566">
            <w:pPr>
              <w:ind w:left="86" w:firstLine="2"/>
              <w:rPr>
                <w:sz w:val="16"/>
                <w:szCs w:val="16"/>
              </w:rPr>
            </w:pPr>
            <w:r w:rsidRPr="00FC5566">
              <w:rPr>
                <w:sz w:val="16"/>
                <w:szCs w:val="16"/>
              </w:rPr>
              <w:t xml:space="preserve">1.3  Egress from the dwelling or sleeping units shall not pass through the non-residential occupancy. </w:t>
            </w:r>
          </w:p>
          <w:p w14:paraId="64AB8761" w14:textId="77777777" w:rsidR="00FC5566" w:rsidRPr="00FC5566" w:rsidRDefault="00FC5566" w:rsidP="00FC5566">
            <w:pPr>
              <w:ind w:left="86" w:firstLine="2"/>
              <w:rPr>
                <w:sz w:val="16"/>
                <w:szCs w:val="16"/>
              </w:rPr>
            </w:pPr>
            <w:r w:rsidRPr="00FC5566">
              <w:rPr>
                <w:sz w:val="16"/>
                <w:szCs w:val="16"/>
              </w:rPr>
              <w:t>1.4  The building shall not exceed two stories.</w:t>
            </w:r>
          </w:p>
          <w:p w14:paraId="23757127" w14:textId="77777777" w:rsidR="00FC5566" w:rsidRPr="00FC5566" w:rsidRDefault="00FC5566" w:rsidP="00FC5566">
            <w:pPr>
              <w:ind w:left="78"/>
              <w:rPr>
                <w:sz w:val="16"/>
                <w:szCs w:val="16"/>
              </w:rPr>
            </w:pPr>
            <w:r w:rsidRPr="00FC5566">
              <w:rPr>
                <w:sz w:val="16"/>
                <w:szCs w:val="16"/>
              </w:rPr>
              <w:t>2. An automatic sprinkler system is not required in Residential Group R-3, boarding houses (transient and nontransient) as defined by Section 310, where one of the following conditions exist:</w:t>
            </w:r>
          </w:p>
          <w:p w14:paraId="6B82A1A2" w14:textId="77777777" w:rsidR="00FC5566" w:rsidRPr="00FC5566" w:rsidRDefault="00FC5566" w:rsidP="00FC5566">
            <w:pPr>
              <w:ind w:left="86" w:firstLine="2"/>
              <w:rPr>
                <w:sz w:val="16"/>
                <w:szCs w:val="16"/>
              </w:rPr>
            </w:pPr>
            <w:r w:rsidRPr="00FC5566">
              <w:rPr>
                <w:sz w:val="16"/>
                <w:szCs w:val="16"/>
              </w:rPr>
              <w:t>2.1. Every sleeping room has a door opening directly to the exterior at the street or finish grade.</w:t>
            </w:r>
          </w:p>
          <w:p w14:paraId="0D7FB419" w14:textId="77777777" w:rsidR="00FC5566" w:rsidRPr="00FC5566" w:rsidRDefault="00FC5566" w:rsidP="00FC5566">
            <w:pPr>
              <w:ind w:left="86" w:firstLine="2"/>
              <w:rPr>
                <w:sz w:val="16"/>
                <w:szCs w:val="16"/>
              </w:rPr>
            </w:pPr>
            <w:r w:rsidRPr="00FC5566">
              <w:rPr>
                <w:sz w:val="16"/>
                <w:szCs w:val="16"/>
              </w:rPr>
              <w:t>2.2. Every sleeping room has a door opening directly to the exterior which leads to an outside stair protected in accordance with Section 1027.</w:t>
            </w:r>
          </w:p>
        </w:tc>
      </w:tr>
      <w:tr w:rsidR="00FC5566" w:rsidRPr="00FC5566" w14:paraId="242DA198" w14:textId="77777777" w:rsidTr="00B247D5">
        <w:trPr>
          <w:trHeight w:val="408"/>
        </w:trPr>
        <w:tc>
          <w:tcPr>
            <w:tcW w:w="1080" w:type="dxa"/>
            <w:tcBorders>
              <w:top w:val="single" w:sz="6" w:space="0" w:color="000000"/>
              <w:left w:val="single" w:sz="6" w:space="0" w:color="000000"/>
              <w:bottom w:val="single" w:sz="6" w:space="0" w:color="000000"/>
              <w:right w:val="single" w:sz="6" w:space="0" w:color="000000"/>
            </w:tcBorders>
          </w:tcPr>
          <w:p w14:paraId="0EC576E6" w14:textId="77777777" w:rsidR="00FC5566" w:rsidRPr="00FC5566" w:rsidRDefault="00FC5566" w:rsidP="00FC5566">
            <w:pPr>
              <w:ind w:right="5"/>
              <w:jc w:val="center"/>
              <w:rPr>
                <w:spacing w:val="-2"/>
                <w:sz w:val="16"/>
                <w:szCs w:val="16"/>
              </w:rPr>
            </w:pPr>
            <w:r w:rsidRPr="00FC5566">
              <w:rPr>
                <w:spacing w:val="-2"/>
                <w:sz w:val="16"/>
                <w:szCs w:val="16"/>
              </w:rPr>
              <w:t>Adopt</w:t>
            </w:r>
          </w:p>
        </w:tc>
        <w:tc>
          <w:tcPr>
            <w:tcW w:w="2430" w:type="dxa"/>
            <w:tcBorders>
              <w:top w:val="single" w:sz="6" w:space="0" w:color="000000"/>
              <w:left w:val="single" w:sz="6" w:space="0" w:color="000000"/>
              <w:bottom w:val="single" w:sz="6" w:space="0" w:color="000000"/>
              <w:right w:val="single" w:sz="6" w:space="0" w:color="000000"/>
            </w:tcBorders>
          </w:tcPr>
          <w:p w14:paraId="486F189E" w14:textId="77777777" w:rsidR="00FC5566" w:rsidRPr="00FC5566" w:rsidRDefault="00FC5566" w:rsidP="00FC5566">
            <w:pPr>
              <w:ind w:left="71"/>
              <w:rPr>
                <w:sz w:val="16"/>
                <w:szCs w:val="16"/>
              </w:rPr>
            </w:pPr>
            <w:r w:rsidRPr="00FC5566">
              <w:rPr>
                <w:sz w:val="16"/>
                <w:szCs w:val="16"/>
              </w:rPr>
              <w:t>Section 903.2.8.4, Sprinkler Exception for Limited Group R-2 Structures in Louisiana.</w:t>
            </w:r>
          </w:p>
        </w:tc>
        <w:tc>
          <w:tcPr>
            <w:tcW w:w="7099" w:type="dxa"/>
            <w:tcBorders>
              <w:top w:val="single" w:sz="6" w:space="0" w:color="000000"/>
              <w:left w:val="single" w:sz="6" w:space="0" w:color="000000"/>
              <w:bottom w:val="single" w:sz="6" w:space="0" w:color="000000"/>
              <w:right w:val="single" w:sz="6" w:space="0" w:color="000000"/>
            </w:tcBorders>
          </w:tcPr>
          <w:p w14:paraId="69102EAD" w14:textId="77777777" w:rsidR="00FC5566" w:rsidRPr="00FC5566" w:rsidRDefault="00FC5566" w:rsidP="00FC5566">
            <w:pPr>
              <w:ind w:left="78"/>
              <w:rPr>
                <w:sz w:val="16"/>
                <w:szCs w:val="16"/>
              </w:rPr>
            </w:pPr>
            <w:r w:rsidRPr="00FC5566">
              <w:rPr>
                <w:sz w:val="16"/>
                <w:szCs w:val="16"/>
              </w:rPr>
              <w:t xml:space="preserve">Notwithstanding Sections 903.2.8 and 903.3, an automatic sprinkler system shall not be required in Group R-2 occupancies meeting all of the following conditions: </w:t>
            </w:r>
          </w:p>
          <w:p w14:paraId="2CDB956A" w14:textId="77777777" w:rsidR="00FC5566" w:rsidRPr="00FC5566" w:rsidRDefault="00FC5566" w:rsidP="00FC5566">
            <w:pPr>
              <w:ind w:left="78"/>
              <w:rPr>
                <w:sz w:val="16"/>
                <w:szCs w:val="16"/>
              </w:rPr>
            </w:pPr>
            <w:r w:rsidRPr="00FC5566">
              <w:rPr>
                <w:sz w:val="16"/>
                <w:szCs w:val="16"/>
              </w:rPr>
              <w:t>1. The structure contains not more than four dwelling units.</w:t>
            </w:r>
          </w:p>
          <w:p w14:paraId="7EFFD2EE" w14:textId="77777777" w:rsidR="00FC5566" w:rsidRPr="00FC5566" w:rsidRDefault="00FC5566" w:rsidP="00FC5566">
            <w:pPr>
              <w:ind w:left="78"/>
              <w:rPr>
                <w:sz w:val="16"/>
                <w:szCs w:val="16"/>
              </w:rPr>
            </w:pPr>
            <w:r w:rsidRPr="00FC5566">
              <w:rPr>
                <w:sz w:val="16"/>
                <w:szCs w:val="16"/>
              </w:rPr>
              <w:t>2. The building is not more than three stories above grade plane.</w:t>
            </w:r>
          </w:p>
          <w:p w14:paraId="374BE2FB" w14:textId="77777777" w:rsidR="00FC5566" w:rsidRPr="00FC5566" w:rsidRDefault="00FC5566" w:rsidP="00FC5566">
            <w:pPr>
              <w:ind w:left="78"/>
              <w:rPr>
                <w:sz w:val="16"/>
                <w:szCs w:val="16"/>
              </w:rPr>
            </w:pPr>
            <w:r w:rsidRPr="00FC5566">
              <w:rPr>
                <w:sz w:val="16"/>
                <w:szCs w:val="16"/>
              </w:rPr>
              <w:t>3. Dwelling unit separation walls and horizontal assemblies between dwelling units shall have a minimum 1-hour fire-resistance rating in accordance with Sections 420 and 708.</w:t>
            </w:r>
          </w:p>
          <w:p w14:paraId="754F8E06" w14:textId="77777777" w:rsidR="00FC5566" w:rsidRPr="00FC5566" w:rsidRDefault="00FC5566" w:rsidP="00FC5566">
            <w:pPr>
              <w:ind w:left="78"/>
              <w:rPr>
                <w:sz w:val="16"/>
                <w:szCs w:val="16"/>
              </w:rPr>
            </w:pPr>
            <w:r w:rsidRPr="00FC5566">
              <w:rPr>
                <w:sz w:val="16"/>
                <w:szCs w:val="16"/>
              </w:rPr>
              <w:t xml:space="preserve">4. An integrated fire alarm system shall be installed throughout the building in accordance with Section 907, including: </w:t>
            </w:r>
          </w:p>
          <w:p w14:paraId="08086A07" w14:textId="77777777" w:rsidR="00FC5566" w:rsidRPr="00FC5566" w:rsidRDefault="00FC5566" w:rsidP="00FC5566">
            <w:pPr>
              <w:ind w:left="86" w:firstLine="2"/>
              <w:rPr>
                <w:sz w:val="16"/>
                <w:szCs w:val="16"/>
              </w:rPr>
            </w:pPr>
            <w:r w:rsidRPr="00FC5566">
              <w:rPr>
                <w:sz w:val="16"/>
                <w:szCs w:val="16"/>
              </w:rPr>
              <w:t xml:space="preserve">4.1  Smoke detection in each dwelling unit. </w:t>
            </w:r>
          </w:p>
          <w:p w14:paraId="45D84D1C" w14:textId="77777777" w:rsidR="00FC5566" w:rsidRPr="00FC5566" w:rsidRDefault="00FC5566" w:rsidP="00FC5566">
            <w:pPr>
              <w:ind w:left="86" w:firstLine="2"/>
              <w:rPr>
                <w:sz w:val="16"/>
                <w:szCs w:val="16"/>
              </w:rPr>
            </w:pPr>
            <w:r w:rsidRPr="00FC5566">
              <w:rPr>
                <w:sz w:val="16"/>
                <w:szCs w:val="16"/>
              </w:rPr>
              <w:t xml:space="preserve">4.2  Smoke detection in common areas. </w:t>
            </w:r>
          </w:p>
          <w:p w14:paraId="1612F85A" w14:textId="77777777" w:rsidR="00FC5566" w:rsidRPr="00FC5566" w:rsidRDefault="00FC5566" w:rsidP="00FC5566">
            <w:pPr>
              <w:ind w:left="86" w:firstLine="2"/>
              <w:rPr>
                <w:sz w:val="16"/>
                <w:szCs w:val="16"/>
              </w:rPr>
            </w:pPr>
            <w:r w:rsidRPr="00FC5566">
              <w:rPr>
                <w:sz w:val="16"/>
                <w:szCs w:val="16"/>
              </w:rPr>
              <w:t xml:space="preserve">4.3  Manual pull stations at required exits. </w:t>
            </w:r>
          </w:p>
          <w:p w14:paraId="70CE4B9D" w14:textId="77777777" w:rsidR="00FC5566" w:rsidRPr="00FC5566" w:rsidRDefault="00FC5566" w:rsidP="00FC5566">
            <w:pPr>
              <w:ind w:left="86" w:firstLine="2"/>
              <w:rPr>
                <w:sz w:val="16"/>
                <w:szCs w:val="16"/>
              </w:rPr>
            </w:pPr>
            <w:r w:rsidRPr="00FC5566">
              <w:rPr>
                <w:sz w:val="16"/>
                <w:szCs w:val="16"/>
              </w:rPr>
              <w:t xml:space="preserve">4.4  Audible and visible notification appliances in accordance with NFPA 72. </w:t>
            </w:r>
          </w:p>
          <w:p w14:paraId="3537CBB5" w14:textId="77777777" w:rsidR="00FC5566" w:rsidRPr="00FC5566" w:rsidRDefault="00FC5566" w:rsidP="00FC5566">
            <w:pPr>
              <w:ind w:left="86" w:firstLine="2"/>
              <w:rPr>
                <w:sz w:val="16"/>
                <w:szCs w:val="16"/>
              </w:rPr>
            </w:pPr>
            <w:r w:rsidRPr="00FC5566">
              <w:rPr>
                <w:sz w:val="16"/>
                <w:szCs w:val="16"/>
              </w:rPr>
              <w:lastRenderedPageBreak/>
              <w:t>4.5  System monitoring by an approved supervising station.</w:t>
            </w:r>
          </w:p>
          <w:p w14:paraId="388EBA64" w14:textId="77777777" w:rsidR="00FC5566" w:rsidRPr="00FC5566" w:rsidRDefault="00FC5566" w:rsidP="00FC5566">
            <w:pPr>
              <w:ind w:left="78"/>
              <w:rPr>
                <w:sz w:val="16"/>
                <w:szCs w:val="16"/>
              </w:rPr>
            </w:pPr>
            <w:r w:rsidRPr="00FC5566">
              <w:rPr>
                <w:sz w:val="16"/>
                <w:szCs w:val="16"/>
              </w:rPr>
              <w:t>5. A portable fire extinguisher with a minimum rating of 2-A:10-B:C shall be installed within each dwelling unit and in common areas in accordance with Section 906.</w:t>
            </w:r>
          </w:p>
          <w:p w14:paraId="56916DC9" w14:textId="77777777" w:rsidR="00FC5566" w:rsidRPr="00FC5566" w:rsidRDefault="00FC5566" w:rsidP="00FC5566">
            <w:pPr>
              <w:ind w:left="78"/>
              <w:rPr>
                <w:sz w:val="16"/>
                <w:szCs w:val="16"/>
              </w:rPr>
            </w:pPr>
            <w:r w:rsidRPr="00FC5566">
              <w:rPr>
                <w:sz w:val="16"/>
                <w:szCs w:val="16"/>
              </w:rPr>
              <w:t>6. The building shall not contain mixed occupancies other than accessory occupancies permitted under Section 508.2.</w:t>
            </w:r>
          </w:p>
        </w:tc>
      </w:tr>
      <w:tr w:rsidR="00FC5566" w:rsidRPr="00FC5566" w14:paraId="38A892F2" w14:textId="77777777" w:rsidTr="00B247D5">
        <w:trPr>
          <w:trHeight w:val="360"/>
        </w:trPr>
        <w:tc>
          <w:tcPr>
            <w:tcW w:w="1080" w:type="dxa"/>
            <w:tcBorders>
              <w:top w:val="single" w:sz="6" w:space="0" w:color="000000"/>
              <w:left w:val="single" w:sz="6" w:space="0" w:color="000000"/>
              <w:bottom w:val="single" w:sz="6" w:space="0" w:color="000000"/>
              <w:right w:val="single" w:sz="6" w:space="0" w:color="000000"/>
            </w:tcBorders>
          </w:tcPr>
          <w:p w14:paraId="059D1B70" w14:textId="77777777" w:rsidR="00FC5566" w:rsidRPr="00FC5566" w:rsidRDefault="00FC5566" w:rsidP="00FC5566">
            <w:pPr>
              <w:ind w:right="5"/>
              <w:jc w:val="center"/>
              <w:rPr>
                <w:spacing w:val="-2"/>
                <w:sz w:val="16"/>
                <w:szCs w:val="16"/>
              </w:rPr>
            </w:pPr>
            <w:r w:rsidRPr="00FC5566">
              <w:rPr>
                <w:spacing w:val="-2"/>
                <w:sz w:val="16"/>
                <w:szCs w:val="16"/>
              </w:rPr>
              <w:lastRenderedPageBreak/>
              <w:t>Amend</w:t>
            </w:r>
          </w:p>
        </w:tc>
        <w:tc>
          <w:tcPr>
            <w:tcW w:w="2430" w:type="dxa"/>
            <w:tcBorders>
              <w:top w:val="single" w:sz="6" w:space="0" w:color="000000"/>
              <w:left w:val="single" w:sz="6" w:space="0" w:color="000000"/>
              <w:bottom w:val="single" w:sz="6" w:space="0" w:color="000000"/>
              <w:right w:val="single" w:sz="6" w:space="0" w:color="000000"/>
            </w:tcBorders>
          </w:tcPr>
          <w:p w14:paraId="77325BA5" w14:textId="77777777" w:rsidR="00FC5566" w:rsidRPr="00FC5566" w:rsidRDefault="00FC5566" w:rsidP="00FC5566">
            <w:pPr>
              <w:ind w:left="71"/>
              <w:rPr>
                <w:sz w:val="16"/>
                <w:szCs w:val="16"/>
              </w:rPr>
            </w:pPr>
            <w:r w:rsidRPr="00FC5566">
              <w:rPr>
                <w:sz w:val="16"/>
                <w:szCs w:val="16"/>
              </w:rPr>
              <w:t>Section 903.2.9.4, Group S-1.</w:t>
            </w:r>
          </w:p>
        </w:tc>
        <w:tc>
          <w:tcPr>
            <w:tcW w:w="7099" w:type="dxa"/>
            <w:tcBorders>
              <w:top w:val="single" w:sz="6" w:space="0" w:color="000000"/>
              <w:left w:val="single" w:sz="6" w:space="0" w:color="000000"/>
              <w:bottom w:val="single" w:sz="6" w:space="0" w:color="000000"/>
              <w:right w:val="single" w:sz="6" w:space="0" w:color="000000"/>
            </w:tcBorders>
          </w:tcPr>
          <w:p w14:paraId="61F2BF7A" w14:textId="77777777" w:rsidR="00FC5566" w:rsidRPr="00FC5566" w:rsidRDefault="00FC5566" w:rsidP="00FC5566">
            <w:pPr>
              <w:ind w:left="78"/>
              <w:rPr>
                <w:sz w:val="16"/>
                <w:szCs w:val="16"/>
              </w:rPr>
            </w:pPr>
          </w:p>
        </w:tc>
      </w:tr>
      <w:tr w:rsidR="00FC5566" w:rsidRPr="00FC5566" w14:paraId="04B75012"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361A2FC5"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25A77AF3" w14:textId="77777777" w:rsidR="00FC5566" w:rsidRPr="00FC5566" w:rsidRDefault="00FC5566" w:rsidP="00FC5566">
            <w:pPr>
              <w:ind w:left="71"/>
              <w:rPr>
                <w:sz w:val="16"/>
                <w:szCs w:val="16"/>
              </w:rPr>
            </w:pPr>
            <w:r w:rsidRPr="00FC5566">
              <w:rPr>
                <w:sz w:val="16"/>
                <w:szCs w:val="16"/>
              </w:rPr>
              <w:t>Exception</w:t>
            </w:r>
          </w:p>
        </w:tc>
        <w:tc>
          <w:tcPr>
            <w:tcW w:w="7099" w:type="dxa"/>
            <w:tcBorders>
              <w:top w:val="single" w:sz="6" w:space="0" w:color="000000"/>
              <w:left w:val="single" w:sz="6" w:space="0" w:color="000000"/>
              <w:bottom w:val="single" w:sz="6" w:space="0" w:color="000000"/>
              <w:right w:val="single" w:sz="6" w:space="0" w:color="000000"/>
            </w:tcBorders>
          </w:tcPr>
          <w:p w14:paraId="252482B6" w14:textId="77777777" w:rsidR="00FC5566" w:rsidRPr="00FC5566" w:rsidRDefault="00FC5566" w:rsidP="00FC5566">
            <w:pPr>
              <w:ind w:left="78"/>
              <w:rPr>
                <w:sz w:val="16"/>
                <w:szCs w:val="16"/>
              </w:rPr>
            </w:pPr>
          </w:p>
        </w:tc>
      </w:tr>
      <w:tr w:rsidR="00FC5566" w:rsidRPr="00FC5566" w14:paraId="05674604" w14:textId="77777777" w:rsidTr="00B247D5">
        <w:trPr>
          <w:trHeight w:val="345"/>
        </w:trPr>
        <w:tc>
          <w:tcPr>
            <w:tcW w:w="1080" w:type="dxa"/>
            <w:tcBorders>
              <w:top w:val="single" w:sz="6" w:space="0" w:color="000000"/>
              <w:left w:val="single" w:sz="6" w:space="0" w:color="000000"/>
              <w:bottom w:val="single" w:sz="6" w:space="0" w:color="000000"/>
              <w:right w:val="single" w:sz="6" w:space="0" w:color="000000"/>
            </w:tcBorders>
          </w:tcPr>
          <w:p w14:paraId="07876EC0"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71B075AB" w14:textId="77777777" w:rsidR="00FC5566" w:rsidRPr="00FC5566" w:rsidRDefault="00FC5566" w:rsidP="00FC5566">
            <w:pPr>
              <w:ind w:left="71"/>
              <w:rPr>
                <w:sz w:val="16"/>
                <w:szCs w:val="16"/>
              </w:rPr>
            </w:pPr>
            <w:r w:rsidRPr="00FC5566">
              <w:rPr>
                <w:sz w:val="16"/>
                <w:szCs w:val="16"/>
              </w:rPr>
              <w:t>Item (1.)</w:t>
            </w:r>
          </w:p>
        </w:tc>
        <w:tc>
          <w:tcPr>
            <w:tcW w:w="7099" w:type="dxa"/>
            <w:tcBorders>
              <w:top w:val="single" w:sz="6" w:space="0" w:color="000000"/>
              <w:left w:val="single" w:sz="6" w:space="0" w:color="000000"/>
              <w:bottom w:val="single" w:sz="6" w:space="0" w:color="000000"/>
              <w:right w:val="single" w:sz="6" w:space="0" w:color="000000"/>
            </w:tcBorders>
          </w:tcPr>
          <w:p w14:paraId="199F0A9F" w14:textId="77777777" w:rsidR="00FC5566" w:rsidRPr="00FC5566" w:rsidRDefault="00FC5566" w:rsidP="00FC5566">
            <w:pPr>
              <w:ind w:left="78"/>
              <w:rPr>
                <w:sz w:val="16"/>
                <w:szCs w:val="16"/>
              </w:rPr>
            </w:pPr>
            <w:r w:rsidRPr="00FC5566">
              <w:rPr>
                <w:sz w:val="16"/>
                <w:szCs w:val="16"/>
              </w:rPr>
              <w:t>1. Self-service storage facilities not greater than one story above grade plane where all storage spaces can be accessed directly from the exterior.</w:t>
            </w:r>
          </w:p>
        </w:tc>
      </w:tr>
      <w:tr w:rsidR="00FC5566" w:rsidRPr="00FC5566" w14:paraId="3E004A8D" w14:textId="77777777" w:rsidTr="00B247D5">
        <w:trPr>
          <w:trHeight w:val="561"/>
        </w:trPr>
        <w:tc>
          <w:tcPr>
            <w:tcW w:w="1080" w:type="dxa"/>
            <w:tcBorders>
              <w:top w:val="single" w:sz="6" w:space="0" w:color="000000"/>
              <w:left w:val="single" w:sz="6" w:space="0" w:color="000000"/>
              <w:bottom w:val="single" w:sz="6" w:space="0" w:color="000000"/>
              <w:right w:val="single" w:sz="6" w:space="0" w:color="000000"/>
            </w:tcBorders>
          </w:tcPr>
          <w:p w14:paraId="65F5A92B" w14:textId="77777777" w:rsidR="00FC5566" w:rsidRPr="00FC5566" w:rsidRDefault="00FC5566" w:rsidP="00FC5566">
            <w:pPr>
              <w:ind w:right="5"/>
              <w:jc w:val="center"/>
              <w:rPr>
                <w:spacing w:val="-2"/>
                <w:sz w:val="16"/>
                <w:szCs w:val="16"/>
              </w:rPr>
            </w:pPr>
            <w:r w:rsidRPr="00FC5566">
              <w:rPr>
                <w:spacing w:val="-2"/>
                <w:sz w:val="16"/>
                <w:szCs w:val="16"/>
              </w:rPr>
              <w:t>Adopt</w:t>
            </w:r>
          </w:p>
        </w:tc>
        <w:tc>
          <w:tcPr>
            <w:tcW w:w="2430" w:type="dxa"/>
            <w:tcBorders>
              <w:top w:val="single" w:sz="6" w:space="0" w:color="000000"/>
              <w:left w:val="single" w:sz="6" w:space="0" w:color="000000"/>
              <w:bottom w:val="single" w:sz="6" w:space="0" w:color="000000"/>
              <w:right w:val="single" w:sz="6" w:space="0" w:color="000000"/>
            </w:tcBorders>
          </w:tcPr>
          <w:p w14:paraId="1C67CCC9" w14:textId="77777777" w:rsidR="00FC5566" w:rsidRPr="00FC5566" w:rsidRDefault="00FC5566" w:rsidP="00FC5566">
            <w:pPr>
              <w:ind w:left="71"/>
              <w:rPr>
                <w:sz w:val="16"/>
                <w:szCs w:val="16"/>
              </w:rPr>
            </w:pPr>
            <w:r w:rsidRPr="00FC5566">
              <w:rPr>
                <w:sz w:val="16"/>
                <w:szCs w:val="16"/>
              </w:rPr>
              <w:t>Item (2.)</w:t>
            </w:r>
          </w:p>
        </w:tc>
        <w:tc>
          <w:tcPr>
            <w:tcW w:w="7099" w:type="dxa"/>
            <w:tcBorders>
              <w:top w:val="single" w:sz="6" w:space="0" w:color="000000"/>
              <w:left w:val="single" w:sz="6" w:space="0" w:color="000000"/>
              <w:bottom w:val="single" w:sz="6" w:space="0" w:color="000000"/>
              <w:right w:val="single" w:sz="6" w:space="0" w:color="000000"/>
            </w:tcBorders>
          </w:tcPr>
          <w:p w14:paraId="5527FFA7" w14:textId="77777777" w:rsidR="00FC5566" w:rsidRPr="00FC5566" w:rsidRDefault="00FC5566" w:rsidP="00FC5566">
            <w:pPr>
              <w:ind w:left="78"/>
              <w:rPr>
                <w:sz w:val="16"/>
                <w:szCs w:val="16"/>
              </w:rPr>
            </w:pPr>
            <w:r w:rsidRPr="00FC5566">
              <w:rPr>
                <w:sz w:val="16"/>
                <w:szCs w:val="16"/>
              </w:rPr>
              <w:t>2. The requirement of Section 903.2.9.4 shall not apply to mini-storage facilities less than 12,000 sf.</w:t>
            </w:r>
          </w:p>
          <w:p w14:paraId="7A879231" w14:textId="77777777" w:rsidR="00FC5566" w:rsidRPr="00FC5566" w:rsidRDefault="00FC5566" w:rsidP="00FC5566">
            <w:pPr>
              <w:ind w:left="78"/>
              <w:rPr>
                <w:sz w:val="16"/>
                <w:szCs w:val="16"/>
              </w:rPr>
            </w:pPr>
            <w:r w:rsidRPr="00FC5566">
              <w:rPr>
                <w:sz w:val="16"/>
                <w:szCs w:val="16"/>
              </w:rPr>
              <w:t>Mini-storage facilities, including mini-storage facilities which are climate-controlled, shall comply with 903.2.9(1) thru 903.2.9(5).</w:t>
            </w:r>
          </w:p>
        </w:tc>
      </w:tr>
      <w:tr w:rsidR="00FC5566" w:rsidRPr="00FC5566" w14:paraId="2AA4066D"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2C38DAAA"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1C2984A0" w14:textId="77777777" w:rsidR="00FC5566" w:rsidRPr="00FC5566" w:rsidRDefault="00FC5566" w:rsidP="00FC5566">
            <w:pPr>
              <w:ind w:left="71"/>
              <w:rPr>
                <w:sz w:val="16"/>
                <w:szCs w:val="16"/>
              </w:rPr>
            </w:pPr>
            <w:r w:rsidRPr="00FC5566">
              <w:rPr>
                <w:sz w:val="16"/>
                <w:szCs w:val="16"/>
              </w:rPr>
              <w:t>Section 904.14.1, Manual System Operation.</w:t>
            </w:r>
          </w:p>
        </w:tc>
        <w:tc>
          <w:tcPr>
            <w:tcW w:w="7099" w:type="dxa"/>
            <w:tcBorders>
              <w:top w:val="single" w:sz="6" w:space="0" w:color="000000"/>
              <w:left w:val="single" w:sz="6" w:space="0" w:color="000000"/>
              <w:bottom w:val="single" w:sz="6" w:space="0" w:color="000000"/>
              <w:right w:val="single" w:sz="6" w:space="0" w:color="000000"/>
            </w:tcBorders>
          </w:tcPr>
          <w:p w14:paraId="7FD1B1EE" w14:textId="77777777" w:rsidR="00FC5566" w:rsidRPr="00FC5566" w:rsidRDefault="00FC5566" w:rsidP="00FC5566">
            <w:pPr>
              <w:ind w:left="78"/>
              <w:rPr>
                <w:sz w:val="16"/>
                <w:szCs w:val="16"/>
              </w:rPr>
            </w:pPr>
          </w:p>
        </w:tc>
      </w:tr>
      <w:tr w:rsidR="00FC5566" w:rsidRPr="00FC5566" w14:paraId="3CE261EC" w14:textId="77777777" w:rsidTr="00B247D5">
        <w:trPr>
          <w:trHeight w:val="255"/>
        </w:trPr>
        <w:tc>
          <w:tcPr>
            <w:tcW w:w="1080" w:type="dxa"/>
            <w:tcBorders>
              <w:top w:val="single" w:sz="6" w:space="0" w:color="000000"/>
              <w:left w:val="single" w:sz="6" w:space="0" w:color="000000"/>
              <w:bottom w:val="single" w:sz="6" w:space="0" w:color="000000"/>
              <w:right w:val="single" w:sz="6" w:space="0" w:color="000000"/>
            </w:tcBorders>
          </w:tcPr>
          <w:p w14:paraId="71974CF3"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546FFFCF" w14:textId="77777777" w:rsidR="00FC5566" w:rsidRPr="00FC5566" w:rsidRDefault="00FC5566" w:rsidP="00FC5566">
            <w:pPr>
              <w:ind w:left="71"/>
              <w:rPr>
                <w:sz w:val="16"/>
                <w:szCs w:val="16"/>
              </w:rPr>
            </w:pPr>
            <w:r w:rsidRPr="00FC5566">
              <w:rPr>
                <w:sz w:val="16"/>
                <w:szCs w:val="16"/>
              </w:rPr>
              <w:t>Exceptions</w:t>
            </w:r>
          </w:p>
        </w:tc>
        <w:tc>
          <w:tcPr>
            <w:tcW w:w="7099" w:type="dxa"/>
            <w:tcBorders>
              <w:top w:val="single" w:sz="6" w:space="0" w:color="000000"/>
              <w:left w:val="single" w:sz="6" w:space="0" w:color="000000"/>
              <w:bottom w:val="single" w:sz="6" w:space="0" w:color="000000"/>
              <w:right w:val="single" w:sz="6" w:space="0" w:color="000000"/>
            </w:tcBorders>
          </w:tcPr>
          <w:p w14:paraId="67B59A03" w14:textId="77777777" w:rsidR="00FC5566" w:rsidRPr="00FC5566" w:rsidRDefault="00FC5566" w:rsidP="00FC5566">
            <w:pPr>
              <w:ind w:left="78"/>
              <w:rPr>
                <w:sz w:val="16"/>
                <w:szCs w:val="16"/>
              </w:rPr>
            </w:pPr>
          </w:p>
        </w:tc>
      </w:tr>
      <w:tr w:rsidR="00FC5566" w:rsidRPr="00FC5566" w14:paraId="18845267"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53D365BD" w14:textId="77777777" w:rsidR="00FC5566" w:rsidRPr="00FC5566" w:rsidRDefault="00FC5566" w:rsidP="00FC5566">
            <w:pPr>
              <w:ind w:right="5"/>
              <w:jc w:val="center"/>
              <w:rPr>
                <w:spacing w:val="-2"/>
                <w:sz w:val="16"/>
                <w:szCs w:val="16"/>
              </w:rPr>
            </w:pPr>
            <w:r w:rsidRPr="00FC5566">
              <w:rPr>
                <w:spacing w:val="-2"/>
                <w:sz w:val="16"/>
                <w:szCs w:val="16"/>
              </w:rPr>
              <w:t>Repeal</w:t>
            </w:r>
          </w:p>
        </w:tc>
        <w:tc>
          <w:tcPr>
            <w:tcW w:w="2430" w:type="dxa"/>
            <w:tcBorders>
              <w:top w:val="single" w:sz="6" w:space="0" w:color="000000"/>
              <w:left w:val="single" w:sz="6" w:space="0" w:color="000000"/>
              <w:bottom w:val="single" w:sz="6" w:space="0" w:color="000000"/>
              <w:right w:val="single" w:sz="6" w:space="0" w:color="000000"/>
            </w:tcBorders>
          </w:tcPr>
          <w:p w14:paraId="6FF2D6AE" w14:textId="77777777" w:rsidR="00FC5566" w:rsidRPr="00FC5566" w:rsidRDefault="00FC5566" w:rsidP="00FC5566">
            <w:pPr>
              <w:ind w:left="71"/>
              <w:rPr>
                <w:sz w:val="16"/>
                <w:szCs w:val="16"/>
              </w:rPr>
            </w:pPr>
            <w:r w:rsidRPr="00FC5566">
              <w:rPr>
                <w:sz w:val="16"/>
                <w:szCs w:val="16"/>
              </w:rPr>
              <w:t>Item (3.)</w:t>
            </w:r>
          </w:p>
        </w:tc>
        <w:tc>
          <w:tcPr>
            <w:tcW w:w="7099" w:type="dxa"/>
            <w:tcBorders>
              <w:top w:val="single" w:sz="6" w:space="0" w:color="000000"/>
              <w:left w:val="single" w:sz="6" w:space="0" w:color="000000"/>
              <w:bottom w:val="single" w:sz="6" w:space="0" w:color="000000"/>
              <w:right w:val="single" w:sz="6" w:space="0" w:color="000000"/>
            </w:tcBorders>
          </w:tcPr>
          <w:p w14:paraId="5222B4F1" w14:textId="77777777" w:rsidR="00FC5566" w:rsidRPr="00FC5566" w:rsidRDefault="00FC5566" w:rsidP="00FC5566">
            <w:pPr>
              <w:ind w:left="78"/>
              <w:rPr>
                <w:sz w:val="16"/>
                <w:szCs w:val="16"/>
              </w:rPr>
            </w:pPr>
            <w:r w:rsidRPr="00FC5566">
              <w:rPr>
                <w:sz w:val="16"/>
                <w:szCs w:val="16"/>
              </w:rPr>
              <w:t>3. Mobile food preparation vehicles in accordance with Section 319</w:t>
            </w:r>
          </w:p>
        </w:tc>
      </w:tr>
      <w:tr w:rsidR="00FC5566" w:rsidRPr="00FC5566" w14:paraId="4843330F"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2759EC85"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3FD37F83" w14:textId="77777777" w:rsidR="00FC5566" w:rsidRPr="00FC5566" w:rsidRDefault="00FC5566" w:rsidP="00FC5566">
            <w:pPr>
              <w:ind w:left="71"/>
              <w:rPr>
                <w:sz w:val="16"/>
                <w:szCs w:val="16"/>
              </w:rPr>
            </w:pPr>
            <w:r w:rsidRPr="00FC5566">
              <w:rPr>
                <w:sz w:val="16"/>
                <w:szCs w:val="16"/>
              </w:rPr>
              <w:t>Section heading (Section 907.2.1.1)</w:t>
            </w:r>
          </w:p>
        </w:tc>
        <w:tc>
          <w:tcPr>
            <w:tcW w:w="7099" w:type="dxa"/>
            <w:tcBorders>
              <w:top w:val="single" w:sz="6" w:space="0" w:color="000000"/>
              <w:left w:val="single" w:sz="6" w:space="0" w:color="000000"/>
              <w:bottom w:val="single" w:sz="6" w:space="0" w:color="000000"/>
              <w:right w:val="single" w:sz="6" w:space="0" w:color="000000"/>
            </w:tcBorders>
          </w:tcPr>
          <w:p w14:paraId="2FCF8C39" w14:textId="77777777" w:rsidR="00FC5566" w:rsidRPr="00FC5566" w:rsidRDefault="00FC5566" w:rsidP="00FC5566">
            <w:pPr>
              <w:ind w:left="78"/>
              <w:rPr>
                <w:sz w:val="16"/>
                <w:szCs w:val="16"/>
              </w:rPr>
            </w:pPr>
            <w:r w:rsidRPr="00FC5566">
              <w:rPr>
                <w:sz w:val="16"/>
                <w:szCs w:val="16"/>
              </w:rPr>
              <w:t>System initiation in Group A occupancies with an occupant load of 300 or more.</w:t>
            </w:r>
          </w:p>
        </w:tc>
      </w:tr>
      <w:tr w:rsidR="00FC5566" w:rsidRPr="00FC5566" w14:paraId="2A467B75" w14:textId="77777777" w:rsidTr="00B247D5">
        <w:trPr>
          <w:trHeight w:val="498"/>
        </w:trPr>
        <w:tc>
          <w:tcPr>
            <w:tcW w:w="1080" w:type="dxa"/>
            <w:tcBorders>
              <w:top w:val="single" w:sz="6" w:space="0" w:color="000000"/>
              <w:left w:val="single" w:sz="6" w:space="0" w:color="000000"/>
              <w:bottom w:val="single" w:sz="6" w:space="0" w:color="000000"/>
              <w:right w:val="single" w:sz="6" w:space="0" w:color="000000"/>
            </w:tcBorders>
          </w:tcPr>
          <w:p w14:paraId="550AA3CF"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143B227B" w14:textId="77777777" w:rsidR="00FC5566" w:rsidRPr="00FC5566" w:rsidRDefault="00FC5566" w:rsidP="00FC5566">
            <w:pPr>
              <w:ind w:left="71"/>
              <w:rPr>
                <w:sz w:val="16"/>
                <w:szCs w:val="16"/>
              </w:rPr>
            </w:pPr>
            <w:r w:rsidRPr="00FC5566">
              <w:rPr>
                <w:sz w:val="16"/>
                <w:szCs w:val="16"/>
              </w:rPr>
              <w:t>Section 907.2.1.1, System Initiation in Group A Occupancies With an Occupant Load of 300 or More.</w:t>
            </w:r>
          </w:p>
        </w:tc>
        <w:tc>
          <w:tcPr>
            <w:tcW w:w="7099" w:type="dxa"/>
            <w:tcBorders>
              <w:top w:val="single" w:sz="6" w:space="0" w:color="000000"/>
              <w:left w:val="single" w:sz="6" w:space="0" w:color="000000"/>
              <w:bottom w:val="single" w:sz="6" w:space="0" w:color="000000"/>
              <w:right w:val="single" w:sz="6" w:space="0" w:color="000000"/>
            </w:tcBorders>
          </w:tcPr>
          <w:p w14:paraId="3BA679D6" w14:textId="77777777" w:rsidR="00FC5566" w:rsidRPr="00FC5566" w:rsidRDefault="00FC5566" w:rsidP="00FC5566">
            <w:pPr>
              <w:ind w:left="78"/>
              <w:rPr>
                <w:sz w:val="16"/>
                <w:szCs w:val="16"/>
              </w:rPr>
            </w:pPr>
            <w:r w:rsidRPr="00FC5566">
              <w:rPr>
                <w:sz w:val="16"/>
                <w:szCs w:val="16"/>
              </w:rPr>
              <w:t>Activation of the fire alarm in Group A occupancies with an </w:t>
            </w:r>
            <w:r w:rsidRPr="00FC5566">
              <w:rPr>
                <w:i/>
                <w:iCs/>
                <w:sz w:val="16"/>
                <w:szCs w:val="16"/>
              </w:rPr>
              <w:t>occupant load</w:t>
            </w:r>
            <w:r w:rsidRPr="00FC5566">
              <w:rPr>
                <w:sz w:val="16"/>
                <w:szCs w:val="16"/>
              </w:rPr>
              <w:t> of 300 or more shall initiate a signal using an </w:t>
            </w:r>
            <w:r w:rsidRPr="00FC5566">
              <w:rPr>
                <w:i/>
                <w:iCs/>
                <w:sz w:val="16"/>
                <w:szCs w:val="16"/>
              </w:rPr>
              <w:t>emergency voice/alarm communications</w:t>
            </w:r>
            <w:r w:rsidRPr="00FC5566">
              <w:rPr>
                <w:sz w:val="16"/>
                <w:szCs w:val="16"/>
              </w:rPr>
              <w:t> system in accordance with </w:t>
            </w:r>
            <w:r w:rsidRPr="00FC5566">
              <w:rPr>
                <w:color w:val="000000"/>
                <w:sz w:val="16"/>
                <w:szCs w:val="16"/>
              </w:rPr>
              <w:t>Section 907.5.2.2</w:t>
            </w:r>
            <w:r w:rsidRPr="00FC5566">
              <w:rPr>
                <w:sz w:val="16"/>
                <w:szCs w:val="16"/>
              </w:rPr>
              <w:t>.</w:t>
            </w:r>
          </w:p>
          <w:p w14:paraId="7C9CE692" w14:textId="77777777" w:rsidR="00FC5566" w:rsidRPr="00FC5566" w:rsidRDefault="00FC5566" w:rsidP="00FC5566">
            <w:pPr>
              <w:ind w:left="78"/>
              <w:rPr>
                <w:sz w:val="16"/>
                <w:szCs w:val="16"/>
              </w:rPr>
            </w:pPr>
          </w:p>
        </w:tc>
      </w:tr>
      <w:tr w:rsidR="00FC5566" w:rsidRPr="00FC5566" w14:paraId="105E93B0"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6CFAFA43"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735FD678" w14:textId="77777777" w:rsidR="00FC5566" w:rsidRPr="00FC5566" w:rsidRDefault="00FC5566" w:rsidP="00FC5566">
            <w:pPr>
              <w:ind w:left="71"/>
              <w:rPr>
                <w:sz w:val="16"/>
                <w:szCs w:val="16"/>
              </w:rPr>
            </w:pPr>
            <w:r w:rsidRPr="00FC5566">
              <w:rPr>
                <w:sz w:val="16"/>
                <w:szCs w:val="16"/>
              </w:rPr>
              <w:t>Section 907.2.3, Group E.</w:t>
            </w:r>
          </w:p>
        </w:tc>
        <w:tc>
          <w:tcPr>
            <w:tcW w:w="7099" w:type="dxa"/>
            <w:tcBorders>
              <w:top w:val="single" w:sz="6" w:space="0" w:color="000000"/>
              <w:left w:val="single" w:sz="6" w:space="0" w:color="000000"/>
              <w:bottom w:val="single" w:sz="6" w:space="0" w:color="000000"/>
              <w:right w:val="single" w:sz="6" w:space="0" w:color="000000"/>
            </w:tcBorders>
          </w:tcPr>
          <w:p w14:paraId="3EB3BCCB" w14:textId="77777777" w:rsidR="00FC5566" w:rsidRPr="00FC5566" w:rsidRDefault="00FC5566" w:rsidP="00FC5566">
            <w:pPr>
              <w:ind w:left="78"/>
              <w:rPr>
                <w:sz w:val="16"/>
                <w:szCs w:val="16"/>
              </w:rPr>
            </w:pPr>
          </w:p>
        </w:tc>
      </w:tr>
      <w:tr w:rsidR="00FC5566" w:rsidRPr="00FC5566" w14:paraId="5174127D" w14:textId="77777777" w:rsidTr="00B247D5">
        <w:trPr>
          <w:trHeight w:val="246"/>
        </w:trPr>
        <w:tc>
          <w:tcPr>
            <w:tcW w:w="1080" w:type="dxa"/>
            <w:tcBorders>
              <w:top w:val="single" w:sz="6" w:space="0" w:color="000000"/>
              <w:left w:val="single" w:sz="6" w:space="0" w:color="000000"/>
              <w:bottom w:val="single" w:sz="6" w:space="0" w:color="000000"/>
              <w:right w:val="single" w:sz="6" w:space="0" w:color="000000"/>
            </w:tcBorders>
          </w:tcPr>
          <w:p w14:paraId="1754758C"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1E2E2E97" w14:textId="77777777" w:rsidR="00FC5566" w:rsidRPr="00FC5566" w:rsidRDefault="00FC5566" w:rsidP="00FC5566">
            <w:pPr>
              <w:ind w:left="71"/>
              <w:rPr>
                <w:sz w:val="16"/>
                <w:szCs w:val="16"/>
              </w:rPr>
            </w:pPr>
            <w:r w:rsidRPr="00FC5566">
              <w:rPr>
                <w:sz w:val="16"/>
                <w:szCs w:val="16"/>
              </w:rPr>
              <w:t>Exceptions</w:t>
            </w:r>
          </w:p>
        </w:tc>
        <w:tc>
          <w:tcPr>
            <w:tcW w:w="7099" w:type="dxa"/>
            <w:tcBorders>
              <w:top w:val="single" w:sz="6" w:space="0" w:color="000000"/>
              <w:left w:val="single" w:sz="6" w:space="0" w:color="000000"/>
              <w:bottom w:val="single" w:sz="6" w:space="0" w:color="000000"/>
              <w:right w:val="single" w:sz="6" w:space="0" w:color="000000"/>
            </w:tcBorders>
          </w:tcPr>
          <w:p w14:paraId="6CBE0934" w14:textId="77777777" w:rsidR="00FC5566" w:rsidRPr="00FC5566" w:rsidRDefault="00FC5566" w:rsidP="00FC5566">
            <w:pPr>
              <w:ind w:left="78"/>
              <w:rPr>
                <w:sz w:val="16"/>
                <w:szCs w:val="16"/>
              </w:rPr>
            </w:pPr>
          </w:p>
        </w:tc>
      </w:tr>
      <w:tr w:rsidR="00FC5566" w:rsidRPr="00FC5566" w14:paraId="27BBD3C1" w14:textId="77777777" w:rsidTr="00B247D5">
        <w:trPr>
          <w:trHeight w:val="561"/>
        </w:trPr>
        <w:tc>
          <w:tcPr>
            <w:tcW w:w="1080" w:type="dxa"/>
            <w:tcBorders>
              <w:top w:val="single" w:sz="6" w:space="0" w:color="000000"/>
              <w:left w:val="single" w:sz="6" w:space="0" w:color="000000"/>
              <w:bottom w:val="single" w:sz="6" w:space="0" w:color="000000"/>
              <w:right w:val="single" w:sz="6" w:space="0" w:color="000000"/>
            </w:tcBorders>
          </w:tcPr>
          <w:p w14:paraId="6CF63653"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3C8F0417" w14:textId="77777777" w:rsidR="00FC5566" w:rsidRPr="00FC5566" w:rsidRDefault="00FC5566" w:rsidP="00FC5566">
            <w:pPr>
              <w:ind w:left="71"/>
              <w:rPr>
                <w:sz w:val="16"/>
                <w:szCs w:val="16"/>
              </w:rPr>
            </w:pPr>
            <w:r w:rsidRPr="00FC5566">
              <w:rPr>
                <w:sz w:val="16"/>
                <w:szCs w:val="16"/>
              </w:rPr>
              <w:t>Item (1.)</w:t>
            </w:r>
          </w:p>
        </w:tc>
        <w:tc>
          <w:tcPr>
            <w:tcW w:w="7099" w:type="dxa"/>
            <w:tcBorders>
              <w:top w:val="single" w:sz="6" w:space="0" w:color="000000"/>
              <w:left w:val="single" w:sz="6" w:space="0" w:color="000000"/>
              <w:bottom w:val="single" w:sz="6" w:space="0" w:color="000000"/>
              <w:right w:val="single" w:sz="6" w:space="0" w:color="000000"/>
            </w:tcBorders>
          </w:tcPr>
          <w:p w14:paraId="559CBC99" w14:textId="77777777" w:rsidR="00FC5566" w:rsidRPr="00FC5566" w:rsidRDefault="00FC5566" w:rsidP="00FC5566">
            <w:pPr>
              <w:ind w:left="78"/>
              <w:rPr>
                <w:sz w:val="16"/>
                <w:szCs w:val="16"/>
              </w:rPr>
            </w:pPr>
            <w:r w:rsidRPr="00FC5566">
              <w:rPr>
                <w:sz w:val="16"/>
                <w:szCs w:val="16"/>
              </w:rPr>
              <w:t xml:space="preserve">1. A manual fire alarm system shall not be required in Group E occupancies where all the following apply: </w:t>
            </w:r>
          </w:p>
          <w:p w14:paraId="78FC160A" w14:textId="77777777" w:rsidR="00FC5566" w:rsidRPr="00FC5566" w:rsidRDefault="00FC5566" w:rsidP="00FC5566">
            <w:pPr>
              <w:ind w:left="86"/>
              <w:rPr>
                <w:sz w:val="16"/>
                <w:szCs w:val="16"/>
              </w:rPr>
            </w:pPr>
            <w:r w:rsidRPr="00FC5566">
              <w:rPr>
                <w:sz w:val="16"/>
                <w:szCs w:val="16"/>
              </w:rPr>
              <w:t xml:space="preserve">1.1 Has an occupant load of 50 or less.  </w:t>
            </w:r>
          </w:p>
          <w:p w14:paraId="79E68360" w14:textId="77777777" w:rsidR="00FC5566" w:rsidRPr="00FC5566" w:rsidRDefault="00FC5566" w:rsidP="00FC5566">
            <w:pPr>
              <w:ind w:left="86"/>
              <w:rPr>
                <w:sz w:val="16"/>
                <w:szCs w:val="16"/>
              </w:rPr>
            </w:pPr>
            <w:r w:rsidRPr="00FC5566">
              <w:rPr>
                <w:sz w:val="16"/>
                <w:szCs w:val="16"/>
              </w:rPr>
              <w:t xml:space="preserve">1.2 Buildings containing a single classroom. </w:t>
            </w:r>
          </w:p>
          <w:p w14:paraId="1B4B02EC" w14:textId="77777777" w:rsidR="00FC5566" w:rsidRPr="00FC5566" w:rsidRDefault="00FC5566" w:rsidP="00FC5566">
            <w:pPr>
              <w:ind w:left="86"/>
              <w:rPr>
                <w:sz w:val="16"/>
                <w:szCs w:val="16"/>
              </w:rPr>
            </w:pPr>
            <w:r w:rsidRPr="00FC5566">
              <w:rPr>
                <w:sz w:val="16"/>
                <w:szCs w:val="16"/>
              </w:rPr>
              <w:t>1.3 Buildings located not less than 20 ft from another building</w:t>
            </w:r>
          </w:p>
        </w:tc>
      </w:tr>
      <w:tr w:rsidR="00FC5566" w:rsidRPr="00FC5566" w14:paraId="24CAB7CC"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6BB7598B"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73F31FCE" w14:textId="77777777" w:rsidR="00FC5566" w:rsidRPr="00FC5566" w:rsidRDefault="00FC5566" w:rsidP="00FC5566">
            <w:pPr>
              <w:ind w:left="71"/>
              <w:rPr>
                <w:sz w:val="16"/>
                <w:szCs w:val="16"/>
              </w:rPr>
            </w:pPr>
            <w:r w:rsidRPr="00FC5566">
              <w:rPr>
                <w:b/>
                <w:bCs/>
                <w:sz w:val="16"/>
                <w:szCs w:val="16"/>
              </w:rPr>
              <w:t> </w:t>
            </w:r>
            <w:r w:rsidRPr="00FC5566">
              <w:rPr>
                <w:sz w:val="16"/>
                <w:szCs w:val="16"/>
              </w:rPr>
              <w:t>907.6.6, Monitoring. </w:t>
            </w:r>
          </w:p>
        </w:tc>
        <w:tc>
          <w:tcPr>
            <w:tcW w:w="7099" w:type="dxa"/>
            <w:tcBorders>
              <w:top w:val="single" w:sz="6" w:space="0" w:color="000000"/>
              <w:left w:val="single" w:sz="6" w:space="0" w:color="000000"/>
              <w:bottom w:val="single" w:sz="6" w:space="0" w:color="000000"/>
              <w:right w:val="single" w:sz="6" w:space="0" w:color="000000"/>
            </w:tcBorders>
          </w:tcPr>
          <w:p w14:paraId="51181AD8" w14:textId="77777777" w:rsidR="00FC5566" w:rsidRPr="00FC5566" w:rsidRDefault="00FC5566" w:rsidP="00FC5566">
            <w:pPr>
              <w:ind w:left="78"/>
              <w:rPr>
                <w:sz w:val="16"/>
                <w:szCs w:val="16"/>
              </w:rPr>
            </w:pPr>
          </w:p>
        </w:tc>
      </w:tr>
      <w:tr w:rsidR="00FC5566" w:rsidRPr="00FC5566" w14:paraId="36C6909D" w14:textId="77777777" w:rsidTr="00B247D5">
        <w:trPr>
          <w:trHeight w:val="274"/>
        </w:trPr>
        <w:tc>
          <w:tcPr>
            <w:tcW w:w="1080" w:type="dxa"/>
            <w:tcBorders>
              <w:top w:val="single" w:sz="6" w:space="0" w:color="000000"/>
              <w:left w:val="single" w:sz="6" w:space="0" w:color="000000"/>
              <w:bottom w:val="single" w:sz="6" w:space="0" w:color="000000"/>
              <w:right w:val="single" w:sz="6" w:space="0" w:color="000000"/>
            </w:tcBorders>
          </w:tcPr>
          <w:p w14:paraId="0FF9D318" w14:textId="77777777" w:rsidR="00FC5566" w:rsidRPr="00FC5566" w:rsidRDefault="00FC5566" w:rsidP="00FC5566">
            <w:pPr>
              <w:ind w:right="5"/>
              <w:jc w:val="center"/>
              <w:rPr>
                <w:spacing w:val="-2"/>
                <w:sz w:val="16"/>
                <w:szCs w:val="16"/>
              </w:rPr>
            </w:pPr>
            <w:r w:rsidRPr="00FC5566">
              <w:rPr>
                <w:spacing w:val="-2"/>
                <w:sz w:val="16"/>
                <w:szCs w:val="16"/>
              </w:rPr>
              <w:t>Repeal</w:t>
            </w:r>
          </w:p>
        </w:tc>
        <w:tc>
          <w:tcPr>
            <w:tcW w:w="2430" w:type="dxa"/>
            <w:tcBorders>
              <w:top w:val="single" w:sz="6" w:space="0" w:color="000000"/>
              <w:left w:val="single" w:sz="6" w:space="0" w:color="000000"/>
              <w:bottom w:val="single" w:sz="6" w:space="0" w:color="000000"/>
              <w:right w:val="single" w:sz="6" w:space="0" w:color="000000"/>
            </w:tcBorders>
          </w:tcPr>
          <w:p w14:paraId="7E240C38" w14:textId="77777777" w:rsidR="00FC5566" w:rsidRPr="00FC5566" w:rsidRDefault="00FC5566" w:rsidP="00FC5566">
            <w:pPr>
              <w:ind w:left="71"/>
              <w:rPr>
                <w:sz w:val="16"/>
                <w:szCs w:val="16"/>
              </w:rPr>
            </w:pPr>
            <w:r w:rsidRPr="00FC5566">
              <w:rPr>
                <w:sz w:val="16"/>
                <w:szCs w:val="16"/>
              </w:rPr>
              <w:t>Exception and Items (1-3)</w:t>
            </w:r>
          </w:p>
        </w:tc>
        <w:tc>
          <w:tcPr>
            <w:tcW w:w="7099" w:type="dxa"/>
            <w:tcBorders>
              <w:top w:val="single" w:sz="6" w:space="0" w:color="000000"/>
              <w:left w:val="single" w:sz="6" w:space="0" w:color="000000"/>
              <w:bottom w:val="single" w:sz="6" w:space="0" w:color="000000"/>
              <w:right w:val="single" w:sz="6" w:space="0" w:color="000000"/>
            </w:tcBorders>
          </w:tcPr>
          <w:p w14:paraId="47F5ABA4" w14:textId="77777777" w:rsidR="00FC5566" w:rsidRPr="00FC5566" w:rsidRDefault="00FC5566" w:rsidP="00FC5566">
            <w:pPr>
              <w:ind w:left="78"/>
              <w:rPr>
                <w:sz w:val="16"/>
                <w:szCs w:val="16"/>
                <w:highlight w:val="yellow"/>
              </w:rPr>
            </w:pPr>
          </w:p>
        </w:tc>
      </w:tr>
      <w:tr w:rsidR="00FC5566" w:rsidRPr="00FC5566" w14:paraId="78FDFB96" w14:textId="77777777" w:rsidTr="00B247D5">
        <w:trPr>
          <w:trHeight w:val="273"/>
        </w:trPr>
        <w:tc>
          <w:tcPr>
            <w:tcW w:w="1080" w:type="dxa"/>
            <w:tcBorders>
              <w:top w:val="single" w:sz="6" w:space="0" w:color="000000"/>
              <w:left w:val="single" w:sz="6" w:space="0" w:color="000000"/>
              <w:bottom w:val="single" w:sz="6" w:space="0" w:color="000000"/>
              <w:right w:val="single" w:sz="6" w:space="0" w:color="000000"/>
            </w:tcBorders>
          </w:tcPr>
          <w:p w14:paraId="7AA6AF4C"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679FF5C3" w14:textId="77777777" w:rsidR="00FC5566" w:rsidRPr="00FC5566" w:rsidRDefault="00FC5566" w:rsidP="00FC5566">
            <w:pPr>
              <w:ind w:left="71"/>
              <w:rPr>
                <w:sz w:val="16"/>
                <w:szCs w:val="16"/>
              </w:rPr>
            </w:pPr>
            <w:r w:rsidRPr="00FC5566">
              <w:rPr>
                <w:sz w:val="16"/>
                <w:szCs w:val="16"/>
              </w:rPr>
              <w:t>Chapter 10, Means of Egress.</w:t>
            </w:r>
          </w:p>
        </w:tc>
        <w:tc>
          <w:tcPr>
            <w:tcW w:w="7099" w:type="dxa"/>
            <w:tcBorders>
              <w:top w:val="single" w:sz="6" w:space="0" w:color="000000"/>
              <w:left w:val="single" w:sz="6" w:space="0" w:color="000000"/>
              <w:bottom w:val="single" w:sz="6" w:space="0" w:color="000000"/>
              <w:right w:val="single" w:sz="6" w:space="0" w:color="000000"/>
            </w:tcBorders>
          </w:tcPr>
          <w:p w14:paraId="7EA41D1E" w14:textId="77777777" w:rsidR="00FC5566" w:rsidRPr="00FC5566" w:rsidRDefault="00FC5566" w:rsidP="00FC5566">
            <w:pPr>
              <w:rPr>
                <w:i/>
                <w:iCs/>
                <w:sz w:val="16"/>
                <w:szCs w:val="16"/>
              </w:rPr>
            </w:pPr>
          </w:p>
        </w:tc>
      </w:tr>
      <w:tr w:rsidR="00FC5566" w:rsidRPr="00FC5566" w14:paraId="38954D58" w14:textId="77777777" w:rsidTr="00B247D5">
        <w:trPr>
          <w:trHeight w:val="360"/>
        </w:trPr>
        <w:tc>
          <w:tcPr>
            <w:tcW w:w="1080" w:type="dxa"/>
            <w:tcBorders>
              <w:top w:val="single" w:sz="6" w:space="0" w:color="000000"/>
              <w:left w:val="single" w:sz="6" w:space="0" w:color="000000"/>
              <w:bottom w:val="single" w:sz="6" w:space="0" w:color="000000"/>
              <w:right w:val="single" w:sz="6" w:space="0" w:color="000000"/>
            </w:tcBorders>
          </w:tcPr>
          <w:p w14:paraId="42A994B7"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7EBB079E" w14:textId="77777777" w:rsidR="00FC5566" w:rsidRPr="00FC5566" w:rsidRDefault="00FC5566" w:rsidP="00FC5566">
            <w:pPr>
              <w:ind w:left="71"/>
              <w:rPr>
                <w:sz w:val="16"/>
                <w:szCs w:val="16"/>
              </w:rPr>
            </w:pPr>
            <w:r w:rsidRPr="00FC5566">
              <w:rPr>
                <w:sz w:val="16"/>
                <w:szCs w:val="16"/>
              </w:rPr>
              <w:t>Section 1004.5, Areas Without Fixed Seating.</w:t>
            </w:r>
          </w:p>
        </w:tc>
        <w:tc>
          <w:tcPr>
            <w:tcW w:w="7099" w:type="dxa"/>
            <w:tcBorders>
              <w:top w:val="single" w:sz="6" w:space="0" w:color="000000"/>
              <w:left w:val="single" w:sz="6" w:space="0" w:color="000000"/>
              <w:bottom w:val="single" w:sz="6" w:space="0" w:color="000000"/>
              <w:right w:val="single" w:sz="6" w:space="0" w:color="000000"/>
            </w:tcBorders>
          </w:tcPr>
          <w:p w14:paraId="6820421D" w14:textId="77777777" w:rsidR="00FC5566" w:rsidRPr="00FC5566" w:rsidRDefault="00FC5566" w:rsidP="00FC5566">
            <w:pPr>
              <w:rPr>
                <w:i/>
                <w:iCs/>
                <w:sz w:val="16"/>
                <w:szCs w:val="16"/>
              </w:rPr>
            </w:pPr>
          </w:p>
        </w:tc>
      </w:tr>
      <w:tr w:rsidR="00FC5566" w:rsidRPr="00FC5566" w14:paraId="776A536E" w14:textId="77777777" w:rsidTr="00B247D5">
        <w:trPr>
          <w:trHeight w:val="360"/>
        </w:trPr>
        <w:tc>
          <w:tcPr>
            <w:tcW w:w="1080" w:type="dxa"/>
            <w:tcBorders>
              <w:top w:val="single" w:sz="6" w:space="0" w:color="000000"/>
              <w:left w:val="single" w:sz="6" w:space="0" w:color="000000"/>
              <w:bottom w:val="single" w:sz="6" w:space="0" w:color="000000"/>
              <w:right w:val="single" w:sz="6" w:space="0" w:color="000000"/>
            </w:tcBorders>
          </w:tcPr>
          <w:p w14:paraId="52C4F7A5"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695D4423" w14:textId="77777777" w:rsidR="00FC5566" w:rsidRPr="00FC5566" w:rsidRDefault="00FC5566" w:rsidP="00FC5566">
            <w:pPr>
              <w:ind w:left="71"/>
              <w:rPr>
                <w:sz w:val="16"/>
                <w:szCs w:val="16"/>
              </w:rPr>
            </w:pPr>
            <w:r w:rsidRPr="00FC5566">
              <w:rPr>
                <w:sz w:val="16"/>
                <w:szCs w:val="16"/>
              </w:rPr>
              <w:t>Table 1004.5, Maximum Floor Area Allowances Per Occupant.</w:t>
            </w:r>
          </w:p>
        </w:tc>
        <w:tc>
          <w:tcPr>
            <w:tcW w:w="7099" w:type="dxa"/>
            <w:tcBorders>
              <w:top w:val="single" w:sz="6" w:space="0" w:color="000000"/>
              <w:left w:val="single" w:sz="6" w:space="0" w:color="000000"/>
              <w:bottom w:val="single" w:sz="6" w:space="0" w:color="000000"/>
              <w:right w:val="single" w:sz="6" w:space="0" w:color="000000"/>
            </w:tcBorders>
          </w:tcPr>
          <w:p w14:paraId="3A0BF2B1" w14:textId="77777777" w:rsidR="00FC5566" w:rsidRPr="00FC5566" w:rsidRDefault="00FC5566" w:rsidP="00FC5566">
            <w:pPr>
              <w:ind w:left="78"/>
              <w:rPr>
                <w:sz w:val="16"/>
                <w:szCs w:val="16"/>
              </w:rPr>
            </w:pPr>
          </w:p>
        </w:tc>
      </w:tr>
      <w:tr w:rsidR="00FC5566" w:rsidRPr="00FC5566" w14:paraId="19D3D0E2" w14:textId="77777777" w:rsidTr="00B247D5">
        <w:trPr>
          <w:trHeight w:val="399"/>
        </w:trPr>
        <w:tc>
          <w:tcPr>
            <w:tcW w:w="1080" w:type="dxa"/>
            <w:tcBorders>
              <w:top w:val="single" w:sz="6" w:space="0" w:color="000000"/>
              <w:left w:val="single" w:sz="6" w:space="0" w:color="000000"/>
              <w:bottom w:val="single" w:sz="6" w:space="0" w:color="000000"/>
              <w:right w:val="single" w:sz="6" w:space="0" w:color="000000"/>
            </w:tcBorders>
          </w:tcPr>
          <w:p w14:paraId="450F88B7"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7FFCA1BA" w14:textId="77777777" w:rsidR="00FC5566" w:rsidRPr="00FC5566" w:rsidRDefault="00FC5566" w:rsidP="00FC5566">
            <w:pPr>
              <w:ind w:left="78"/>
              <w:rPr>
                <w:sz w:val="16"/>
                <w:szCs w:val="16"/>
              </w:rPr>
            </w:pPr>
            <w:r w:rsidRPr="00FC5566">
              <w:rPr>
                <w:sz w:val="16"/>
                <w:szCs w:val="16"/>
              </w:rPr>
              <w:t>Row (Day care), column (Occupant Load Factor</w:t>
            </w:r>
            <w:r w:rsidRPr="00FC5566">
              <w:rPr>
                <w:sz w:val="16"/>
                <w:szCs w:val="16"/>
                <w:vertAlign w:val="superscript"/>
              </w:rPr>
              <w:t>a</w:t>
            </w:r>
            <w:r w:rsidRPr="00FC5566">
              <w:rPr>
                <w:sz w:val="16"/>
                <w:szCs w:val="16"/>
              </w:rPr>
              <w:t>)</w:t>
            </w:r>
          </w:p>
        </w:tc>
        <w:tc>
          <w:tcPr>
            <w:tcW w:w="7099" w:type="dxa"/>
            <w:tcBorders>
              <w:top w:val="single" w:sz="6" w:space="0" w:color="000000"/>
              <w:left w:val="single" w:sz="6" w:space="0" w:color="000000"/>
              <w:bottom w:val="single" w:sz="6" w:space="0" w:color="000000"/>
              <w:right w:val="single" w:sz="6" w:space="0" w:color="000000"/>
            </w:tcBorders>
          </w:tcPr>
          <w:p w14:paraId="19D56731" w14:textId="77777777" w:rsidR="00FC5566" w:rsidRPr="00FC5566" w:rsidRDefault="00FC5566" w:rsidP="00FC5566">
            <w:pPr>
              <w:ind w:firstLine="85"/>
              <w:rPr>
                <w:sz w:val="16"/>
                <w:szCs w:val="16"/>
              </w:rPr>
            </w:pPr>
            <w:r w:rsidRPr="00FC5566">
              <w:rPr>
                <w:sz w:val="16"/>
                <w:szCs w:val="16"/>
              </w:rPr>
              <w:t xml:space="preserve">Ages 4 and below - 35 net </w:t>
            </w:r>
          </w:p>
          <w:p w14:paraId="2AE477C7" w14:textId="77777777" w:rsidR="00FC5566" w:rsidRPr="00FC5566" w:rsidRDefault="00FC5566" w:rsidP="00FC5566">
            <w:pPr>
              <w:ind w:firstLine="85"/>
              <w:rPr>
                <w:sz w:val="16"/>
                <w:szCs w:val="16"/>
              </w:rPr>
            </w:pPr>
            <w:r w:rsidRPr="00FC5566">
              <w:rPr>
                <w:sz w:val="16"/>
                <w:szCs w:val="16"/>
              </w:rPr>
              <w:t xml:space="preserve">Ages 4 and up - 25 net </w:t>
            </w:r>
          </w:p>
        </w:tc>
      </w:tr>
      <w:tr w:rsidR="00FC5566" w:rsidRPr="00FC5566" w14:paraId="20BE4845" w14:textId="77777777" w:rsidTr="00B247D5">
        <w:trPr>
          <w:trHeight w:val="363"/>
        </w:trPr>
        <w:tc>
          <w:tcPr>
            <w:tcW w:w="1080" w:type="dxa"/>
            <w:tcBorders>
              <w:top w:val="single" w:sz="6" w:space="0" w:color="000000"/>
              <w:left w:val="single" w:sz="6" w:space="0" w:color="000000"/>
              <w:bottom w:val="single" w:sz="6" w:space="0" w:color="000000"/>
              <w:right w:val="single" w:sz="6" w:space="0" w:color="000000"/>
            </w:tcBorders>
          </w:tcPr>
          <w:p w14:paraId="6E011B6E"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3B86470B" w14:textId="77777777" w:rsidR="00FC5566" w:rsidRPr="00FC5566" w:rsidRDefault="00FC5566" w:rsidP="00FC5566">
            <w:pPr>
              <w:ind w:left="88" w:hanging="3"/>
              <w:rPr>
                <w:sz w:val="16"/>
                <w:szCs w:val="16"/>
              </w:rPr>
            </w:pPr>
            <w:r w:rsidRPr="00FC5566">
              <w:rPr>
                <w:sz w:val="16"/>
                <w:szCs w:val="16"/>
              </w:rPr>
              <w:t>Row (Exercise rooms), column (Occupant Load Factor</w:t>
            </w:r>
            <w:r w:rsidRPr="00FC5566">
              <w:rPr>
                <w:sz w:val="16"/>
                <w:szCs w:val="16"/>
                <w:vertAlign w:val="superscript"/>
              </w:rPr>
              <w:t>a</w:t>
            </w:r>
            <w:r w:rsidRPr="00FC5566">
              <w:rPr>
                <w:sz w:val="16"/>
                <w:szCs w:val="16"/>
              </w:rPr>
              <w:t>)</w:t>
            </w:r>
          </w:p>
        </w:tc>
        <w:tc>
          <w:tcPr>
            <w:tcW w:w="7099" w:type="dxa"/>
            <w:tcBorders>
              <w:top w:val="single" w:sz="6" w:space="0" w:color="000000"/>
              <w:left w:val="single" w:sz="6" w:space="0" w:color="000000"/>
              <w:bottom w:val="single" w:sz="6" w:space="0" w:color="000000"/>
              <w:right w:val="single" w:sz="6" w:space="0" w:color="000000"/>
            </w:tcBorders>
          </w:tcPr>
          <w:p w14:paraId="2960430B" w14:textId="77777777" w:rsidR="00FC5566" w:rsidRPr="00FC5566" w:rsidRDefault="00FC5566" w:rsidP="00FC5566">
            <w:pPr>
              <w:ind w:firstLine="85"/>
              <w:rPr>
                <w:sz w:val="16"/>
                <w:szCs w:val="16"/>
              </w:rPr>
            </w:pPr>
            <w:r w:rsidRPr="00FC5566">
              <w:rPr>
                <w:sz w:val="16"/>
                <w:szCs w:val="16"/>
              </w:rPr>
              <w:t xml:space="preserve">Without equipment - 15 net </w:t>
            </w:r>
          </w:p>
          <w:p w14:paraId="6CF8D2DD" w14:textId="77777777" w:rsidR="00FC5566" w:rsidRPr="00FC5566" w:rsidRDefault="00FC5566" w:rsidP="00FC5566">
            <w:pPr>
              <w:ind w:firstLine="85"/>
              <w:rPr>
                <w:sz w:val="16"/>
                <w:szCs w:val="16"/>
              </w:rPr>
            </w:pPr>
            <w:r w:rsidRPr="00FC5566">
              <w:rPr>
                <w:sz w:val="16"/>
                <w:szCs w:val="16"/>
              </w:rPr>
              <w:t xml:space="preserve">With equipment - 50 gross </w:t>
            </w:r>
          </w:p>
        </w:tc>
      </w:tr>
      <w:tr w:rsidR="00FC5566" w:rsidRPr="00FC5566" w14:paraId="5F147748"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3EE74CC4"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4A78E2E7" w14:textId="77777777" w:rsidR="00FC5566" w:rsidRPr="00FC5566" w:rsidRDefault="00FC5566" w:rsidP="00FC5566">
            <w:pPr>
              <w:ind w:left="82"/>
              <w:rPr>
                <w:sz w:val="16"/>
                <w:szCs w:val="16"/>
              </w:rPr>
            </w:pPr>
            <w:r w:rsidRPr="00FC5566">
              <w:rPr>
                <w:sz w:val="16"/>
                <w:szCs w:val="16"/>
              </w:rPr>
              <w:t>Section 1006.2, Egress from Spaces.</w:t>
            </w:r>
          </w:p>
        </w:tc>
        <w:tc>
          <w:tcPr>
            <w:tcW w:w="7099" w:type="dxa"/>
            <w:tcBorders>
              <w:top w:val="single" w:sz="6" w:space="0" w:color="000000"/>
              <w:left w:val="single" w:sz="6" w:space="0" w:color="000000"/>
              <w:bottom w:val="single" w:sz="6" w:space="0" w:color="000000"/>
              <w:right w:val="single" w:sz="6" w:space="0" w:color="000000"/>
            </w:tcBorders>
          </w:tcPr>
          <w:p w14:paraId="1AA5A0BF" w14:textId="77777777" w:rsidR="00FC5566" w:rsidRPr="00FC5566" w:rsidRDefault="00FC5566" w:rsidP="00FC5566">
            <w:pPr>
              <w:ind w:firstLine="85"/>
              <w:rPr>
                <w:sz w:val="16"/>
                <w:szCs w:val="16"/>
              </w:rPr>
            </w:pPr>
          </w:p>
        </w:tc>
      </w:tr>
      <w:tr w:rsidR="00FC5566" w:rsidRPr="00FC5566" w14:paraId="036EA2E6" w14:textId="77777777" w:rsidTr="00B247D5">
        <w:trPr>
          <w:trHeight w:val="408"/>
        </w:trPr>
        <w:tc>
          <w:tcPr>
            <w:tcW w:w="1080" w:type="dxa"/>
            <w:tcBorders>
              <w:top w:val="single" w:sz="6" w:space="0" w:color="000000"/>
              <w:left w:val="single" w:sz="6" w:space="0" w:color="000000"/>
              <w:bottom w:val="single" w:sz="6" w:space="0" w:color="000000"/>
              <w:right w:val="single" w:sz="6" w:space="0" w:color="000000"/>
            </w:tcBorders>
          </w:tcPr>
          <w:p w14:paraId="2F30F254"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03CD4CF2" w14:textId="77777777" w:rsidR="00FC5566" w:rsidRPr="00FC5566" w:rsidRDefault="00FC5566" w:rsidP="00FC5566">
            <w:pPr>
              <w:ind w:left="82"/>
              <w:rPr>
                <w:sz w:val="16"/>
                <w:szCs w:val="16"/>
              </w:rPr>
            </w:pPr>
            <w:r w:rsidRPr="00FC5566">
              <w:rPr>
                <w:sz w:val="16"/>
                <w:szCs w:val="16"/>
              </w:rPr>
              <w:t>Table 1006.2.1, Spaces With One Exit or Exit Access Doorway.</w:t>
            </w:r>
          </w:p>
        </w:tc>
        <w:tc>
          <w:tcPr>
            <w:tcW w:w="7099" w:type="dxa"/>
            <w:tcBorders>
              <w:top w:val="single" w:sz="6" w:space="0" w:color="000000"/>
              <w:left w:val="single" w:sz="6" w:space="0" w:color="000000"/>
              <w:bottom w:val="single" w:sz="6" w:space="0" w:color="000000"/>
              <w:right w:val="single" w:sz="6" w:space="0" w:color="000000"/>
            </w:tcBorders>
          </w:tcPr>
          <w:p w14:paraId="760D9DE0" w14:textId="77777777" w:rsidR="00FC5566" w:rsidRPr="00FC5566" w:rsidRDefault="00FC5566" w:rsidP="00FC5566">
            <w:pPr>
              <w:ind w:firstLine="85"/>
              <w:rPr>
                <w:sz w:val="16"/>
                <w:szCs w:val="16"/>
              </w:rPr>
            </w:pPr>
          </w:p>
        </w:tc>
      </w:tr>
      <w:tr w:rsidR="00FC5566" w:rsidRPr="00FC5566" w14:paraId="50A80FE4"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466C033B"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38C4D8AF" w14:textId="77777777" w:rsidR="00FC5566" w:rsidRPr="00FC5566" w:rsidRDefault="00FC5566" w:rsidP="00FC5566">
            <w:pPr>
              <w:ind w:left="82"/>
              <w:rPr>
                <w:sz w:val="16"/>
                <w:szCs w:val="16"/>
              </w:rPr>
            </w:pPr>
            <w:r w:rsidRPr="00FC5566">
              <w:rPr>
                <w:sz w:val="16"/>
                <w:szCs w:val="16"/>
              </w:rPr>
              <w:t>Row name (H-1, H-2, H-3)</w:t>
            </w:r>
          </w:p>
        </w:tc>
        <w:tc>
          <w:tcPr>
            <w:tcW w:w="7099" w:type="dxa"/>
            <w:tcBorders>
              <w:top w:val="single" w:sz="6" w:space="0" w:color="000000"/>
              <w:left w:val="single" w:sz="6" w:space="0" w:color="000000"/>
              <w:bottom w:val="single" w:sz="6" w:space="0" w:color="000000"/>
              <w:right w:val="single" w:sz="6" w:space="0" w:color="000000"/>
            </w:tcBorders>
          </w:tcPr>
          <w:p w14:paraId="72B97AC7" w14:textId="77777777" w:rsidR="00FC5566" w:rsidRPr="00FC5566" w:rsidRDefault="00FC5566" w:rsidP="00FC5566">
            <w:pPr>
              <w:ind w:firstLine="85"/>
              <w:rPr>
                <w:sz w:val="16"/>
                <w:szCs w:val="16"/>
              </w:rPr>
            </w:pPr>
            <w:r w:rsidRPr="00FC5566">
              <w:rPr>
                <w:sz w:val="16"/>
                <w:szCs w:val="16"/>
              </w:rPr>
              <w:t>H-1, H-2, H-3, H-4, H-5</w:t>
            </w:r>
          </w:p>
        </w:tc>
      </w:tr>
      <w:tr w:rsidR="00FC5566" w:rsidRPr="00FC5566" w14:paraId="38E1D8E9"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5A76715F"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0CE837A9" w14:textId="77777777" w:rsidR="00FC5566" w:rsidRPr="00FC5566" w:rsidRDefault="00FC5566" w:rsidP="00FC5566">
            <w:pPr>
              <w:ind w:left="82"/>
              <w:rPr>
                <w:sz w:val="16"/>
                <w:szCs w:val="16"/>
              </w:rPr>
            </w:pPr>
            <w:r w:rsidRPr="00FC5566">
              <w:rPr>
                <w:sz w:val="16"/>
                <w:szCs w:val="16"/>
              </w:rPr>
              <w:t>Row (H-1, H-2, H-3, H-4, H-5)</w:t>
            </w:r>
          </w:p>
        </w:tc>
        <w:tc>
          <w:tcPr>
            <w:tcW w:w="7099" w:type="dxa"/>
            <w:tcBorders>
              <w:top w:val="single" w:sz="6" w:space="0" w:color="000000"/>
              <w:left w:val="single" w:sz="6" w:space="0" w:color="000000"/>
              <w:bottom w:val="single" w:sz="6" w:space="0" w:color="000000"/>
              <w:right w:val="single" w:sz="6" w:space="0" w:color="000000"/>
            </w:tcBorders>
          </w:tcPr>
          <w:p w14:paraId="43AC0252" w14:textId="77777777" w:rsidR="00FC5566" w:rsidRPr="00FC5566" w:rsidRDefault="00FC5566" w:rsidP="00FC5566">
            <w:pPr>
              <w:ind w:firstLine="85"/>
              <w:rPr>
                <w:sz w:val="16"/>
                <w:szCs w:val="16"/>
              </w:rPr>
            </w:pPr>
            <w:r w:rsidRPr="00FC5566">
              <w:rPr>
                <w:sz w:val="16"/>
                <w:szCs w:val="16"/>
              </w:rPr>
              <w:t>Add footnote (h.)</w:t>
            </w:r>
          </w:p>
        </w:tc>
      </w:tr>
      <w:tr w:rsidR="00FC5566" w:rsidRPr="00FC5566" w14:paraId="6BF105E4" w14:textId="77777777" w:rsidTr="00B247D5">
        <w:trPr>
          <w:trHeight w:val="255"/>
        </w:trPr>
        <w:tc>
          <w:tcPr>
            <w:tcW w:w="1080" w:type="dxa"/>
            <w:tcBorders>
              <w:top w:val="single" w:sz="6" w:space="0" w:color="000000"/>
              <w:left w:val="single" w:sz="6" w:space="0" w:color="000000"/>
              <w:bottom w:val="single" w:sz="6" w:space="0" w:color="000000"/>
              <w:right w:val="single" w:sz="6" w:space="0" w:color="000000"/>
            </w:tcBorders>
          </w:tcPr>
          <w:p w14:paraId="4B4B234F" w14:textId="77777777" w:rsidR="00FC5566" w:rsidRPr="00FC5566" w:rsidRDefault="00FC5566" w:rsidP="00FC5566">
            <w:pPr>
              <w:ind w:right="5"/>
              <w:jc w:val="center"/>
              <w:rPr>
                <w:spacing w:val="-2"/>
                <w:sz w:val="16"/>
                <w:szCs w:val="16"/>
              </w:rPr>
            </w:pPr>
            <w:r w:rsidRPr="00FC5566">
              <w:rPr>
                <w:spacing w:val="-2"/>
                <w:sz w:val="16"/>
                <w:szCs w:val="16"/>
              </w:rPr>
              <w:t>Adopt</w:t>
            </w:r>
          </w:p>
        </w:tc>
        <w:tc>
          <w:tcPr>
            <w:tcW w:w="2430" w:type="dxa"/>
            <w:tcBorders>
              <w:top w:val="single" w:sz="6" w:space="0" w:color="000000"/>
              <w:left w:val="single" w:sz="6" w:space="0" w:color="000000"/>
              <w:bottom w:val="single" w:sz="6" w:space="0" w:color="000000"/>
              <w:right w:val="single" w:sz="6" w:space="0" w:color="000000"/>
            </w:tcBorders>
          </w:tcPr>
          <w:p w14:paraId="1C965E2D" w14:textId="77777777" w:rsidR="00FC5566" w:rsidRPr="00FC5566" w:rsidRDefault="00FC5566" w:rsidP="00FC5566">
            <w:pPr>
              <w:ind w:left="82"/>
              <w:rPr>
                <w:sz w:val="16"/>
                <w:szCs w:val="16"/>
              </w:rPr>
            </w:pPr>
            <w:r w:rsidRPr="00FC5566">
              <w:rPr>
                <w:sz w:val="16"/>
                <w:szCs w:val="16"/>
              </w:rPr>
              <w:t>Footnote (h.)</w:t>
            </w:r>
          </w:p>
        </w:tc>
        <w:tc>
          <w:tcPr>
            <w:tcW w:w="7099" w:type="dxa"/>
            <w:tcBorders>
              <w:top w:val="single" w:sz="6" w:space="0" w:color="000000"/>
              <w:left w:val="single" w:sz="6" w:space="0" w:color="000000"/>
              <w:bottom w:val="single" w:sz="6" w:space="0" w:color="000000"/>
              <w:right w:val="single" w:sz="6" w:space="0" w:color="000000"/>
            </w:tcBorders>
          </w:tcPr>
          <w:p w14:paraId="4FA79AF8" w14:textId="77777777" w:rsidR="00FC5566" w:rsidRPr="00FC5566" w:rsidRDefault="00FC5566" w:rsidP="00FC5566">
            <w:pPr>
              <w:ind w:firstLine="85"/>
              <w:rPr>
                <w:sz w:val="16"/>
                <w:szCs w:val="16"/>
              </w:rPr>
            </w:pPr>
            <w:r w:rsidRPr="00FC5566">
              <w:rPr>
                <w:sz w:val="16"/>
                <w:szCs w:val="16"/>
              </w:rPr>
              <w:t>h. Rooms or spaces do not exceed 200 SF.</w:t>
            </w:r>
          </w:p>
        </w:tc>
      </w:tr>
      <w:tr w:rsidR="00FC5566" w:rsidRPr="00FC5566" w14:paraId="4279DB4E" w14:textId="77777777" w:rsidTr="00B247D5">
        <w:trPr>
          <w:trHeight w:val="255"/>
        </w:trPr>
        <w:tc>
          <w:tcPr>
            <w:tcW w:w="1080" w:type="dxa"/>
            <w:tcBorders>
              <w:top w:val="single" w:sz="6" w:space="0" w:color="000000"/>
              <w:left w:val="single" w:sz="6" w:space="0" w:color="000000"/>
              <w:bottom w:val="single" w:sz="6" w:space="0" w:color="000000"/>
              <w:right w:val="single" w:sz="6" w:space="0" w:color="000000"/>
            </w:tcBorders>
          </w:tcPr>
          <w:p w14:paraId="187BE7F4" w14:textId="77777777" w:rsidR="00FC5566" w:rsidRPr="00FC5566" w:rsidRDefault="00FC5566" w:rsidP="00FC5566">
            <w:pPr>
              <w:ind w:right="5"/>
              <w:jc w:val="center"/>
              <w:rPr>
                <w:spacing w:val="-2"/>
                <w:sz w:val="16"/>
                <w:szCs w:val="16"/>
              </w:rPr>
            </w:pPr>
            <w:r w:rsidRPr="00FC5566">
              <w:rPr>
                <w:spacing w:val="-2"/>
                <w:sz w:val="16"/>
                <w:szCs w:val="16"/>
              </w:rPr>
              <w:t>Repeal</w:t>
            </w:r>
          </w:p>
        </w:tc>
        <w:tc>
          <w:tcPr>
            <w:tcW w:w="2430" w:type="dxa"/>
            <w:tcBorders>
              <w:top w:val="single" w:sz="6" w:space="0" w:color="000000"/>
              <w:left w:val="single" w:sz="6" w:space="0" w:color="000000"/>
              <w:bottom w:val="single" w:sz="6" w:space="0" w:color="000000"/>
              <w:right w:val="single" w:sz="6" w:space="0" w:color="000000"/>
            </w:tcBorders>
          </w:tcPr>
          <w:p w14:paraId="647E334F" w14:textId="77777777" w:rsidR="00FC5566" w:rsidRPr="00FC5566" w:rsidRDefault="00FC5566" w:rsidP="00FC5566">
            <w:pPr>
              <w:ind w:left="82"/>
              <w:rPr>
                <w:sz w:val="16"/>
                <w:szCs w:val="16"/>
              </w:rPr>
            </w:pPr>
            <w:r w:rsidRPr="00FC5566">
              <w:rPr>
                <w:sz w:val="16"/>
                <w:szCs w:val="16"/>
              </w:rPr>
              <w:t>Row in its entirety (H-4, H-5)</w:t>
            </w:r>
          </w:p>
        </w:tc>
        <w:tc>
          <w:tcPr>
            <w:tcW w:w="7099" w:type="dxa"/>
            <w:tcBorders>
              <w:top w:val="single" w:sz="6" w:space="0" w:color="000000"/>
              <w:left w:val="single" w:sz="6" w:space="0" w:color="000000"/>
              <w:bottom w:val="single" w:sz="6" w:space="0" w:color="000000"/>
              <w:right w:val="single" w:sz="6" w:space="0" w:color="000000"/>
            </w:tcBorders>
          </w:tcPr>
          <w:p w14:paraId="58835C54" w14:textId="77777777" w:rsidR="00FC5566" w:rsidRPr="00FC5566" w:rsidRDefault="00FC5566" w:rsidP="00FC5566">
            <w:pPr>
              <w:ind w:firstLine="85"/>
              <w:rPr>
                <w:sz w:val="16"/>
                <w:szCs w:val="16"/>
              </w:rPr>
            </w:pPr>
          </w:p>
        </w:tc>
      </w:tr>
      <w:tr w:rsidR="00FC5566" w:rsidRPr="00FC5566" w14:paraId="518E0AD3" w14:textId="77777777" w:rsidTr="00B247D5">
        <w:trPr>
          <w:trHeight w:val="255"/>
        </w:trPr>
        <w:tc>
          <w:tcPr>
            <w:tcW w:w="1080" w:type="dxa"/>
            <w:tcBorders>
              <w:top w:val="single" w:sz="6" w:space="0" w:color="000000"/>
              <w:left w:val="single" w:sz="6" w:space="0" w:color="000000"/>
              <w:bottom w:val="single" w:sz="6" w:space="0" w:color="000000"/>
              <w:right w:val="single" w:sz="6" w:space="0" w:color="000000"/>
            </w:tcBorders>
          </w:tcPr>
          <w:p w14:paraId="57DF228A"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263CF4DB" w14:textId="77777777" w:rsidR="00FC5566" w:rsidRPr="00FC5566" w:rsidRDefault="00FC5566" w:rsidP="00FC5566">
            <w:pPr>
              <w:ind w:left="82"/>
              <w:rPr>
                <w:sz w:val="16"/>
                <w:szCs w:val="16"/>
              </w:rPr>
            </w:pPr>
            <w:r w:rsidRPr="00FC5566">
              <w:rPr>
                <w:sz w:val="16"/>
                <w:szCs w:val="16"/>
              </w:rPr>
              <w:t>Row (R-2), column (With Sprinkler System (feet))</w:t>
            </w:r>
          </w:p>
        </w:tc>
        <w:tc>
          <w:tcPr>
            <w:tcW w:w="7099" w:type="dxa"/>
            <w:tcBorders>
              <w:top w:val="single" w:sz="6" w:space="0" w:color="000000"/>
              <w:left w:val="single" w:sz="6" w:space="0" w:color="000000"/>
              <w:bottom w:val="single" w:sz="6" w:space="0" w:color="000000"/>
              <w:right w:val="single" w:sz="6" w:space="0" w:color="000000"/>
            </w:tcBorders>
          </w:tcPr>
          <w:p w14:paraId="0B8A3E8B" w14:textId="77777777" w:rsidR="00FC5566" w:rsidRPr="00FC5566" w:rsidRDefault="00FC5566" w:rsidP="00FC5566">
            <w:pPr>
              <w:rPr>
                <w:sz w:val="16"/>
                <w:szCs w:val="16"/>
              </w:rPr>
            </w:pPr>
            <w:r w:rsidRPr="00FC5566">
              <w:rPr>
                <w:sz w:val="16"/>
                <w:szCs w:val="16"/>
              </w:rPr>
              <w:t xml:space="preserve">  75</w:t>
            </w:r>
            <w:r w:rsidRPr="00FC5566">
              <w:rPr>
                <w:sz w:val="16"/>
                <w:szCs w:val="16"/>
                <w:vertAlign w:val="superscript"/>
              </w:rPr>
              <w:t>a</w:t>
            </w:r>
          </w:p>
        </w:tc>
      </w:tr>
      <w:tr w:rsidR="00FC5566" w:rsidRPr="00FC5566" w14:paraId="678F02DB" w14:textId="77777777" w:rsidTr="00B247D5">
        <w:trPr>
          <w:trHeight w:val="579"/>
        </w:trPr>
        <w:tc>
          <w:tcPr>
            <w:tcW w:w="1080" w:type="dxa"/>
            <w:tcBorders>
              <w:top w:val="single" w:sz="6" w:space="0" w:color="000000"/>
              <w:left w:val="single" w:sz="6" w:space="0" w:color="000000"/>
              <w:bottom w:val="single" w:sz="6" w:space="0" w:color="000000"/>
              <w:right w:val="single" w:sz="6" w:space="0" w:color="000000"/>
            </w:tcBorders>
          </w:tcPr>
          <w:p w14:paraId="5142208F"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70E7FAF8" w14:textId="77777777" w:rsidR="00FC5566" w:rsidRPr="00FC5566" w:rsidRDefault="00FC5566" w:rsidP="00FC5566">
            <w:pPr>
              <w:ind w:left="71"/>
              <w:rPr>
                <w:sz w:val="16"/>
                <w:szCs w:val="16"/>
              </w:rPr>
            </w:pPr>
            <w:r w:rsidRPr="00FC5566">
              <w:rPr>
                <w:sz w:val="16"/>
                <w:szCs w:val="16"/>
              </w:rPr>
              <w:t>Section 1010.2.8, Panic and Fire Exit Hardware.</w:t>
            </w:r>
          </w:p>
          <w:p w14:paraId="0E93E0F3" w14:textId="77777777" w:rsidR="00FC5566" w:rsidRPr="00FC5566" w:rsidRDefault="00FC5566" w:rsidP="00FC5566">
            <w:pPr>
              <w:ind w:left="71"/>
              <w:rPr>
                <w:sz w:val="16"/>
                <w:szCs w:val="16"/>
              </w:rPr>
            </w:pPr>
          </w:p>
        </w:tc>
        <w:tc>
          <w:tcPr>
            <w:tcW w:w="7099" w:type="dxa"/>
            <w:tcBorders>
              <w:top w:val="single" w:sz="6" w:space="0" w:color="000000"/>
              <w:left w:val="single" w:sz="6" w:space="0" w:color="000000"/>
              <w:bottom w:val="single" w:sz="6" w:space="0" w:color="000000"/>
              <w:right w:val="single" w:sz="6" w:space="0" w:color="000000"/>
            </w:tcBorders>
          </w:tcPr>
          <w:p w14:paraId="5A2990A2" w14:textId="77777777" w:rsidR="00FC5566" w:rsidRPr="00FC5566" w:rsidRDefault="00FC5566" w:rsidP="00FC5566">
            <w:pPr>
              <w:ind w:left="78"/>
              <w:rPr>
                <w:sz w:val="16"/>
                <w:szCs w:val="16"/>
              </w:rPr>
            </w:pPr>
            <w:r w:rsidRPr="00FC5566">
              <w:rPr>
                <w:sz w:val="16"/>
                <w:szCs w:val="16"/>
              </w:rPr>
              <w:t xml:space="preserve">Swinging doors serving a Group H occupancy and swinging doors serving rooms or spaces with an </w:t>
            </w:r>
          </w:p>
          <w:p w14:paraId="079E8633" w14:textId="77777777" w:rsidR="00FC5566" w:rsidRPr="00FC5566" w:rsidRDefault="00FC5566" w:rsidP="00FC5566">
            <w:pPr>
              <w:ind w:left="78"/>
              <w:rPr>
                <w:sz w:val="16"/>
                <w:szCs w:val="16"/>
              </w:rPr>
            </w:pPr>
            <w:r w:rsidRPr="00FC5566">
              <w:rPr>
                <w:sz w:val="16"/>
                <w:szCs w:val="16"/>
              </w:rPr>
              <w:t>occupant load of 50 or more in a Group A, E, or I occupancy shall not be provided with a latch or lock other than </w:t>
            </w:r>
            <w:r w:rsidRPr="00FC5566">
              <w:rPr>
                <w:i/>
                <w:iCs/>
                <w:sz w:val="16"/>
                <w:szCs w:val="16"/>
              </w:rPr>
              <w:t>panic hardware</w:t>
            </w:r>
            <w:r w:rsidRPr="00FC5566">
              <w:rPr>
                <w:sz w:val="16"/>
                <w:szCs w:val="16"/>
              </w:rPr>
              <w:t> or </w:t>
            </w:r>
            <w:r w:rsidRPr="00FC5566">
              <w:rPr>
                <w:i/>
                <w:iCs/>
                <w:sz w:val="16"/>
                <w:szCs w:val="16"/>
              </w:rPr>
              <w:t>fire exit hardware</w:t>
            </w:r>
            <w:r w:rsidRPr="00FC5566">
              <w:rPr>
                <w:sz w:val="16"/>
                <w:szCs w:val="16"/>
              </w:rPr>
              <w:t>.</w:t>
            </w:r>
          </w:p>
        </w:tc>
      </w:tr>
      <w:tr w:rsidR="00FC5566" w:rsidRPr="00FC5566" w14:paraId="79C226E2" w14:textId="77777777" w:rsidTr="00B247D5">
        <w:trPr>
          <w:trHeight w:val="255"/>
        </w:trPr>
        <w:tc>
          <w:tcPr>
            <w:tcW w:w="1080" w:type="dxa"/>
            <w:tcBorders>
              <w:top w:val="single" w:sz="6" w:space="0" w:color="000000"/>
              <w:left w:val="single" w:sz="6" w:space="0" w:color="000000"/>
              <w:bottom w:val="single" w:sz="6" w:space="0" w:color="000000"/>
              <w:right w:val="single" w:sz="6" w:space="0" w:color="000000"/>
            </w:tcBorders>
          </w:tcPr>
          <w:p w14:paraId="746D6B77"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24C0A141" w14:textId="77777777" w:rsidR="00FC5566" w:rsidRPr="00FC5566" w:rsidRDefault="00FC5566" w:rsidP="00FC5566">
            <w:pPr>
              <w:ind w:left="71"/>
              <w:rPr>
                <w:sz w:val="16"/>
                <w:szCs w:val="16"/>
              </w:rPr>
            </w:pPr>
            <w:r w:rsidRPr="00FC5566">
              <w:rPr>
                <w:sz w:val="16"/>
                <w:szCs w:val="16"/>
              </w:rPr>
              <w:t>Exceptions</w:t>
            </w:r>
          </w:p>
        </w:tc>
        <w:tc>
          <w:tcPr>
            <w:tcW w:w="7099" w:type="dxa"/>
            <w:tcBorders>
              <w:top w:val="single" w:sz="6" w:space="0" w:color="000000"/>
              <w:left w:val="single" w:sz="6" w:space="0" w:color="000000"/>
              <w:bottom w:val="single" w:sz="6" w:space="0" w:color="000000"/>
              <w:right w:val="single" w:sz="6" w:space="0" w:color="000000"/>
            </w:tcBorders>
          </w:tcPr>
          <w:p w14:paraId="0CF6F92F" w14:textId="77777777" w:rsidR="00FC5566" w:rsidRPr="00FC5566" w:rsidRDefault="00FC5566" w:rsidP="00FC5566">
            <w:pPr>
              <w:ind w:left="78"/>
              <w:rPr>
                <w:sz w:val="16"/>
                <w:szCs w:val="16"/>
              </w:rPr>
            </w:pPr>
          </w:p>
        </w:tc>
      </w:tr>
      <w:tr w:rsidR="00FC5566" w:rsidRPr="00FC5566" w14:paraId="28D65C58" w14:textId="77777777" w:rsidTr="00B247D5">
        <w:trPr>
          <w:trHeight w:val="579"/>
        </w:trPr>
        <w:tc>
          <w:tcPr>
            <w:tcW w:w="1080" w:type="dxa"/>
            <w:tcBorders>
              <w:top w:val="single" w:sz="6" w:space="0" w:color="000000"/>
              <w:left w:val="single" w:sz="6" w:space="0" w:color="000000"/>
              <w:bottom w:val="single" w:sz="6" w:space="0" w:color="000000"/>
              <w:right w:val="single" w:sz="6" w:space="0" w:color="000000"/>
            </w:tcBorders>
          </w:tcPr>
          <w:p w14:paraId="285AAFC1" w14:textId="77777777" w:rsidR="00FC5566" w:rsidRPr="00FC5566" w:rsidRDefault="00FC5566" w:rsidP="00FC5566">
            <w:pPr>
              <w:ind w:right="5"/>
              <w:jc w:val="center"/>
              <w:rPr>
                <w:spacing w:val="-2"/>
                <w:sz w:val="16"/>
                <w:szCs w:val="16"/>
              </w:rPr>
            </w:pPr>
            <w:r w:rsidRPr="00FC5566">
              <w:rPr>
                <w:spacing w:val="-2"/>
                <w:sz w:val="16"/>
                <w:szCs w:val="16"/>
              </w:rPr>
              <w:t>Adopt</w:t>
            </w:r>
          </w:p>
        </w:tc>
        <w:tc>
          <w:tcPr>
            <w:tcW w:w="2430" w:type="dxa"/>
            <w:tcBorders>
              <w:top w:val="single" w:sz="6" w:space="0" w:color="000000"/>
              <w:left w:val="single" w:sz="6" w:space="0" w:color="000000"/>
              <w:bottom w:val="single" w:sz="6" w:space="0" w:color="000000"/>
              <w:right w:val="single" w:sz="6" w:space="0" w:color="000000"/>
            </w:tcBorders>
          </w:tcPr>
          <w:p w14:paraId="3A153822" w14:textId="77777777" w:rsidR="00FC5566" w:rsidRPr="00FC5566" w:rsidRDefault="00FC5566" w:rsidP="00FC5566">
            <w:pPr>
              <w:ind w:left="71"/>
              <w:rPr>
                <w:sz w:val="16"/>
                <w:szCs w:val="16"/>
              </w:rPr>
            </w:pPr>
            <w:r w:rsidRPr="00FC5566">
              <w:rPr>
                <w:sz w:val="16"/>
                <w:szCs w:val="16"/>
              </w:rPr>
              <w:t>Item (5.)</w:t>
            </w:r>
          </w:p>
        </w:tc>
        <w:tc>
          <w:tcPr>
            <w:tcW w:w="7099" w:type="dxa"/>
            <w:tcBorders>
              <w:top w:val="single" w:sz="6" w:space="0" w:color="000000"/>
              <w:left w:val="single" w:sz="6" w:space="0" w:color="000000"/>
              <w:bottom w:val="single" w:sz="6" w:space="0" w:color="000000"/>
              <w:right w:val="single" w:sz="6" w:space="0" w:color="000000"/>
            </w:tcBorders>
          </w:tcPr>
          <w:p w14:paraId="5B1752F5" w14:textId="77777777" w:rsidR="00FC5566" w:rsidRPr="00FC5566" w:rsidRDefault="00FC5566" w:rsidP="00FC5566">
            <w:pPr>
              <w:ind w:left="78"/>
              <w:rPr>
                <w:sz w:val="16"/>
                <w:szCs w:val="16"/>
              </w:rPr>
            </w:pPr>
            <w:r w:rsidRPr="00FC5566">
              <w:rPr>
                <w:sz w:val="16"/>
                <w:szCs w:val="16"/>
              </w:rPr>
              <w:t>5. Swinging doors serving a Group H occupancy and swinging doors serving rooms or spaces with an occupant load of 50 or more in a Group A, E OR I-4 occupancy shall not be provided with a latch or lock other than panic hardware or fire exit hardware.</w:t>
            </w:r>
          </w:p>
        </w:tc>
      </w:tr>
      <w:tr w:rsidR="00FC5566" w:rsidRPr="00FC5566" w14:paraId="4172346C" w14:textId="77777777" w:rsidTr="00B247D5">
        <w:trPr>
          <w:trHeight w:val="374"/>
        </w:trPr>
        <w:tc>
          <w:tcPr>
            <w:tcW w:w="1080" w:type="dxa"/>
            <w:tcBorders>
              <w:top w:val="single" w:sz="6" w:space="0" w:color="000000"/>
              <w:left w:val="single" w:sz="6" w:space="0" w:color="000000"/>
              <w:bottom w:val="single" w:sz="6" w:space="0" w:color="000000"/>
              <w:right w:val="single" w:sz="6" w:space="0" w:color="000000"/>
            </w:tcBorders>
          </w:tcPr>
          <w:p w14:paraId="42A15F8E"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43DB9E48" w14:textId="77777777" w:rsidR="00FC5566" w:rsidRPr="00FC5566" w:rsidRDefault="00FC5566" w:rsidP="00FC5566">
            <w:pPr>
              <w:ind w:left="71"/>
              <w:rPr>
                <w:sz w:val="16"/>
                <w:szCs w:val="16"/>
              </w:rPr>
            </w:pPr>
            <w:r w:rsidRPr="00FC5566">
              <w:rPr>
                <w:sz w:val="16"/>
                <w:szCs w:val="16"/>
              </w:rPr>
              <w:t>Section 1010.2.11, Sensor Release of Electrically Locked Egress Doors.</w:t>
            </w:r>
          </w:p>
        </w:tc>
        <w:tc>
          <w:tcPr>
            <w:tcW w:w="7099" w:type="dxa"/>
            <w:tcBorders>
              <w:top w:val="single" w:sz="6" w:space="0" w:color="000000"/>
              <w:left w:val="single" w:sz="6" w:space="0" w:color="000000"/>
              <w:bottom w:val="single" w:sz="6" w:space="0" w:color="000000"/>
              <w:right w:val="single" w:sz="6" w:space="0" w:color="000000"/>
            </w:tcBorders>
          </w:tcPr>
          <w:p w14:paraId="5B5405DF" w14:textId="77777777" w:rsidR="00FC5566" w:rsidRPr="00FC5566" w:rsidRDefault="00FC5566" w:rsidP="00FC5566">
            <w:pPr>
              <w:ind w:left="78"/>
              <w:rPr>
                <w:sz w:val="16"/>
                <w:szCs w:val="16"/>
              </w:rPr>
            </w:pPr>
          </w:p>
        </w:tc>
      </w:tr>
      <w:tr w:rsidR="00FC5566" w:rsidRPr="00FC5566" w14:paraId="7D0C898D" w14:textId="77777777" w:rsidTr="00B247D5">
        <w:trPr>
          <w:trHeight w:val="374"/>
        </w:trPr>
        <w:tc>
          <w:tcPr>
            <w:tcW w:w="1080" w:type="dxa"/>
            <w:tcBorders>
              <w:top w:val="single" w:sz="6" w:space="0" w:color="000000"/>
              <w:left w:val="single" w:sz="6" w:space="0" w:color="000000"/>
              <w:bottom w:val="single" w:sz="6" w:space="0" w:color="000000"/>
              <w:right w:val="single" w:sz="6" w:space="0" w:color="000000"/>
            </w:tcBorders>
          </w:tcPr>
          <w:p w14:paraId="5551E91A" w14:textId="77777777" w:rsidR="00FC5566" w:rsidRPr="00FC5566" w:rsidRDefault="00FC5566" w:rsidP="00FC5566">
            <w:pPr>
              <w:ind w:right="5"/>
              <w:jc w:val="center"/>
              <w:rPr>
                <w:spacing w:val="-2"/>
                <w:sz w:val="16"/>
                <w:szCs w:val="16"/>
              </w:rPr>
            </w:pPr>
            <w:r w:rsidRPr="00FC5566">
              <w:rPr>
                <w:spacing w:val="-2"/>
                <w:sz w:val="16"/>
                <w:szCs w:val="16"/>
              </w:rPr>
              <w:t>Adopt</w:t>
            </w:r>
          </w:p>
        </w:tc>
        <w:tc>
          <w:tcPr>
            <w:tcW w:w="2430" w:type="dxa"/>
            <w:tcBorders>
              <w:top w:val="single" w:sz="6" w:space="0" w:color="000000"/>
              <w:left w:val="single" w:sz="6" w:space="0" w:color="000000"/>
              <w:bottom w:val="single" w:sz="6" w:space="0" w:color="000000"/>
              <w:right w:val="single" w:sz="6" w:space="0" w:color="000000"/>
            </w:tcBorders>
          </w:tcPr>
          <w:p w14:paraId="42686A6E" w14:textId="77777777" w:rsidR="00FC5566" w:rsidRPr="00FC5566" w:rsidRDefault="00FC5566" w:rsidP="00FC5566">
            <w:pPr>
              <w:ind w:left="71"/>
              <w:rPr>
                <w:sz w:val="16"/>
                <w:szCs w:val="16"/>
              </w:rPr>
            </w:pPr>
            <w:r w:rsidRPr="00FC5566">
              <w:rPr>
                <w:sz w:val="16"/>
                <w:szCs w:val="16"/>
              </w:rPr>
              <w:t>Exception</w:t>
            </w:r>
          </w:p>
        </w:tc>
        <w:tc>
          <w:tcPr>
            <w:tcW w:w="7099" w:type="dxa"/>
            <w:tcBorders>
              <w:top w:val="single" w:sz="6" w:space="0" w:color="000000"/>
              <w:left w:val="single" w:sz="6" w:space="0" w:color="000000"/>
              <w:bottom w:val="single" w:sz="6" w:space="0" w:color="000000"/>
              <w:right w:val="single" w:sz="6" w:space="0" w:color="000000"/>
            </w:tcBorders>
          </w:tcPr>
          <w:p w14:paraId="3AC7CB96" w14:textId="77777777" w:rsidR="00FC5566" w:rsidRPr="00FC5566" w:rsidRDefault="00FC5566" w:rsidP="00FC5566">
            <w:pPr>
              <w:ind w:left="78"/>
              <w:rPr>
                <w:b/>
                <w:bCs/>
                <w:sz w:val="16"/>
                <w:szCs w:val="16"/>
              </w:rPr>
            </w:pPr>
            <w:r w:rsidRPr="00FC5566">
              <w:rPr>
                <w:b/>
                <w:bCs/>
                <w:sz w:val="16"/>
                <w:szCs w:val="16"/>
              </w:rPr>
              <w:t>Exception:</w:t>
            </w:r>
          </w:p>
          <w:p w14:paraId="1DDA1A3A" w14:textId="77777777" w:rsidR="00FC5566" w:rsidRPr="00FC5566" w:rsidRDefault="00FC5566" w:rsidP="00FC5566">
            <w:pPr>
              <w:ind w:left="78"/>
              <w:rPr>
                <w:sz w:val="16"/>
                <w:szCs w:val="16"/>
              </w:rPr>
            </w:pPr>
            <w:r w:rsidRPr="00FC5566">
              <w:rPr>
                <w:sz w:val="16"/>
                <w:szCs w:val="16"/>
              </w:rPr>
              <w:t>The activation of manual fire alarm boxes that activate the building fire-protective signaling system</w:t>
            </w:r>
          </w:p>
          <w:p w14:paraId="532CE9A7" w14:textId="77777777" w:rsidR="00FC5566" w:rsidRPr="00FC5566" w:rsidRDefault="00FC5566" w:rsidP="00FC5566">
            <w:pPr>
              <w:ind w:left="78"/>
              <w:rPr>
                <w:sz w:val="16"/>
                <w:szCs w:val="16"/>
              </w:rPr>
            </w:pPr>
            <w:r w:rsidRPr="00FC5566">
              <w:rPr>
                <w:sz w:val="16"/>
                <w:szCs w:val="16"/>
              </w:rPr>
              <w:t>shall not be required to unlock the door leaves.</w:t>
            </w:r>
          </w:p>
        </w:tc>
      </w:tr>
      <w:tr w:rsidR="00FC5566" w:rsidRPr="00FC5566" w14:paraId="487209C2"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6505D6EA"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2C12B00B" w14:textId="77777777" w:rsidR="00FC5566" w:rsidRPr="00FC5566" w:rsidRDefault="00FC5566" w:rsidP="00FC5566">
            <w:pPr>
              <w:ind w:left="71"/>
              <w:rPr>
                <w:sz w:val="16"/>
                <w:szCs w:val="16"/>
              </w:rPr>
            </w:pPr>
            <w:r w:rsidRPr="00FC5566">
              <w:rPr>
                <w:sz w:val="16"/>
                <w:szCs w:val="16"/>
              </w:rPr>
              <w:t>Section 1017.3, Measurement.</w:t>
            </w:r>
          </w:p>
        </w:tc>
        <w:tc>
          <w:tcPr>
            <w:tcW w:w="7099" w:type="dxa"/>
            <w:tcBorders>
              <w:top w:val="single" w:sz="6" w:space="0" w:color="000000"/>
              <w:left w:val="single" w:sz="6" w:space="0" w:color="000000"/>
              <w:bottom w:val="single" w:sz="6" w:space="0" w:color="000000"/>
              <w:right w:val="single" w:sz="6" w:space="0" w:color="000000"/>
            </w:tcBorders>
          </w:tcPr>
          <w:p w14:paraId="63F85216" w14:textId="77777777" w:rsidR="00FC5566" w:rsidRPr="00FC5566" w:rsidRDefault="00FC5566" w:rsidP="00FC5566">
            <w:pPr>
              <w:ind w:left="78"/>
              <w:rPr>
                <w:sz w:val="16"/>
                <w:szCs w:val="16"/>
              </w:rPr>
            </w:pPr>
          </w:p>
        </w:tc>
      </w:tr>
      <w:tr w:rsidR="00FC5566" w:rsidRPr="00FC5566" w14:paraId="6F5AE46A"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59ED234E"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79703A47" w14:textId="77777777" w:rsidR="00FC5566" w:rsidRPr="00FC5566" w:rsidRDefault="00FC5566" w:rsidP="00FC5566">
            <w:pPr>
              <w:ind w:left="71"/>
              <w:rPr>
                <w:sz w:val="16"/>
                <w:szCs w:val="16"/>
              </w:rPr>
            </w:pPr>
            <w:r w:rsidRPr="00FC5566">
              <w:rPr>
                <w:sz w:val="16"/>
                <w:szCs w:val="16"/>
              </w:rPr>
              <w:t>Exceptions</w:t>
            </w:r>
          </w:p>
        </w:tc>
        <w:tc>
          <w:tcPr>
            <w:tcW w:w="7099" w:type="dxa"/>
            <w:tcBorders>
              <w:top w:val="single" w:sz="6" w:space="0" w:color="000000"/>
              <w:left w:val="single" w:sz="6" w:space="0" w:color="000000"/>
              <w:bottom w:val="single" w:sz="6" w:space="0" w:color="000000"/>
              <w:right w:val="single" w:sz="6" w:space="0" w:color="000000"/>
            </w:tcBorders>
          </w:tcPr>
          <w:p w14:paraId="6178B8EA" w14:textId="77777777" w:rsidR="00FC5566" w:rsidRPr="00FC5566" w:rsidRDefault="00FC5566" w:rsidP="00FC5566">
            <w:pPr>
              <w:ind w:left="88"/>
              <w:contextualSpacing/>
              <w:rPr>
                <w:sz w:val="16"/>
                <w:szCs w:val="16"/>
              </w:rPr>
            </w:pPr>
          </w:p>
        </w:tc>
      </w:tr>
      <w:tr w:rsidR="00FC5566" w:rsidRPr="00FC5566" w14:paraId="237869F4" w14:textId="77777777" w:rsidTr="00B247D5">
        <w:trPr>
          <w:trHeight w:val="374"/>
        </w:trPr>
        <w:tc>
          <w:tcPr>
            <w:tcW w:w="1080" w:type="dxa"/>
            <w:tcBorders>
              <w:top w:val="single" w:sz="6" w:space="0" w:color="000000"/>
              <w:left w:val="single" w:sz="6" w:space="0" w:color="000000"/>
              <w:bottom w:val="single" w:sz="6" w:space="0" w:color="000000"/>
              <w:right w:val="single" w:sz="6" w:space="0" w:color="000000"/>
            </w:tcBorders>
          </w:tcPr>
          <w:p w14:paraId="0CF99692" w14:textId="77777777" w:rsidR="00FC5566" w:rsidRPr="00FC5566" w:rsidRDefault="00FC5566" w:rsidP="00FC5566">
            <w:pPr>
              <w:ind w:right="5"/>
              <w:jc w:val="center"/>
              <w:rPr>
                <w:spacing w:val="-2"/>
                <w:sz w:val="16"/>
                <w:szCs w:val="16"/>
              </w:rPr>
            </w:pPr>
            <w:r w:rsidRPr="00FC5566">
              <w:rPr>
                <w:spacing w:val="-2"/>
                <w:sz w:val="16"/>
                <w:szCs w:val="16"/>
              </w:rPr>
              <w:t>Adopt</w:t>
            </w:r>
          </w:p>
        </w:tc>
        <w:tc>
          <w:tcPr>
            <w:tcW w:w="2430" w:type="dxa"/>
            <w:tcBorders>
              <w:top w:val="single" w:sz="6" w:space="0" w:color="000000"/>
              <w:left w:val="single" w:sz="6" w:space="0" w:color="000000"/>
              <w:bottom w:val="single" w:sz="6" w:space="0" w:color="000000"/>
              <w:right w:val="single" w:sz="6" w:space="0" w:color="000000"/>
            </w:tcBorders>
          </w:tcPr>
          <w:p w14:paraId="5E120D6B" w14:textId="77777777" w:rsidR="00FC5566" w:rsidRPr="00FC5566" w:rsidRDefault="00FC5566" w:rsidP="00FC5566">
            <w:pPr>
              <w:ind w:left="71"/>
              <w:rPr>
                <w:sz w:val="16"/>
                <w:szCs w:val="16"/>
              </w:rPr>
            </w:pPr>
            <w:r w:rsidRPr="00FC5566">
              <w:rPr>
                <w:sz w:val="16"/>
                <w:szCs w:val="16"/>
              </w:rPr>
              <w:t>Item (3.)</w:t>
            </w:r>
          </w:p>
        </w:tc>
        <w:tc>
          <w:tcPr>
            <w:tcW w:w="7099" w:type="dxa"/>
            <w:tcBorders>
              <w:top w:val="single" w:sz="6" w:space="0" w:color="000000"/>
              <w:left w:val="single" w:sz="6" w:space="0" w:color="000000"/>
              <w:bottom w:val="single" w:sz="6" w:space="0" w:color="000000"/>
              <w:right w:val="single" w:sz="6" w:space="0" w:color="000000"/>
            </w:tcBorders>
          </w:tcPr>
          <w:p w14:paraId="7599AC6B" w14:textId="77777777" w:rsidR="00FC5566" w:rsidRPr="00FC5566" w:rsidRDefault="00FC5566" w:rsidP="00FC5566">
            <w:pPr>
              <w:ind w:left="88"/>
              <w:contextualSpacing/>
              <w:rPr>
                <w:sz w:val="16"/>
                <w:szCs w:val="16"/>
              </w:rPr>
            </w:pPr>
            <w:r w:rsidRPr="00FC5566">
              <w:rPr>
                <w:sz w:val="16"/>
                <w:szCs w:val="16"/>
              </w:rPr>
              <w:t>3. For Group S occupancies, the path of travel would be measured 1’ off the nearest wall to delineate the best path of travel to the closest exit point.</w:t>
            </w:r>
          </w:p>
        </w:tc>
      </w:tr>
      <w:tr w:rsidR="00FC5566" w:rsidRPr="00FC5566" w14:paraId="2AFF5CD6"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5D856A77"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6252333E" w14:textId="77777777" w:rsidR="00FC5566" w:rsidRPr="00FC5566" w:rsidRDefault="00FC5566" w:rsidP="00FC5566">
            <w:pPr>
              <w:ind w:left="71"/>
              <w:rPr>
                <w:sz w:val="16"/>
                <w:szCs w:val="16"/>
              </w:rPr>
            </w:pPr>
            <w:r w:rsidRPr="00FC5566">
              <w:rPr>
                <w:sz w:val="16"/>
                <w:szCs w:val="16"/>
              </w:rPr>
              <w:t>Section 1020.2, Construction.</w:t>
            </w:r>
          </w:p>
        </w:tc>
        <w:tc>
          <w:tcPr>
            <w:tcW w:w="7099" w:type="dxa"/>
            <w:tcBorders>
              <w:top w:val="single" w:sz="6" w:space="0" w:color="000000"/>
              <w:left w:val="single" w:sz="6" w:space="0" w:color="000000"/>
              <w:bottom w:val="single" w:sz="6" w:space="0" w:color="000000"/>
              <w:right w:val="single" w:sz="6" w:space="0" w:color="000000"/>
            </w:tcBorders>
          </w:tcPr>
          <w:p w14:paraId="0684AD77" w14:textId="77777777" w:rsidR="00FC5566" w:rsidRPr="00FC5566" w:rsidRDefault="00FC5566" w:rsidP="00FC5566">
            <w:pPr>
              <w:ind w:left="78"/>
              <w:rPr>
                <w:sz w:val="16"/>
                <w:szCs w:val="16"/>
              </w:rPr>
            </w:pPr>
          </w:p>
        </w:tc>
      </w:tr>
      <w:tr w:rsidR="00FC5566" w:rsidRPr="00FC5566" w14:paraId="556C377B"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219956D6"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12A50219" w14:textId="77777777" w:rsidR="00FC5566" w:rsidRPr="00FC5566" w:rsidRDefault="00FC5566" w:rsidP="00FC5566">
            <w:pPr>
              <w:ind w:left="71"/>
              <w:rPr>
                <w:sz w:val="16"/>
                <w:szCs w:val="16"/>
              </w:rPr>
            </w:pPr>
            <w:r w:rsidRPr="00FC5566">
              <w:rPr>
                <w:sz w:val="16"/>
                <w:szCs w:val="16"/>
              </w:rPr>
              <w:t>Exceptions</w:t>
            </w:r>
          </w:p>
        </w:tc>
        <w:tc>
          <w:tcPr>
            <w:tcW w:w="7099" w:type="dxa"/>
            <w:tcBorders>
              <w:top w:val="single" w:sz="6" w:space="0" w:color="000000"/>
              <w:left w:val="single" w:sz="6" w:space="0" w:color="000000"/>
              <w:bottom w:val="single" w:sz="6" w:space="0" w:color="000000"/>
              <w:right w:val="single" w:sz="6" w:space="0" w:color="000000"/>
            </w:tcBorders>
          </w:tcPr>
          <w:p w14:paraId="5F4E2EF4" w14:textId="77777777" w:rsidR="00FC5566" w:rsidRPr="00FC5566" w:rsidRDefault="00FC5566" w:rsidP="00FC5566">
            <w:pPr>
              <w:ind w:left="78"/>
              <w:rPr>
                <w:sz w:val="16"/>
                <w:szCs w:val="16"/>
              </w:rPr>
            </w:pPr>
          </w:p>
        </w:tc>
      </w:tr>
      <w:tr w:rsidR="00FC5566" w:rsidRPr="00FC5566" w14:paraId="266E9666" w14:textId="77777777" w:rsidTr="00B247D5">
        <w:trPr>
          <w:trHeight w:val="187"/>
        </w:trPr>
        <w:tc>
          <w:tcPr>
            <w:tcW w:w="1080" w:type="dxa"/>
            <w:tcBorders>
              <w:top w:val="single" w:sz="6" w:space="0" w:color="000000"/>
              <w:left w:val="single" w:sz="6" w:space="0" w:color="000000"/>
              <w:bottom w:val="single" w:sz="6" w:space="0" w:color="000000"/>
              <w:right w:val="single" w:sz="6" w:space="0" w:color="000000"/>
            </w:tcBorders>
          </w:tcPr>
          <w:p w14:paraId="339958A7" w14:textId="77777777" w:rsidR="00FC5566" w:rsidRPr="00FC5566" w:rsidRDefault="00FC5566" w:rsidP="00FC5566">
            <w:pPr>
              <w:ind w:right="5"/>
              <w:jc w:val="center"/>
              <w:rPr>
                <w:spacing w:val="-2"/>
                <w:sz w:val="16"/>
                <w:szCs w:val="16"/>
              </w:rPr>
            </w:pPr>
            <w:r w:rsidRPr="00FC5566">
              <w:rPr>
                <w:spacing w:val="-2"/>
                <w:sz w:val="16"/>
                <w:szCs w:val="16"/>
              </w:rPr>
              <w:lastRenderedPageBreak/>
              <w:t>Amend</w:t>
            </w:r>
          </w:p>
        </w:tc>
        <w:tc>
          <w:tcPr>
            <w:tcW w:w="2430" w:type="dxa"/>
            <w:tcBorders>
              <w:top w:val="single" w:sz="6" w:space="0" w:color="000000"/>
              <w:left w:val="single" w:sz="6" w:space="0" w:color="000000"/>
              <w:bottom w:val="single" w:sz="6" w:space="0" w:color="000000"/>
              <w:right w:val="single" w:sz="6" w:space="0" w:color="000000"/>
            </w:tcBorders>
          </w:tcPr>
          <w:p w14:paraId="1CEAD8E2" w14:textId="77777777" w:rsidR="00FC5566" w:rsidRPr="00FC5566" w:rsidRDefault="00FC5566" w:rsidP="00FC5566">
            <w:pPr>
              <w:ind w:left="71"/>
              <w:rPr>
                <w:sz w:val="16"/>
                <w:szCs w:val="16"/>
              </w:rPr>
            </w:pPr>
            <w:r w:rsidRPr="00FC5566">
              <w:rPr>
                <w:sz w:val="16"/>
                <w:szCs w:val="16"/>
              </w:rPr>
              <w:t>Item (1.)</w:t>
            </w:r>
          </w:p>
        </w:tc>
        <w:tc>
          <w:tcPr>
            <w:tcW w:w="7099" w:type="dxa"/>
            <w:tcBorders>
              <w:top w:val="single" w:sz="6" w:space="0" w:color="000000"/>
              <w:left w:val="single" w:sz="6" w:space="0" w:color="000000"/>
              <w:bottom w:val="single" w:sz="6" w:space="0" w:color="000000"/>
              <w:right w:val="single" w:sz="6" w:space="0" w:color="000000"/>
            </w:tcBorders>
          </w:tcPr>
          <w:p w14:paraId="788F2440" w14:textId="77777777" w:rsidR="00FC5566" w:rsidRPr="00FC5566" w:rsidRDefault="00FC5566" w:rsidP="00FC5566">
            <w:pPr>
              <w:tabs>
                <w:tab w:val="left" w:pos="355"/>
              </w:tabs>
              <w:ind w:left="85"/>
              <w:contextualSpacing/>
              <w:rPr>
                <w:sz w:val="16"/>
                <w:szCs w:val="16"/>
              </w:rPr>
            </w:pPr>
            <w:r w:rsidRPr="00FC5566">
              <w:rPr>
                <w:sz w:val="16"/>
                <w:szCs w:val="16"/>
              </w:rPr>
              <w:t>1. A </w:t>
            </w:r>
            <w:r w:rsidRPr="00FC5566">
              <w:rPr>
                <w:i/>
                <w:iCs/>
                <w:sz w:val="16"/>
                <w:szCs w:val="16"/>
              </w:rPr>
              <w:t>fire-resistance rating</w:t>
            </w:r>
            <w:r w:rsidRPr="00FC5566">
              <w:rPr>
                <w:sz w:val="16"/>
                <w:szCs w:val="16"/>
              </w:rPr>
              <w:t> is not required for </w:t>
            </w:r>
            <w:r w:rsidRPr="00FC5566">
              <w:rPr>
                <w:i/>
                <w:iCs/>
                <w:sz w:val="16"/>
                <w:szCs w:val="16"/>
              </w:rPr>
              <w:t>corridors</w:t>
            </w:r>
            <w:r w:rsidRPr="00FC5566">
              <w:rPr>
                <w:sz w:val="16"/>
                <w:szCs w:val="16"/>
              </w:rPr>
              <w:t> in occupancies Group A and E where each room that is used for instruction has not less than one door opening directly to the exterior and rooms for assembly purposes have not less than one-half of the required means of egress doors opening directly to the exterior. Exterior doors specified in this exception are required to be at ground level.</w:t>
            </w:r>
          </w:p>
        </w:tc>
      </w:tr>
      <w:tr w:rsidR="00FC5566" w:rsidRPr="00FC5566" w14:paraId="2620F135" w14:textId="77777777" w:rsidTr="00B247D5">
        <w:trPr>
          <w:trHeight w:val="374"/>
        </w:trPr>
        <w:tc>
          <w:tcPr>
            <w:tcW w:w="1080" w:type="dxa"/>
            <w:tcBorders>
              <w:top w:val="single" w:sz="6" w:space="0" w:color="000000"/>
              <w:left w:val="single" w:sz="6" w:space="0" w:color="000000"/>
              <w:bottom w:val="single" w:sz="6" w:space="0" w:color="000000"/>
              <w:right w:val="single" w:sz="6" w:space="0" w:color="000000"/>
            </w:tcBorders>
          </w:tcPr>
          <w:p w14:paraId="7B8C974D" w14:textId="77777777" w:rsidR="00FC5566" w:rsidRPr="00FC5566" w:rsidRDefault="00FC5566" w:rsidP="00FC5566">
            <w:pPr>
              <w:ind w:right="5"/>
              <w:jc w:val="center"/>
              <w:rPr>
                <w:spacing w:val="-2"/>
                <w:sz w:val="16"/>
                <w:szCs w:val="16"/>
              </w:rPr>
            </w:pPr>
            <w:r w:rsidRPr="00FC5566">
              <w:rPr>
                <w:spacing w:val="-2"/>
                <w:sz w:val="16"/>
                <w:szCs w:val="16"/>
              </w:rPr>
              <w:t>Adopt</w:t>
            </w:r>
          </w:p>
        </w:tc>
        <w:tc>
          <w:tcPr>
            <w:tcW w:w="2430" w:type="dxa"/>
            <w:tcBorders>
              <w:top w:val="single" w:sz="6" w:space="0" w:color="000000"/>
              <w:left w:val="single" w:sz="6" w:space="0" w:color="000000"/>
              <w:bottom w:val="single" w:sz="6" w:space="0" w:color="000000"/>
              <w:right w:val="single" w:sz="6" w:space="0" w:color="000000"/>
            </w:tcBorders>
          </w:tcPr>
          <w:p w14:paraId="5B95536A" w14:textId="77777777" w:rsidR="00FC5566" w:rsidRPr="00FC5566" w:rsidRDefault="00FC5566" w:rsidP="00FC5566">
            <w:pPr>
              <w:ind w:left="71"/>
              <w:rPr>
                <w:sz w:val="16"/>
                <w:szCs w:val="16"/>
              </w:rPr>
            </w:pPr>
            <w:r w:rsidRPr="00FC5566">
              <w:rPr>
                <w:sz w:val="16"/>
                <w:szCs w:val="16"/>
              </w:rPr>
              <w:t>Item (6.)</w:t>
            </w:r>
          </w:p>
        </w:tc>
        <w:tc>
          <w:tcPr>
            <w:tcW w:w="7099" w:type="dxa"/>
            <w:tcBorders>
              <w:top w:val="single" w:sz="6" w:space="0" w:color="000000"/>
              <w:left w:val="single" w:sz="6" w:space="0" w:color="000000"/>
              <w:bottom w:val="single" w:sz="6" w:space="0" w:color="000000"/>
              <w:right w:val="single" w:sz="6" w:space="0" w:color="000000"/>
            </w:tcBorders>
          </w:tcPr>
          <w:p w14:paraId="0AADFFD3" w14:textId="77777777" w:rsidR="00FC5566" w:rsidRPr="00FC5566" w:rsidRDefault="00FC5566" w:rsidP="00FC5566">
            <w:pPr>
              <w:ind w:left="78"/>
              <w:rPr>
                <w:sz w:val="16"/>
                <w:szCs w:val="16"/>
              </w:rPr>
            </w:pPr>
            <w:r w:rsidRPr="00FC5566">
              <w:rPr>
                <w:sz w:val="16"/>
                <w:szCs w:val="16"/>
              </w:rPr>
              <w:t>6. A fire-resistance rating is not required for corridors where the space or area served does not exceed</w:t>
            </w:r>
          </w:p>
          <w:p w14:paraId="503BEDDC" w14:textId="77777777" w:rsidR="00FC5566" w:rsidRPr="00FC5566" w:rsidRDefault="00FC5566" w:rsidP="00FC5566">
            <w:pPr>
              <w:ind w:left="78"/>
              <w:rPr>
                <w:sz w:val="16"/>
                <w:szCs w:val="16"/>
              </w:rPr>
            </w:pPr>
            <w:r w:rsidRPr="00FC5566">
              <w:rPr>
                <w:sz w:val="16"/>
                <w:szCs w:val="16"/>
              </w:rPr>
              <w:t>the occupant load and common path of egress travel values, for each occupancy, listed in Table 1006.2.1. The travel distance to the exit from the space or area served shall not exceed the common path of travel.</w:t>
            </w:r>
          </w:p>
        </w:tc>
      </w:tr>
      <w:tr w:rsidR="00FC5566" w:rsidRPr="00FC5566" w14:paraId="3C20F97D" w14:textId="77777777" w:rsidTr="00B247D5">
        <w:trPr>
          <w:trHeight w:val="374"/>
        </w:trPr>
        <w:tc>
          <w:tcPr>
            <w:tcW w:w="1080" w:type="dxa"/>
            <w:tcBorders>
              <w:top w:val="single" w:sz="6" w:space="0" w:color="000000"/>
              <w:left w:val="single" w:sz="6" w:space="0" w:color="000000"/>
              <w:bottom w:val="single" w:sz="6" w:space="0" w:color="000000"/>
              <w:right w:val="single" w:sz="6" w:space="0" w:color="000000"/>
            </w:tcBorders>
          </w:tcPr>
          <w:p w14:paraId="58D24163" w14:textId="77777777" w:rsidR="00FC5566" w:rsidRPr="00FC5566" w:rsidRDefault="00FC5566" w:rsidP="00FC5566">
            <w:pPr>
              <w:ind w:right="5"/>
              <w:jc w:val="center"/>
              <w:rPr>
                <w:spacing w:val="-2"/>
                <w:sz w:val="16"/>
                <w:szCs w:val="16"/>
              </w:rPr>
            </w:pPr>
            <w:r w:rsidRPr="00FC5566">
              <w:rPr>
                <w:spacing w:val="-2"/>
                <w:sz w:val="16"/>
                <w:szCs w:val="16"/>
              </w:rPr>
              <w:t>Adopt</w:t>
            </w:r>
          </w:p>
        </w:tc>
        <w:tc>
          <w:tcPr>
            <w:tcW w:w="2430" w:type="dxa"/>
            <w:tcBorders>
              <w:top w:val="single" w:sz="6" w:space="0" w:color="000000"/>
              <w:left w:val="single" w:sz="6" w:space="0" w:color="000000"/>
              <w:bottom w:val="single" w:sz="6" w:space="0" w:color="000000"/>
              <w:right w:val="single" w:sz="6" w:space="0" w:color="000000"/>
            </w:tcBorders>
          </w:tcPr>
          <w:p w14:paraId="15236994" w14:textId="77777777" w:rsidR="00FC5566" w:rsidRPr="00FC5566" w:rsidRDefault="00FC5566" w:rsidP="00FC5566">
            <w:pPr>
              <w:ind w:left="71"/>
              <w:rPr>
                <w:sz w:val="16"/>
                <w:szCs w:val="16"/>
              </w:rPr>
            </w:pPr>
            <w:r w:rsidRPr="00FC5566">
              <w:rPr>
                <w:sz w:val="16"/>
                <w:szCs w:val="16"/>
              </w:rPr>
              <w:t>Item (7.)</w:t>
            </w:r>
          </w:p>
        </w:tc>
        <w:tc>
          <w:tcPr>
            <w:tcW w:w="7099" w:type="dxa"/>
            <w:tcBorders>
              <w:top w:val="single" w:sz="6" w:space="0" w:color="000000"/>
              <w:left w:val="single" w:sz="6" w:space="0" w:color="000000"/>
              <w:bottom w:val="single" w:sz="6" w:space="0" w:color="000000"/>
              <w:right w:val="single" w:sz="6" w:space="0" w:color="000000"/>
            </w:tcBorders>
          </w:tcPr>
          <w:p w14:paraId="0A961ADA" w14:textId="77777777" w:rsidR="00FC5566" w:rsidRPr="00FC5566" w:rsidRDefault="00FC5566" w:rsidP="00FC5566">
            <w:pPr>
              <w:ind w:left="78"/>
              <w:rPr>
                <w:sz w:val="16"/>
                <w:szCs w:val="16"/>
              </w:rPr>
            </w:pPr>
            <w:r w:rsidRPr="00FC5566">
              <w:rPr>
                <w:sz w:val="16"/>
                <w:szCs w:val="16"/>
              </w:rPr>
              <w:t xml:space="preserve">7. Fire-resistance rating is not required for lobbies serving only one assembly area that meet the </w:t>
            </w:r>
          </w:p>
          <w:p w14:paraId="3B90C6A2" w14:textId="77777777" w:rsidR="00FC5566" w:rsidRPr="00FC5566" w:rsidRDefault="00FC5566" w:rsidP="00FC5566">
            <w:pPr>
              <w:ind w:left="78"/>
              <w:rPr>
                <w:sz w:val="16"/>
                <w:szCs w:val="16"/>
              </w:rPr>
            </w:pPr>
            <w:r w:rsidRPr="00FC5566">
              <w:rPr>
                <w:sz w:val="16"/>
                <w:szCs w:val="16"/>
              </w:rPr>
              <w:t>requirements for intervening rooms (see Section 1016.2)</w:t>
            </w:r>
          </w:p>
        </w:tc>
      </w:tr>
      <w:tr w:rsidR="00FC5566" w:rsidRPr="00FC5566" w14:paraId="770C6ED9" w14:textId="77777777" w:rsidTr="00B247D5">
        <w:trPr>
          <w:trHeight w:val="374"/>
        </w:trPr>
        <w:tc>
          <w:tcPr>
            <w:tcW w:w="1080" w:type="dxa"/>
            <w:tcBorders>
              <w:top w:val="single" w:sz="6" w:space="0" w:color="000000"/>
              <w:left w:val="single" w:sz="6" w:space="0" w:color="000000"/>
              <w:bottom w:val="single" w:sz="6" w:space="0" w:color="000000"/>
              <w:right w:val="single" w:sz="6" w:space="0" w:color="000000"/>
            </w:tcBorders>
          </w:tcPr>
          <w:p w14:paraId="580FF292"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76D9B3C9" w14:textId="77777777" w:rsidR="00FC5566" w:rsidRPr="00FC5566" w:rsidRDefault="00FC5566" w:rsidP="00FC5566">
            <w:pPr>
              <w:ind w:left="71"/>
              <w:rPr>
                <w:sz w:val="16"/>
                <w:szCs w:val="16"/>
              </w:rPr>
            </w:pPr>
            <w:r w:rsidRPr="00FC5566">
              <w:rPr>
                <w:sz w:val="16"/>
                <w:szCs w:val="16"/>
              </w:rPr>
              <w:t>Table 1020.2, Corridor Fire-Resistance Rating.</w:t>
            </w:r>
          </w:p>
        </w:tc>
        <w:tc>
          <w:tcPr>
            <w:tcW w:w="7099" w:type="dxa"/>
            <w:tcBorders>
              <w:top w:val="single" w:sz="6" w:space="0" w:color="000000"/>
              <w:left w:val="single" w:sz="6" w:space="0" w:color="000000"/>
              <w:bottom w:val="single" w:sz="6" w:space="0" w:color="000000"/>
              <w:right w:val="single" w:sz="6" w:space="0" w:color="000000"/>
            </w:tcBorders>
          </w:tcPr>
          <w:p w14:paraId="18D323AD" w14:textId="77777777" w:rsidR="00FC5566" w:rsidRPr="00FC5566" w:rsidRDefault="00FC5566" w:rsidP="00FC5566">
            <w:pPr>
              <w:ind w:left="78"/>
              <w:rPr>
                <w:sz w:val="16"/>
                <w:szCs w:val="16"/>
              </w:rPr>
            </w:pPr>
          </w:p>
        </w:tc>
      </w:tr>
      <w:tr w:rsidR="00FC5566" w:rsidRPr="00FC5566" w14:paraId="45B22879" w14:textId="77777777" w:rsidTr="00B247D5">
        <w:trPr>
          <w:trHeight w:val="374"/>
        </w:trPr>
        <w:tc>
          <w:tcPr>
            <w:tcW w:w="1080" w:type="dxa"/>
            <w:tcBorders>
              <w:top w:val="single" w:sz="6" w:space="0" w:color="000000"/>
              <w:left w:val="single" w:sz="6" w:space="0" w:color="000000"/>
              <w:bottom w:val="single" w:sz="6" w:space="0" w:color="000000"/>
              <w:right w:val="single" w:sz="6" w:space="0" w:color="000000"/>
            </w:tcBorders>
          </w:tcPr>
          <w:p w14:paraId="33057438"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734845B5" w14:textId="77777777" w:rsidR="00FC5566" w:rsidRPr="00FC5566" w:rsidRDefault="00FC5566" w:rsidP="00FC5566">
            <w:pPr>
              <w:ind w:left="71"/>
              <w:rPr>
                <w:sz w:val="16"/>
                <w:szCs w:val="16"/>
              </w:rPr>
            </w:pPr>
            <w:r w:rsidRPr="00FC5566">
              <w:rPr>
                <w:sz w:val="16"/>
                <w:szCs w:val="16"/>
              </w:rPr>
              <w:t>Row name (A, B, E, F, M, S, U)</w:t>
            </w:r>
          </w:p>
        </w:tc>
        <w:tc>
          <w:tcPr>
            <w:tcW w:w="7099" w:type="dxa"/>
            <w:tcBorders>
              <w:top w:val="single" w:sz="6" w:space="0" w:color="000000"/>
              <w:left w:val="single" w:sz="6" w:space="0" w:color="000000"/>
              <w:bottom w:val="single" w:sz="6" w:space="0" w:color="000000"/>
              <w:right w:val="single" w:sz="6" w:space="0" w:color="000000"/>
            </w:tcBorders>
          </w:tcPr>
          <w:p w14:paraId="36A727E4" w14:textId="77777777" w:rsidR="00FC5566" w:rsidRPr="00FC5566" w:rsidRDefault="00FC5566" w:rsidP="00FC5566">
            <w:pPr>
              <w:ind w:left="78"/>
              <w:rPr>
                <w:sz w:val="16"/>
                <w:szCs w:val="16"/>
              </w:rPr>
            </w:pPr>
            <w:r w:rsidRPr="00FC5566">
              <w:rPr>
                <w:sz w:val="16"/>
                <w:szCs w:val="16"/>
              </w:rPr>
              <w:t>Add footnote (e.).</w:t>
            </w:r>
          </w:p>
        </w:tc>
      </w:tr>
      <w:tr w:rsidR="00FC5566" w:rsidRPr="00FC5566" w14:paraId="0E8A42E2" w14:textId="77777777" w:rsidTr="00B247D5">
        <w:trPr>
          <w:trHeight w:val="374"/>
        </w:trPr>
        <w:tc>
          <w:tcPr>
            <w:tcW w:w="1080" w:type="dxa"/>
            <w:tcBorders>
              <w:top w:val="single" w:sz="6" w:space="0" w:color="000000"/>
              <w:left w:val="single" w:sz="6" w:space="0" w:color="000000"/>
              <w:bottom w:val="single" w:sz="6" w:space="0" w:color="000000"/>
              <w:right w:val="single" w:sz="6" w:space="0" w:color="000000"/>
            </w:tcBorders>
          </w:tcPr>
          <w:p w14:paraId="5EC79135" w14:textId="77777777" w:rsidR="00FC5566" w:rsidRPr="00FC5566" w:rsidRDefault="00FC5566" w:rsidP="00FC5566">
            <w:pPr>
              <w:ind w:right="5"/>
              <w:jc w:val="center"/>
              <w:rPr>
                <w:spacing w:val="-2"/>
                <w:sz w:val="16"/>
                <w:szCs w:val="16"/>
              </w:rPr>
            </w:pPr>
            <w:r w:rsidRPr="00FC5566">
              <w:rPr>
                <w:spacing w:val="-2"/>
                <w:sz w:val="16"/>
                <w:szCs w:val="16"/>
              </w:rPr>
              <w:t>Adopt</w:t>
            </w:r>
          </w:p>
        </w:tc>
        <w:tc>
          <w:tcPr>
            <w:tcW w:w="2430" w:type="dxa"/>
            <w:tcBorders>
              <w:top w:val="single" w:sz="6" w:space="0" w:color="000000"/>
              <w:left w:val="single" w:sz="6" w:space="0" w:color="000000"/>
              <w:bottom w:val="single" w:sz="6" w:space="0" w:color="000000"/>
              <w:right w:val="single" w:sz="6" w:space="0" w:color="000000"/>
            </w:tcBorders>
          </w:tcPr>
          <w:p w14:paraId="291A83A2" w14:textId="77777777" w:rsidR="00FC5566" w:rsidRPr="00FC5566" w:rsidRDefault="00FC5566" w:rsidP="00FC5566">
            <w:pPr>
              <w:ind w:left="71"/>
              <w:rPr>
                <w:sz w:val="16"/>
                <w:szCs w:val="16"/>
              </w:rPr>
            </w:pPr>
            <w:r w:rsidRPr="00FC5566">
              <w:rPr>
                <w:sz w:val="16"/>
                <w:szCs w:val="16"/>
              </w:rPr>
              <w:t>Footnote (e.)</w:t>
            </w:r>
          </w:p>
        </w:tc>
        <w:tc>
          <w:tcPr>
            <w:tcW w:w="7099" w:type="dxa"/>
            <w:tcBorders>
              <w:top w:val="single" w:sz="6" w:space="0" w:color="000000"/>
              <w:left w:val="single" w:sz="6" w:space="0" w:color="000000"/>
              <w:bottom w:val="single" w:sz="6" w:space="0" w:color="000000"/>
              <w:right w:val="single" w:sz="6" w:space="0" w:color="000000"/>
            </w:tcBorders>
          </w:tcPr>
          <w:p w14:paraId="7938AE79" w14:textId="77777777" w:rsidR="00FC5566" w:rsidRPr="00FC5566" w:rsidRDefault="00FC5566" w:rsidP="00FC5566">
            <w:pPr>
              <w:ind w:left="78"/>
              <w:rPr>
                <w:sz w:val="16"/>
                <w:szCs w:val="16"/>
              </w:rPr>
            </w:pPr>
            <w:r w:rsidRPr="00FC5566">
              <w:rPr>
                <w:sz w:val="16"/>
                <w:szCs w:val="16"/>
              </w:rPr>
              <w:t>e. Educational and Daycare Occupancies – Requires smoke partitions for corridor walls when the building has sprinkler protection.</w:t>
            </w:r>
          </w:p>
        </w:tc>
      </w:tr>
      <w:tr w:rsidR="00FC5566" w:rsidRPr="00FC5566" w14:paraId="763A4CE6" w14:textId="77777777" w:rsidTr="00B247D5">
        <w:trPr>
          <w:trHeight w:val="187"/>
        </w:trPr>
        <w:tc>
          <w:tcPr>
            <w:tcW w:w="1080" w:type="dxa"/>
            <w:tcBorders>
              <w:top w:val="single" w:sz="6" w:space="0" w:color="000000"/>
              <w:left w:val="single" w:sz="6" w:space="0" w:color="000000"/>
              <w:bottom w:val="single" w:sz="6" w:space="0" w:color="000000"/>
              <w:right w:val="single" w:sz="6" w:space="0" w:color="000000"/>
            </w:tcBorders>
          </w:tcPr>
          <w:p w14:paraId="6934935E"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210670FD" w14:textId="77777777" w:rsidR="00FC5566" w:rsidRPr="00FC5566" w:rsidRDefault="00FC5566" w:rsidP="00FC5566">
            <w:pPr>
              <w:rPr>
                <w:sz w:val="16"/>
                <w:szCs w:val="16"/>
              </w:rPr>
            </w:pPr>
            <w:r w:rsidRPr="00FC5566">
              <w:rPr>
                <w:sz w:val="16"/>
                <w:szCs w:val="16"/>
              </w:rPr>
              <w:t xml:space="preserve">  Section 1020.6, Air Movement in</w:t>
            </w:r>
          </w:p>
          <w:p w14:paraId="0F296CB6" w14:textId="77777777" w:rsidR="00FC5566" w:rsidRPr="00FC5566" w:rsidRDefault="00FC5566" w:rsidP="00FC5566">
            <w:pPr>
              <w:ind w:left="71"/>
              <w:rPr>
                <w:sz w:val="16"/>
                <w:szCs w:val="16"/>
              </w:rPr>
            </w:pPr>
            <w:r w:rsidRPr="00FC5566">
              <w:rPr>
                <w:sz w:val="16"/>
                <w:szCs w:val="16"/>
              </w:rPr>
              <w:t>Corridors.</w:t>
            </w:r>
          </w:p>
        </w:tc>
        <w:tc>
          <w:tcPr>
            <w:tcW w:w="7099" w:type="dxa"/>
            <w:tcBorders>
              <w:top w:val="single" w:sz="6" w:space="0" w:color="000000"/>
              <w:left w:val="single" w:sz="6" w:space="0" w:color="000000"/>
              <w:bottom w:val="single" w:sz="6" w:space="0" w:color="000000"/>
              <w:right w:val="single" w:sz="6" w:space="0" w:color="000000"/>
            </w:tcBorders>
          </w:tcPr>
          <w:p w14:paraId="433C2A94" w14:textId="77777777" w:rsidR="00FC5566" w:rsidRPr="00FC5566" w:rsidRDefault="00FC5566" w:rsidP="00FC5566">
            <w:pPr>
              <w:ind w:left="78"/>
              <w:rPr>
                <w:sz w:val="16"/>
                <w:szCs w:val="16"/>
              </w:rPr>
            </w:pPr>
            <w:r w:rsidRPr="00FC5566">
              <w:rPr>
                <w:sz w:val="16"/>
                <w:szCs w:val="16"/>
              </w:rPr>
              <w:t>Corridors that require protection under Table 1020.1—Corridor Fire-Resistance Rating, shall not serve as supply, return, exhaust, relief or ventilation air ducts.</w:t>
            </w:r>
          </w:p>
        </w:tc>
      </w:tr>
      <w:tr w:rsidR="00FC5566" w:rsidRPr="00FC5566" w14:paraId="22999B43" w14:textId="77777777" w:rsidTr="00B247D5">
        <w:trPr>
          <w:trHeight w:val="187"/>
        </w:trPr>
        <w:tc>
          <w:tcPr>
            <w:tcW w:w="1080" w:type="dxa"/>
            <w:tcBorders>
              <w:top w:val="single" w:sz="6" w:space="0" w:color="000000"/>
              <w:left w:val="single" w:sz="6" w:space="0" w:color="000000"/>
              <w:bottom w:val="single" w:sz="6" w:space="0" w:color="000000"/>
              <w:right w:val="single" w:sz="6" w:space="0" w:color="000000"/>
            </w:tcBorders>
          </w:tcPr>
          <w:p w14:paraId="35A50B4B"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17AEF9EA" w14:textId="77777777" w:rsidR="00FC5566" w:rsidRPr="00FC5566" w:rsidRDefault="00FC5566" w:rsidP="00FC5566">
            <w:pPr>
              <w:ind w:left="71"/>
              <w:rPr>
                <w:sz w:val="16"/>
                <w:szCs w:val="16"/>
              </w:rPr>
            </w:pPr>
            <w:r w:rsidRPr="00FC5566">
              <w:rPr>
                <w:sz w:val="16"/>
                <w:szCs w:val="16"/>
              </w:rPr>
              <w:t>Section 1027.6, Exterior Exit Stairway and Ramp Protection.</w:t>
            </w:r>
          </w:p>
        </w:tc>
        <w:tc>
          <w:tcPr>
            <w:tcW w:w="7099" w:type="dxa"/>
            <w:tcBorders>
              <w:top w:val="single" w:sz="6" w:space="0" w:color="000000"/>
              <w:left w:val="single" w:sz="6" w:space="0" w:color="000000"/>
              <w:bottom w:val="single" w:sz="6" w:space="0" w:color="000000"/>
              <w:right w:val="single" w:sz="6" w:space="0" w:color="000000"/>
            </w:tcBorders>
          </w:tcPr>
          <w:p w14:paraId="2EB64C4B" w14:textId="77777777" w:rsidR="00FC5566" w:rsidRPr="00FC5566" w:rsidRDefault="00FC5566" w:rsidP="00FC5566">
            <w:pPr>
              <w:ind w:left="78"/>
              <w:rPr>
                <w:sz w:val="16"/>
                <w:szCs w:val="16"/>
              </w:rPr>
            </w:pPr>
          </w:p>
        </w:tc>
      </w:tr>
      <w:tr w:rsidR="00FC5566" w:rsidRPr="00FC5566" w14:paraId="78D4B630"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79E60DC9"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09ABDDEC" w14:textId="77777777" w:rsidR="00FC5566" w:rsidRPr="00FC5566" w:rsidRDefault="00FC5566" w:rsidP="00FC5566">
            <w:pPr>
              <w:ind w:left="71"/>
              <w:rPr>
                <w:sz w:val="16"/>
                <w:szCs w:val="16"/>
              </w:rPr>
            </w:pPr>
            <w:r w:rsidRPr="00FC5566">
              <w:rPr>
                <w:sz w:val="16"/>
                <w:szCs w:val="16"/>
              </w:rPr>
              <w:t>Exceptions</w:t>
            </w:r>
          </w:p>
        </w:tc>
        <w:tc>
          <w:tcPr>
            <w:tcW w:w="7099" w:type="dxa"/>
            <w:tcBorders>
              <w:top w:val="single" w:sz="6" w:space="0" w:color="000000"/>
              <w:left w:val="single" w:sz="6" w:space="0" w:color="000000"/>
              <w:bottom w:val="single" w:sz="6" w:space="0" w:color="000000"/>
              <w:right w:val="single" w:sz="6" w:space="0" w:color="000000"/>
            </w:tcBorders>
          </w:tcPr>
          <w:p w14:paraId="216D4AA1" w14:textId="77777777" w:rsidR="00FC5566" w:rsidRPr="00FC5566" w:rsidRDefault="00FC5566" w:rsidP="00FC5566">
            <w:pPr>
              <w:ind w:left="78"/>
              <w:rPr>
                <w:sz w:val="16"/>
                <w:szCs w:val="16"/>
              </w:rPr>
            </w:pPr>
          </w:p>
        </w:tc>
      </w:tr>
      <w:tr w:rsidR="00FC5566" w:rsidRPr="00FC5566" w14:paraId="3FBC2E59" w14:textId="77777777" w:rsidTr="00B247D5">
        <w:trPr>
          <w:trHeight w:val="187"/>
        </w:trPr>
        <w:tc>
          <w:tcPr>
            <w:tcW w:w="1080" w:type="dxa"/>
            <w:tcBorders>
              <w:top w:val="single" w:sz="6" w:space="0" w:color="000000"/>
              <w:left w:val="single" w:sz="6" w:space="0" w:color="000000"/>
              <w:bottom w:val="single" w:sz="6" w:space="0" w:color="000000"/>
              <w:right w:val="single" w:sz="6" w:space="0" w:color="000000"/>
            </w:tcBorders>
          </w:tcPr>
          <w:p w14:paraId="135E3604" w14:textId="77777777" w:rsidR="00FC5566" w:rsidRPr="00FC5566" w:rsidRDefault="00FC5566" w:rsidP="00FC5566">
            <w:pPr>
              <w:ind w:right="5"/>
              <w:jc w:val="center"/>
              <w:rPr>
                <w:spacing w:val="-2"/>
                <w:sz w:val="16"/>
                <w:szCs w:val="16"/>
              </w:rPr>
            </w:pPr>
            <w:r w:rsidRPr="00FC5566">
              <w:rPr>
                <w:spacing w:val="-2"/>
                <w:sz w:val="16"/>
                <w:szCs w:val="16"/>
              </w:rPr>
              <w:t>Adopt</w:t>
            </w:r>
          </w:p>
        </w:tc>
        <w:tc>
          <w:tcPr>
            <w:tcW w:w="2430" w:type="dxa"/>
            <w:tcBorders>
              <w:top w:val="single" w:sz="6" w:space="0" w:color="000000"/>
              <w:left w:val="single" w:sz="6" w:space="0" w:color="000000"/>
              <w:bottom w:val="single" w:sz="6" w:space="0" w:color="000000"/>
              <w:right w:val="single" w:sz="6" w:space="0" w:color="000000"/>
            </w:tcBorders>
          </w:tcPr>
          <w:p w14:paraId="204B048E" w14:textId="77777777" w:rsidR="00FC5566" w:rsidRPr="00FC5566" w:rsidRDefault="00FC5566" w:rsidP="00FC5566">
            <w:pPr>
              <w:ind w:left="71"/>
              <w:rPr>
                <w:sz w:val="16"/>
                <w:szCs w:val="16"/>
              </w:rPr>
            </w:pPr>
            <w:r w:rsidRPr="00FC5566">
              <w:rPr>
                <w:sz w:val="16"/>
                <w:szCs w:val="16"/>
              </w:rPr>
              <w:t>Item (5.)</w:t>
            </w:r>
          </w:p>
        </w:tc>
        <w:tc>
          <w:tcPr>
            <w:tcW w:w="7099" w:type="dxa"/>
            <w:tcBorders>
              <w:top w:val="single" w:sz="6" w:space="0" w:color="000000"/>
              <w:left w:val="single" w:sz="6" w:space="0" w:color="000000"/>
              <w:bottom w:val="single" w:sz="6" w:space="0" w:color="000000"/>
              <w:right w:val="single" w:sz="6" w:space="0" w:color="000000"/>
            </w:tcBorders>
          </w:tcPr>
          <w:p w14:paraId="78FA91E6" w14:textId="77777777" w:rsidR="00FC5566" w:rsidRPr="00FC5566" w:rsidRDefault="00FC5566" w:rsidP="00FC5566">
            <w:pPr>
              <w:ind w:left="78"/>
              <w:rPr>
                <w:sz w:val="16"/>
                <w:szCs w:val="16"/>
              </w:rPr>
            </w:pPr>
            <w:r w:rsidRPr="00FC5566">
              <w:rPr>
                <w:sz w:val="16"/>
                <w:szCs w:val="16"/>
              </w:rPr>
              <w:t>5. Exterior stairs or ramps which serve no more than one story above the level of exit discharge and constructed with non-combustible materials or constructed with fire retardant treated lumber, shall be allowed when the fire separation distance is between 5 and 10 feet measured from the exterior edge of the stairway or ramp.</w:t>
            </w:r>
          </w:p>
        </w:tc>
      </w:tr>
      <w:tr w:rsidR="00FC5566" w:rsidRPr="00FC5566" w14:paraId="58B05E83" w14:textId="77777777" w:rsidTr="00B247D5">
        <w:trPr>
          <w:trHeight w:val="187"/>
        </w:trPr>
        <w:tc>
          <w:tcPr>
            <w:tcW w:w="1080" w:type="dxa"/>
            <w:tcBorders>
              <w:top w:val="single" w:sz="6" w:space="0" w:color="000000"/>
              <w:left w:val="single" w:sz="6" w:space="0" w:color="000000"/>
              <w:bottom w:val="single" w:sz="6" w:space="0" w:color="000000"/>
              <w:right w:val="single" w:sz="6" w:space="0" w:color="000000"/>
            </w:tcBorders>
          </w:tcPr>
          <w:p w14:paraId="314AE7AC"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21A67512" w14:textId="77777777" w:rsidR="00FC5566" w:rsidRPr="00FC5566" w:rsidRDefault="00FC5566" w:rsidP="00FC5566">
            <w:pPr>
              <w:ind w:left="71"/>
              <w:rPr>
                <w:sz w:val="16"/>
                <w:szCs w:val="16"/>
              </w:rPr>
            </w:pPr>
            <w:r w:rsidRPr="00FC5566">
              <w:rPr>
                <w:sz w:val="16"/>
                <w:szCs w:val="16"/>
              </w:rPr>
              <w:t>Section 1030.2, Assembly Main Exit.</w:t>
            </w:r>
          </w:p>
        </w:tc>
        <w:tc>
          <w:tcPr>
            <w:tcW w:w="7099" w:type="dxa"/>
            <w:tcBorders>
              <w:top w:val="single" w:sz="6" w:space="0" w:color="000000"/>
              <w:left w:val="single" w:sz="6" w:space="0" w:color="000000"/>
              <w:bottom w:val="single" w:sz="6" w:space="0" w:color="000000"/>
              <w:right w:val="single" w:sz="6" w:space="0" w:color="000000"/>
            </w:tcBorders>
          </w:tcPr>
          <w:p w14:paraId="09E6073D" w14:textId="77777777" w:rsidR="00FC5566" w:rsidRPr="00FC5566" w:rsidRDefault="00FC5566" w:rsidP="00FC5566">
            <w:pPr>
              <w:ind w:left="78"/>
              <w:rPr>
                <w:sz w:val="16"/>
                <w:szCs w:val="16"/>
              </w:rPr>
            </w:pPr>
            <w:r w:rsidRPr="00FC5566">
              <w:rPr>
                <w:sz w:val="16"/>
                <w:szCs w:val="16"/>
              </w:rPr>
              <w:t>A </w:t>
            </w:r>
            <w:r w:rsidRPr="00FC5566">
              <w:rPr>
                <w:i/>
                <w:iCs/>
                <w:sz w:val="16"/>
                <w:szCs w:val="16"/>
              </w:rPr>
              <w:t>building</w:t>
            </w:r>
            <w:r w:rsidRPr="00FC5566">
              <w:rPr>
                <w:sz w:val="16"/>
                <w:szCs w:val="16"/>
              </w:rPr>
              <w:t>, room or space used for assembly purposes that has an </w:t>
            </w:r>
            <w:r w:rsidRPr="00FC5566">
              <w:rPr>
                <w:i/>
                <w:iCs/>
                <w:sz w:val="16"/>
                <w:szCs w:val="16"/>
              </w:rPr>
              <w:t>occupant load</w:t>
            </w:r>
            <w:r w:rsidRPr="00FC5566">
              <w:rPr>
                <w:sz w:val="16"/>
                <w:szCs w:val="16"/>
              </w:rPr>
              <w:t> of greater than 300 and is provided with a main </w:t>
            </w:r>
            <w:r w:rsidRPr="00FC5566">
              <w:rPr>
                <w:i/>
                <w:iCs/>
                <w:sz w:val="16"/>
                <w:szCs w:val="16"/>
              </w:rPr>
              <w:t>exit</w:t>
            </w:r>
            <w:r w:rsidRPr="00FC5566">
              <w:rPr>
                <w:sz w:val="16"/>
                <w:szCs w:val="16"/>
              </w:rPr>
              <w:t>, that main </w:t>
            </w:r>
            <w:r w:rsidRPr="00FC5566">
              <w:rPr>
                <w:i/>
                <w:iCs/>
                <w:sz w:val="16"/>
                <w:szCs w:val="16"/>
              </w:rPr>
              <w:t>exit</w:t>
            </w:r>
            <w:r w:rsidRPr="00FC5566">
              <w:rPr>
                <w:sz w:val="16"/>
                <w:szCs w:val="16"/>
              </w:rPr>
              <w:t> shall be of sufficient capacity to accommodate not less than one-half of the </w:t>
            </w:r>
            <w:r w:rsidRPr="00FC5566">
              <w:rPr>
                <w:i/>
                <w:iCs/>
                <w:sz w:val="16"/>
                <w:szCs w:val="16"/>
              </w:rPr>
              <w:t>occupant load</w:t>
            </w:r>
            <w:r w:rsidRPr="00FC5566">
              <w:rPr>
                <w:sz w:val="16"/>
                <w:szCs w:val="16"/>
              </w:rPr>
              <w:t>, but such capacity shall be not less than the total required capacity of all </w:t>
            </w:r>
            <w:r w:rsidRPr="00FC5566">
              <w:rPr>
                <w:i/>
                <w:iCs/>
                <w:sz w:val="16"/>
                <w:szCs w:val="16"/>
              </w:rPr>
              <w:t>means of egress</w:t>
            </w:r>
            <w:r w:rsidRPr="00FC5566">
              <w:rPr>
                <w:sz w:val="16"/>
                <w:szCs w:val="16"/>
              </w:rPr>
              <w:t> leading to the </w:t>
            </w:r>
            <w:r w:rsidRPr="00FC5566">
              <w:rPr>
                <w:i/>
                <w:iCs/>
                <w:sz w:val="16"/>
                <w:szCs w:val="16"/>
              </w:rPr>
              <w:t>exit</w:t>
            </w:r>
            <w:r w:rsidRPr="00FC5566">
              <w:rPr>
                <w:sz w:val="16"/>
                <w:szCs w:val="16"/>
              </w:rPr>
              <w:t>. Where the </w:t>
            </w:r>
            <w:r w:rsidRPr="00FC5566">
              <w:rPr>
                <w:i/>
                <w:iCs/>
                <w:sz w:val="16"/>
                <w:szCs w:val="16"/>
              </w:rPr>
              <w:t>building</w:t>
            </w:r>
            <w:r w:rsidRPr="00FC5566">
              <w:rPr>
                <w:sz w:val="16"/>
                <w:szCs w:val="16"/>
              </w:rPr>
              <w:t> is classified as a Group A occupancy, the main </w:t>
            </w:r>
            <w:r w:rsidRPr="00FC5566">
              <w:rPr>
                <w:i/>
                <w:iCs/>
                <w:sz w:val="16"/>
                <w:szCs w:val="16"/>
              </w:rPr>
              <w:t>exit</w:t>
            </w:r>
            <w:r w:rsidRPr="00FC5566">
              <w:rPr>
                <w:sz w:val="16"/>
                <w:szCs w:val="16"/>
              </w:rPr>
              <w:t> shall front on not less than one street or an unoccupied space of not less than 10 feet (3048 mm) in width that adjoins a street or </w:t>
            </w:r>
            <w:r w:rsidRPr="00FC5566">
              <w:rPr>
                <w:i/>
                <w:iCs/>
                <w:sz w:val="16"/>
                <w:szCs w:val="16"/>
              </w:rPr>
              <w:t>public way</w:t>
            </w:r>
            <w:r w:rsidRPr="00FC5566">
              <w:rPr>
                <w:sz w:val="16"/>
                <w:szCs w:val="16"/>
              </w:rPr>
              <w:t>. In a </w:t>
            </w:r>
            <w:r w:rsidRPr="00FC5566">
              <w:rPr>
                <w:i/>
                <w:iCs/>
                <w:sz w:val="16"/>
                <w:szCs w:val="16"/>
              </w:rPr>
              <w:t>building</w:t>
            </w:r>
            <w:r w:rsidRPr="00FC5566">
              <w:rPr>
                <w:sz w:val="16"/>
                <w:szCs w:val="16"/>
              </w:rPr>
              <w:t>, room or space used for assembly purposes where there is not a well-defined main </w:t>
            </w:r>
            <w:r w:rsidRPr="00FC5566">
              <w:rPr>
                <w:i/>
                <w:iCs/>
                <w:sz w:val="16"/>
                <w:szCs w:val="16"/>
              </w:rPr>
              <w:t>exit</w:t>
            </w:r>
            <w:r w:rsidRPr="00FC5566">
              <w:rPr>
                <w:sz w:val="16"/>
                <w:szCs w:val="16"/>
              </w:rPr>
              <w:t> or where multiple main </w:t>
            </w:r>
            <w:r w:rsidRPr="00FC5566">
              <w:rPr>
                <w:i/>
                <w:iCs/>
                <w:sz w:val="16"/>
                <w:szCs w:val="16"/>
              </w:rPr>
              <w:t>exits</w:t>
            </w:r>
            <w:r w:rsidRPr="00FC5566">
              <w:rPr>
                <w:sz w:val="16"/>
                <w:szCs w:val="16"/>
              </w:rPr>
              <w:t> are provided, </w:t>
            </w:r>
            <w:r w:rsidRPr="00FC5566">
              <w:rPr>
                <w:i/>
                <w:iCs/>
                <w:sz w:val="16"/>
                <w:szCs w:val="16"/>
              </w:rPr>
              <w:t>exits</w:t>
            </w:r>
            <w:r w:rsidRPr="00FC5566">
              <w:rPr>
                <w:sz w:val="16"/>
                <w:szCs w:val="16"/>
              </w:rPr>
              <w:t> shall be permitted to be distributed around the perimeter of the </w:t>
            </w:r>
            <w:r w:rsidRPr="00FC5566">
              <w:rPr>
                <w:i/>
                <w:iCs/>
                <w:sz w:val="16"/>
                <w:szCs w:val="16"/>
              </w:rPr>
              <w:t>building</w:t>
            </w:r>
            <w:r w:rsidRPr="00FC5566">
              <w:rPr>
                <w:sz w:val="16"/>
                <w:szCs w:val="16"/>
              </w:rPr>
              <w:t> provided that the total capacity of egress is not less than 100 percent of the required capacity.  In Dance Halls, Discotheques, Nightclubs, and assembly occupancies with festival seating, the main entry/exit shall accommodate two-thirds of the occupant load as defined in Table 1004.5 Assembly without fixed seats, Concentrated (7 net).</w:t>
            </w:r>
          </w:p>
        </w:tc>
      </w:tr>
      <w:tr w:rsidR="00FC5566" w:rsidRPr="00FC5566" w14:paraId="015630F2"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0126C001"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46A095DE" w14:textId="77777777" w:rsidR="00FC5566" w:rsidRPr="00FC5566" w:rsidRDefault="00FC5566" w:rsidP="00FC5566">
            <w:pPr>
              <w:ind w:left="71"/>
              <w:rPr>
                <w:rFonts w:eastAsia="Aptos"/>
                <w:kern w:val="2"/>
                <w:sz w:val="16"/>
                <w:szCs w:val="16"/>
              </w:rPr>
            </w:pPr>
            <w:r w:rsidRPr="00FC5566">
              <w:rPr>
                <w:rFonts w:eastAsia="Aptos"/>
                <w:kern w:val="2"/>
                <w:sz w:val="16"/>
                <w:szCs w:val="16"/>
              </w:rPr>
              <w:t>Chapter 11, Accessibility.</w:t>
            </w:r>
          </w:p>
        </w:tc>
        <w:tc>
          <w:tcPr>
            <w:tcW w:w="7099" w:type="dxa"/>
            <w:tcBorders>
              <w:top w:val="single" w:sz="6" w:space="0" w:color="000000"/>
              <w:left w:val="single" w:sz="6" w:space="0" w:color="000000"/>
              <w:bottom w:val="single" w:sz="6" w:space="0" w:color="000000"/>
              <w:right w:val="single" w:sz="6" w:space="0" w:color="000000"/>
            </w:tcBorders>
          </w:tcPr>
          <w:p w14:paraId="19A245A3" w14:textId="77777777" w:rsidR="00FC5566" w:rsidRPr="00FC5566" w:rsidRDefault="00FC5566" w:rsidP="00FC5566">
            <w:pPr>
              <w:ind w:left="78"/>
              <w:rPr>
                <w:sz w:val="16"/>
                <w:szCs w:val="16"/>
              </w:rPr>
            </w:pPr>
          </w:p>
        </w:tc>
      </w:tr>
      <w:tr w:rsidR="00FC5566" w:rsidRPr="00FC5566" w14:paraId="4BC079B9" w14:textId="77777777" w:rsidTr="00B247D5">
        <w:trPr>
          <w:trHeight w:val="187"/>
        </w:trPr>
        <w:tc>
          <w:tcPr>
            <w:tcW w:w="1080" w:type="dxa"/>
            <w:tcBorders>
              <w:top w:val="single" w:sz="6" w:space="0" w:color="000000"/>
              <w:left w:val="single" w:sz="6" w:space="0" w:color="000000"/>
              <w:bottom w:val="single" w:sz="6" w:space="0" w:color="000000"/>
              <w:right w:val="single" w:sz="6" w:space="0" w:color="000000"/>
            </w:tcBorders>
          </w:tcPr>
          <w:p w14:paraId="62A06644"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3E801AF1" w14:textId="77777777" w:rsidR="00FC5566" w:rsidRPr="00FC5566" w:rsidRDefault="00FC5566" w:rsidP="00FC5566">
            <w:pPr>
              <w:ind w:left="71"/>
              <w:rPr>
                <w:sz w:val="16"/>
                <w:szCs w:val="16"/>
              </w:rPr>
            </w:pPr>
            <w:r w:rsidRPr="00FC5566">
              <w:rPr>
                <w:rFonts w:eastAsia="Aptos"/>
                <w:kern w:val="2"/>
                <w:sz w:val="16"/>
                <w:szCs w:val="16"/>
              </w:rPr>
              <w:t>Section 1103.2.8, Areas in Places of Religious Worship.</w:t>
            </w:r>
          </w:p>
        </w:tc>
        <w:tc>
          <w:tcPr>
            <w:tcW w:w="7099" w:type="dxa"/>
            <w:tcBorders>
              <w:top w:val="single" w:sz="6" w:space="0" w:color="000000"/>
              <w:left w:val="single" w:sz="6" w:space="0" w:color="000000"/>
              <w:bottom w:val="single" w:sz="6" w:space="0" w:color="000000"/>
              <w:right w:val="single" w:sz="6" w:space="0" w:color="000000"/>
            </w:tcBorders>
          </w:tcPr>
          <w:p w14:paraId="5396657E" w14:textId="77777777" w:rsidR="00FC5566" w:rsidRPr="00FC5566" w:rsidRDefault="00FC5566" w:rsidP="00FC5566">
            <w:pPr>
              <w:ind w:left="78"/>
              <w:rPr>
                <w:sz w:val="16"/>
                <w:szCs w:val="16"/>
              </w:rPr>
            </w:pPr>
            <w:r w:rsidRPr="00FC5566">
              <w:rPr>
                <w:sz w:val="16"/>
                <w:szCs w:val="16"/>
              </w:rPr>
              <w:t xml:space="preserve">Any private club (except to the extent that the facilities of the private club are made available to customers or patrons of a place of public accommodation), or any </w:t>
            </w:r>
            <w:r w:rsidRPr="00FC5566">
              <w:rPr>
                <w:i/>
                <w:iCs/>
                <w:sz w:val="16"/>
                <w:szCs w:val="16"/>
              </w:rPr>
              <w:t>religious entity</w:t>
            </w:r>
            <w:r w:rsidRPr="00FC5566">
              <w:rPr>
                <w:sz w:val="16"/>
                <w:szCs w:val="16"/>
              </w:rPr>
              <w:t xml:space="preserve"> are not required to comply with this Chapter.</w:t>
            </w:r>
          </w:p>
        </w:tc>
      </w:tr>
      <w:tr w:rsidR="00FC5566" w:rsidRPr="00FC5566" w14:paraId="06335F74"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320A9E13"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5C5F2002" w14:textId="77777777" w:rsidR="00FC5566" w:rsidRPr="00FC5566" w:rsidRDefault="00FC5566" w:rsidP="00FC5566">
            <w:pPr>
              <w:ind w:left="78"/>
              <w:rPr>
                <w:sz w:val="16"/>
                <w:szCs w:val="16"/>
              </w:rPr>
            </w:pPr>
            <w:r w:rsidRPr="00FC5566">
              <w:rPr>
                <w:sz w:val="16"/>
                <w:szCs w:val="16"/>
              </w:rPr>
              <w:t>Section 1110.10, Elevators.</w:t>
            </w:r>
          </w:p>
        </w:tc>
        <w:tc>
          <w:tcPr>
            <w:tcW w:w="7099" w:type="dxa"/>
            <w:tcBorders>
              <w:top w:val="single" w:sz="6" w:space="0" w:color="000000"/>
              <w:left w:val="single" w:sz="6" w:space="0" w:color="000000"/>
              <w:bottom w:val="single" w:sz="6" w:space="0" w:color="000000"/>
              <w:right w:val="single" w:sz="6" w:space="0" w:color="000000"/>
            </w:tcBorders>
          </w:tcPr>
          <w:p w14:paraId="485BD627" w14:textId="77777777" w:rsidR="00FC5566" w:rsidRPr="00FC5566" w:rsidRDefault="00FC5566" w:rsidP="00FC5566">
            <w:pPr>
              <w:ind w:left="78"/>
              <w:rPr>
                <w:sz w:val="16"/>
                <w:szCs w:val="16"/>
              </w:rPr>
            </w:pPr>
          </w:p>
        </w:tc>
      </w:tr>
      <w:tr w:rsidR="00FC5566" w:rsidRPr="00FC5566" w14:paraId="04505C89" w14:textId="77777777" w:rsidTr="00B247D5">
        <w:trPr>
          <w:trHeight w:val="228"/>
        </w:trPr>
        <w:tc>
          <w:tcPr>
            <w:tcW w:w="1080" w:type="dxa"/>
            <w:tcBorders>
              <w:top w:val="single" w:sz="6" w:space="0" w:color="000000"/>
              <w:left w:val="single" w:sz="6" w:space="0" w:color="000000"/>
              <w:bottom w:val="single" w:sz="6" w:space="0" w:color="000000"/>
              <w:right w:val="single" w:sz="6" w:space="0" w:color="000000"/>
            </w:tcBorders>
          </w:tcPr>
          <w:p w14:paraId="7BE18AFA" w14:textId="77777777" w:rsidR="00FC5566" w:rsidRPr="00FC5566" w:rsidRDefault="00FC5566" w:rsidP="00FC5566">
            <w:pPr>
              <w:ind w:right="5"/>
              <w:jc w:val="center"/>
              <w:rPr>
                <w:spacing w:val="-2"/>
                <w:sz w:val="16"/>
                <w:szCs w:val="16"/>
              </w:rPr>
            </w:pPr>
            <w:r w:rsidRPr="00FC5566">
              <w:rPr>
                <w:spacing w:val="-2"/>
                <w:sz w:val="16"/>
                <w:szCs w:val="16"/>
              </w:rPr>
              <w:t>Adopt</w:t>
            </w:r>
          </w:p>
        </w:tc>
        <w:tc>
          <w:tcPr>
            <w:tcW w:w="2430" w:type="dxa"/>
            <w:tcBorders>
              <w:top w:val="single" w:sz="6" w:space="0" w:color="000000"/>
              <w:left w:val="single" w:sz="6" w:space="0" w:color="000000"/>
              <w:bottom w:val="single" w:sz="6" w:space="0" w:color="000000"/>
              <w:right w:val="single" w:sz="6" w:space="0" w:color="000000"/>
            </w:tcBorders>
          </w:tcPr>
          <w:p w14:paraId="169D8E9C" w14:textId="77777777" w:rsidR="00FC5566" w:rsidRPr="00FC5566" w:rsidRDefault="00FC5566" w:rsidP="00FC5566">
            <w:pPr>
              <w:ind w:left="71"/>
              <w:rPr>
                <w:sz w:val="16"/>
                <w:szCs w:val="16"/>
              </w:rPr>
            </w:pPr>
            <w:r w:rsidRPr="00FC5566">
              <w:rPr>
                <w:sz w:val="16"/>
                <w:szCs w:val="16"/>
              </w:rPr>
              <w:t>Exception</w:t>
            </w:r>
          </w:p>
        </w:tc>
        <w:tc>
          <w:tcPr>
            <w:tcW w:w="7099" w:type="dxa"/>
            <w:tcBorders>
              <w:top w:val="single" w:sz="6" w:space="0" w:color="000000"/>
              <w:left w:val="single" w:sz="6" w:space="0" w:color="000000"/>
              <w:bottom w:val="single" w:sz="6" w:space="0" w:color="000000"/>
              <w:right w:val="single" w:sz="6" w:space="0" w:color="000000"/>
            </w:tcBorders>
          </w:tcPr>
          <w:p w14:paraId="3574BED4" w14:textId="77777777" w:rsidR="00FC5566" w:rsidRPr="00FC5566" w:rsidRDefault="00FC5566" w:rsidP="00FC5566">
            <w:pPr>
              <w:ind w:left="78"/>
              <w:rPr>
                <w:b/>
                <w:bCs/>
                <w:sz w:val="16"/>
                <w:szCs w:val="16"/>
              </w:rPr>
            </w:pPr>
            <w:r w:rsidRPr="00FC5566">
              <w:rPr>
                <w:b/>
                <w:bCs/>
                <w:sz w:val="16"/>
                <w:szCs w:val="16"/>
              </w:rPr>
              <w:t>Exception:</w:t>
            </w:r>
          </w:p>
          <w:p w14:paraId="5AC9A1C8" w14:textId="77777777" w:rsidR="00FC5566" w:rsidRPr="00FC5566" w:rsidRDefault="00FC5566" w:rsidP="00FC5566">
            <w:pPr>
              <w:ind w:left="78"/>
              <w:rPr>
                <w:sz w:val="16"/>
                <w:szCs w:val="16"/>
              </w:rPr>
            </w:pPr>
            <w:r w:rsidRPr="00FC5566">
              <w:rPr>
                <w:sz w:val="16"/>
                <w:szCs w:val="16"/>
              </w:rPr>
              <w:t>Elevators are not required in privately owned buildings that are less than 3 stories.</w:t>
            </w:r>
          </w:p>
        </w:tc>
      </w:tr>
      <w:tr w:rsidR="00FC5566" w:rsidRPr="00FC5566" w14:paraId="0E93B097"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19FAB64F"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4230B390" w14:textId="77777777" w:rsidR="00FC5566" w:rsidRPr="00FC5566" w:rsidRDefault="00FC5566" w:rsidP="00FC5566">
            <w:pPr>
              <w:ind w:left="71"/>
              <w:rPr>
                <w:sz w:val="16"/>
                <w:szCs w:val="16"/>
              </w:rPr>
            </w:pPr>
            <w:r w:rsidRPr="00FC5566">
              <w:rPr>
                <w:sz w:val="16"/>
                <w:szCs w:val="16"/>
              </w:rPr>
              <w:t>Chapter 12, Interior Environment.</w:t>
            </w:r>
          </w:p>
        </w:tc>
        <w:tc>
          <w:tcPr>
            <w:tcW w:w="7099" w:type="dxa"/>
            <w:tcBorders>
              <w:top w:val="single" w:sz="6" w:space="0" w:color="000000"/>
              <w:left w:val="single" w:sz="6" w:space="0" w:color="000000"/>
              <w:bottom w:val="single" w:sz="6" w:space="0" w:color="000000"/>
              <w:right w:val="single" w:sz="6" w:space="0" w:color="000000"/>
            </w:tcBorders>
          </w:tcPr>
          <w:p w14:paraId="6165845C" w14:textId="77777777" w:rsidR="00FC5566" w:rsidRPr="00FC5566" w:rsidRDefault="00FC5566" w:rsidP="00FC5566">
            <w:pPr>
              <w:rPr>
                <w:sz w:val="16"/>
                <w:szCs w:val="16"/>
              </w:rPr>
            </w:pPr>
          </w:p>
        </w:tc>
      </w:tr>
      <w:tr w:rsidR="00FC5566" w:rsidRPr="00FC5566" w14:paraId="28A293EA" w14:textId="77777777" w:rsidTr="00B247D5">
        <w:trPr>
          <w:trHeight w:val="187"/>
        </w:trPr>
        <w:tc>
          <w:tcPr>
            <w:tcW w:w="1080" w:type="dxa"/>
            <w:tcBorders>
              <w:top w:val="single" w:sz="6" w:space="0" w:color="000000"/>
              <w:left w:val="single" w:sz="6" w:space="0" w:color="000000"/>
              <w:bottom w:val="single" w:sz="6" w:space="0" w:color="000000"/>
              <w:right w:val="single" w:sz="6" w:space="0" w:color="000000"/>
            </w:tcBorders>
          </w:tcPr>
          <w:p w14:paraId="52EA4B4C" w14:textId="77777777" w:rsidR="00FC5566" w:rsidRPr="00FC5566" w:rsidRDefault="00FC5566" w:rsidP="00FC5566">
            <w:pPr>
              <w:ind w:right="5"/>
              <w:jc w:val="center"/>
              <w:rPr>
                <w:spacing w:val="-2"/>
                <w:sz w:val="16"/>
                <w:szCs w:val="16"/>
              </w:rPr>
            </w:pPr>
            <w:r w:rsidRPr="00FC5566">
              <w:rPr>
                <w:spacing w:val="-2"/>
                <w:sz w:val="16"/>
                <w:szCs w:val="16"/>
              </w:rPr>
              <w:t>Repeal</w:t>
            </w:r>
          </w:p>
        </w:tc>
        <w:tc>
          <w:tcPr>
            <w:tcW w:w="2430" w:type="dxa"/>
            <w:tcBorders>
              <w:top w:val="single" w:sz="6" w:space="0" w:color="000000"/>
              <w:left w:val="single" w:sz="6" w:space="0" w:color="000000"/>
              <w:bottom w:val="single" w:sz="6" w:space="0" w:color="000000"/>
              <w:right w:val="single" w:sz="6" w:space="0" w:color="000000"/>
            </w:tcBorders>
          </w:tcPr>
          <w:p w14:paraId="01579687" w14:textId="77777777" w:rsidR="00FC5566" w:rsidRPr="00FC5566" w:rsidRDefault="00FC5566" w:rsidP="00FC5566">
            <w:pPr>
              <w:ind w:left="71"/>
              <w:rPr>
                <w:sz w:val="16"/>
                <w:szCs w:val="16"/>
              </w:rPr>
            </w:pPr>
            <w:r w:rsidRPr="00FC5566">
              <w:rPr>
                <w:sz w:val="16"/>
                <w:szCs w:val="16"/>
              </w:rPr>
              <w:t>Section 1207, Enhanced Classroom</w:t>
            </w:r>
          </w:p>
          <w:p w14:paraId="18366C72" w14:textId="77777777" w:rsidR="00FC5566" w:rsidRPr="00FC5566" w:rsidRDefault="00FC5566" w:rsidP="00FC5566">
            <w:pPr>
              <w:ind w:left="71"/>
              <w:rPr>
                <w:sz w:val="16"/>
                <w:szCs w:val="16"/>
              </w:rPr>
            </w:pPr>
            <w:r w:rsidRPr="00FC5566">
              <w:rPr>
                <w:sz w:val="16"/>
                <w:szCs w:val="16"/>
              </w:rPr>
              <w:t>Acoustics.</w:t>
            </w:r>
          </w:p>
        </w:tc>
        <w:tc>
          <w:tcPr>
            <w:tcW w:w="7099" w:type="dxa"/>
            <w:tcBorders>
              <w:top w:val="single" w:sz="6" w:space="0" w:color="000000"/>
              <w:left w:val="single" w:sz="6" w:space="0" w:color="000000"/>
              <w:bottom w:val="single" w:sz="6" w:space="0" w:color="000000"/>
              <w:right w:val="single" w:sz="6" w:space="0" w:color="000000"/>
            </w:tcBorders>
          </w:tcPr>
          <w:p w14:paraId="7AEB1C1E" w14:textId="77777777" w:rsidR="00FC5566" w:rsidRPr="00FC5566" w:rsidRDefault="00FC5566" w:rsidP="00FC5566">
            <w:pPr>
              <w:rPr>
                <w:sz w:val="16"/>
                <w:szCs w:val="16"/>
              </w:rPr>
            </w:pPr>
          </w:p>
        </w:tc>
      </w:tr>
      <w:tr w:rsidR="00FC5566" w:rsidRPr="00FC5566" w14:paraId="5E6B49F5"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00112E2F"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2E258110" w14:textId="77777777" w:rsidR="00FC5566" w:rsidRPr="00FC5566" w:rsidRDefault="00FC5566" w:rsidP="00FC5566">
            <w:pPr>
              <w:ind w:left="71"/>
              <w:rPr>
                <w:sz w:val="16"/>
                <w:szCs w:val="16"/>
              </w:rPr>
            </w:pPr>
            <w:r w:rsidRPr="00FC5566">
              <w:rPr>
                <w:sz w:val="16"/>
                <w:szCs w:val="16"/>
              </w:rPr>
              <w:t>Chapter 16, Structural Design.</w:t>
            </w:r>
          </w:p>
        </w:tc>
        <w:tc>
          <w:tcPr>
            <w:tcW w:w="7099" w:type="dxa"/>
            <w:tcBorders>
              <w:top w:val="single" w:sz="6" w:space="0" w:color="000000"/>
              <w:left w:val="single" w:sz="6" w:space="0" w:color="000000"/>
              <w:bottom w:val="single" w:sz="6" w:space="0" w:color="000000"/>
              <w:right w:val="single" w:sz="6" w:space="0" w:color="000000"/>
            </w:tcBorders>
          </w:tcPr>
          <w:p w14:paraId="6FD5214C" w14:textId="77777777" w:rsidR="00FC5566" w:rsidRPr="00FC5566" w:rsidRDefault="00FC5566" w:rsidP="00FC5566">
            <w:pPr>
              <w:ind w:left="78"/>
              <w:rPr>
                <w:sz w:val="16"/>
                <w:szCs w:val="16"/>
              </w:rPr>
            </w:pPr>
          </w:p>
        </w:tc>
      </w:tr>
      <w:tr w:rsidR="00FC5566" w:rsidRPr="00FC5566" w14:paraId="71537A2D" w14:textId="77777777" w:rsidTr="00B247D5">
        <w:trPr>
          <w:trHeight w:val="187"/>
        </w:trPr>
        <w:tc>
          <w:tcPr>
            <w:tcW w:w="1080" w:type="dxa"/>
            <w:tcBorders>
              <w:top w:val="single" w:sz="6" w:space="0" w:color="000000"/>
              <w:left w:val="single" w:sz="6" w:space="0" w:color="000000"/>
              <w:bottom w:val="single" w:sz="6" w:space="0" w:color="000000"/>
              <w:right w:val="single" w:sz="6" w:space="0" w:color="000000"/>
            </w:tcBorders>
          </w:tcPr>
          <w:p w14:paraId="550124D4"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27EEB747" w14:textId="77777777" w:rsidR="00FC5566" w:rsidRPr="00FC5566" w:rsidRDefault="00FC5566" w:rsidP="00FC5566">
            <w:pPr>
              <w:ind w:left="71"/>
              <w:rPr>
                <w:sz w:val="16"/>
                <w:szCs w:val="16"/>
              </w:rPr>
            </w:pPr>
            <w:r w:rsidRPr="00FC5566">
              <w:rPr>
                <w:sz w:val="16"/>
                <w:szCs w:val="16"/>
              </w:rPr>
              <w:t>Section 1603.1.5, Earthquake Design Data.</w:t>
            </w:r>
          </w:p>
        </w:tc>
        <w:tc>
          <w:tcPr>
            <w:tcW w:w="7099" w:type="dxa"/>
            <w:tcBorders>
              <w:top w:val="single" w:sz="6" w:space="0" w:color="000000"/>
              <w:left w:val="single" w:sz="6" w:space="0" w:color="000000"/>
              <w:bottom w:val="single" w:sz="6" w:space="0" w:color="000000"/>
              <w:right w:val="single" w:sz="6" w:space="0" w:color="000000"/>
            </w:tcBorders>
          </w:tcPr>
          <w:p w14:paraId="0BF9E59B" w14:textId="77777777" w:rsidR="00FC5566" w:rsidRPr="00FC5566" w:rsidRDefault="00FC5566" w:rsidP="00FC5566">
            <w:pPr>
              <w:ind w:left="78"/>
              <w:rPr>
                <w:sz w:val="16"/>
                <w:szCs w:val="16"/>
              </w:rPr>
            </w:pPr>
            <w:r w:rsidRPr="00FC5566">
              <w:rPr>
                <w:sz w:val="16"/>
                <w:szCs w:val="16"/>
              </w:rPr>
              <w:t>The following information related to seismic loads shall be shown, regardless of whether seismic loads govern the design of the lateral-force-resisting system of the building:</w:t>
            </w:r>
          </w:p>
          <w:p w14:paraId="0CEA1160" w14:textId="77777777" w:rsidR="00FC5566" w:rsidRPr="00FC5566" w:rsidRDefault="00FC5566" w:rsidP="00FC5566">
            <w:pPr>
              <w:widowControl w:val="0"/>
              <w:numPr>
                <w:ilvl w:val="0"/>
                <w:numId w:val="28"/>
              </w:numPr>
              <w:tabs>
                <w:tab w:val="left" w:pos="318"/>
              </w:tabs>
              <w:autoSpaceDE w:val="0"/>
              <w:autoSpaceDN w:val="0"/>
              <w:ind w:left="78" w:hanging="210"/>
              <w:rPr>
                <w:sz w:val="16"/>
                <w:szCs w:val="16"/>
              </w:rPr>
            </w:pPr>
            <w:r w:rsidRPr="00FC5566">
              <w:rPr>
                <w:sz w:val="16"/>
                <w:szCs w:val="16"/>
              </w:rPr>
              <w:t>1. Seismic importance factor, I, and occupancy category;</w:t>
            </w:r>
          </w:p>
          <w:p w14:paraId="0AA94DD8" w14:textId="77777777" w:rsidR="00FC5566" w:rsidRPr="00FC5566" w:rsidRDefault="00FC5566" w:rsidP="00FC5566">
            <w:pPr>
              <w:widowControl w:val="0"/>
              <w:numPr>
                <w:ilvl w:val="0"/>
                <w:numId w:val="28"/>
              </w:numPr>
              <w:tabs>
                <w:tab w:val="left" w:pos="318"/>
              </w:tabs>
              <w:autoSpaceDE w:val="0"/>
              <w:autoSpaceDN w:val="0"/>
              <w:ind w:left="78" w:hanging="210"/>
              <w:rPr>
                <w:sz w:val="16"/>
                <w:szCs w:val="16"/>
              </w:rPr>
            </w:pPr>
            <w:r w:rsidRPr="00FC5566">
              <w:rPr>
                <w:sz w:val="16"/>
                <w:szCs w:val="16"/>
              </w:rPr>
              <w:t>2. Mapped spectral response accelerations, S</w:t>
            </w:r>
            <w:r w:rsidRPr="00FC5566">
              <w:rPr>
                <w:sz w:val="16"/>
                <w:szCs w:val="16"/>
                <w:vertAlign w:val="subscript"/>
              </w:rPr>
              <w:t xml:space="preserve">S </w:t>
            </w:r>
            <w:r w:rsidRPr="00FC5566">
              <w:rPr>
                <w:sz w:val="16"/>
                <w:szCs w:val="16"/>
              </w:rPr>
              <w:t>and S</w:t>
            </w:r>
            <w:r w:rsidRPr="00FC5566">
              <w:rPr>
                <w:sz w:val="16"/>
                <w:szCs w:val="16"/>
                <w:vertAlign w:val="subscript"/>
              </w:rPr>
              <w:t>1</w:t>
            </w:r>
            <w:r w:rsidRPr="00FC5566">
              <w:rPr>
                <w:sz w:val="16"/>
                <w:szCs w:val="16"/>
              </w:rPr>
              <w:t>.</w:t>
            </w:r>
          </w:p>
          <w:p w14:paraId="1C1C1344" w14:textId="77777777" w:rsidR="00FC5566" w:rsidRPr="00FC5566" w:rsidRDefault="00FC5566" w:rsidP="00FC5566">
            <w:pPr>
              <w:widowControl w:val="0"/>
              <w:numPr>
                <w:ilvl w:val="0"/>
                <w:numId w:val="28"/>
              </w:numPr>
              <w:tabs>
                <w:tab w:val="left" w:pos="318"/>
              </w:tabs>
              <w:autoSpaceDE w:val="0"/>
              <w:autoSpaceDN w:val="0"/>
              <w:ind w:left="78" w:hanging="210"/>
              <w:rPr>
                <w:sz w:val="16"/>
                <w:szCs w:val="16"/>
              </w:rPr>
            </w:pPr>
            <w:r w:rsidRPr="00FC5566">
              <w:rPr>
                <w:sz w:val="16"/>
                <w:szCs w:val="16"/>
              </w:rPr>
              <w:t>3. Site class.</w:t>
            </w:r>
          </w:p>
          <w:p w14:paraId="7C1BC93A" w14:textId="77777777" w:rsidR="00FC5566" w:rsidRPr="00FC5566" w:rsidRDefault="00FC5566" w:rsidP="00FC5566">
            <w:pPr>
              <w:widowControl w:val="0"/>
              <w:numPr>
                <w:ilvl w:val="0"/>
                <w:numId w:val="28"/>
              </w:numPr>
              <w:tabs>
                <w:tab w:val="left" w:pos="318"/>
              </w:tabs>
              <w:autoSpaceDE w:val="0"/>
              <w:autoSpaceDN w:val="0"/>
              <w:ind w:left="78" w:hanging="210"/>
              <w:rPr>
                <w:sz w:val="16"/>
                <w:szCs w:val="16"/>
              </w:rPr>
            </w:pPr>
            <w:r w:rsidRPr="00FC5566">
              <w:rPr>
                <w:sz w:val="16"/>
                <w:szCs w:val="16"/>
              </w:rPr>
              <w:t>4. Spectral response coefficients, S</w:t>
            </w:r>
            <w:r w:rsidRPr="00FC5566">
              <w:rPr>
                <w:sz w:val="16"/>
                <w:szCs w:val="16"/>
                <w:vertAlign w:val="subscript"/>
              </w:rPr>
              <w:t>DS</w:t>
            </w:r>
            <w:r w:rsidRPr="00FC5566">
              <w:rPr>
                <w:sz w:val="16"/>
                <w:szCs w:val="16"/>
              </w:rPr>
              <w:t xml:space="preserve"> and S</w:t>
            </w:r>
            <w:r w:rsidRPr="00FC5566">
              <w:rPr>
                <w:sz w:val="16"/>
                <w:szCs w:val="16"/>
                <w:vertAlign w:val="subscript"/>
              </w:rPr>
              <w:t>D1</w:t>
            </w:r>
            <w:r w:rsidRPr="00FC5566">
              <w:rPr>
                <w:sz w:val="16"/>
                <w:szCs w:val="16"/>
              </w:rPr>
              <w:t>.</w:t>
            </w:r>
          </w:p>
          <w:p w14:paraId="5103B8BF" w14:textId="77777777" w:rsidR="00FC5566" w:rsidRPr="00FC5566" w:rsidRDefault="00FC5566" w:rsidP="00FC5566">
            <w:pPr>
              <w:widowControl w:val="0"/>
              <w:numPr>
                <w:ilvl w:val="0"/>
                <w:numId w:val="28"/>
              </w:numPr>
              <w:tabs>
                <w:tab w:val="left" w:pos="318"/>
              </w:tabs>
              <w:autoSpaceDE w:val="0"/>
              <w:autoSpaceDN w:val="0"/>
              <w:ind w:left="78" w:hanging="210"/>
              <w:rPr>
                <w:sz w:val="16"/>
                <w:szCs w:val="16"/>
              </w:rPr>
            </w:pPr>
            <w:r w:rsidRPr="00FC5566">
              <w:rPr>
                <w:sz w:val="16"/>
                <w:szCs w:val="16"/>
              </w:rPr>
              <w:t>5. Seismic design category.</w:t>
            </w:r>
          </w:p>
          <w:p w14:paraId="16D348D6" w14:textId="77777777" w:rsidR="00FC5566" w:rsidRPr="00FC5566" w:rsidRDefault="00FC5566" w:rsidP="00FC5566">
            <w:pPr>
              <w:widowControl w:val="0"/>
              <w:numPr>
                <w:ilvl w:val="0"/>
                <w:numId w:val="28"/>
              </w:numPr>
              <w:tabs>
                <w:tab w:val="left" w:pos="318"/>
              </w:tabs>
              <w:autoSpaceDE w:val="0"/>
              <w:autoSpaceDN w:val="0"/>
              <w:ind w:left="78" w:hanging="210"/>
              <w:rPr>
                <w:sz w:val="16"/>
                <w:szCs w:val="16"/>
              </w:rPr>
            </w:pPr>
            <w:r w:rsidRPr="00FC5566">
              <w:rPr>
                <w:sz w:val="16"/>
                <w:szCs w:val="16"/>
              </w:rPr>
              <w:t>6. Basic seismic-force-resisting system(s).</w:t>
            </w:r>
          </w:p>
          <w:p w14:paraId="429DFE3A" w14:textId="77777777" w:rsidR="00FC5566" w:rsidRPr="00FC5566" w:rsidRDefault="00FC5566" w:rsidP="00FC5566">
            <w:pPr>
              <w:widowControl w:val="0"/>
              <w:numPr>
                <w:ilvl w:val="0"/>
                <w:numId w:val="28"/>
              </w:numPr>
              <w:tabs>
                <w:tab w:val="left" w:pos="317"/>
              </w:tabs>
              <w:autoSpaceDE w:val="0"/>
              <w:autoSpaceDN w:val="0"/>
              <w:ind w:left="78" w:hanging="209"/>
              <w:rPr>
                <w:sz w:val="16"/>
                <w:szCs w:val="16"/>
              </w:rPr>
            </w:pPr>
            <w:r w:rsidRPr="00FC5566">
              <w:rPr>
                <w:sz w:val="16"/>
                <w:szCs w:val="16"/>
              </w:rPr>
              <w:t>7. Design base shear(s).</w:t>
            </w:r>
          </w:p>
          <w:p w14:paraId="422ED1A9" w14:textId="77777777" w:rsidR="00FC5566" w:rsidRPr="00FC5566" w:rsidRDefault="00FC5566" w:rsidP="00FC5566">
            <w:pPr>
              <w:widowControl w:val="0"/>
              <w:numPr>
                <w:ilvl w:val="0"/>
                <w:numId w:val="28"/>
              </w:numPr>
              <w:tabs>
                <w:tab w:val="left" w:pos="318"/>
              </w:tabs>
              <w:autoSpaceDE w:val="0"/>
              <w:autoSpaceDN w:val="0"/>
              <w:ind w:left="78" w:hanging="210"/>
              <w:rPr>
                <w:sz w:val="16"/>
                <w:szCs w:val="16"/>
              </w:rPr>
            </w:pPr>
            <w:r w:rsidRPr="00FC5566">
              <w:rPr>
                <w:sz w:val="16"/>
                <w:szCs w:val="16"/>
              </w:rPr>
              <w:t>8. Seismic response coefficient(s), CS.</w:t>
            </w:r>
          </w:p>
          <w:p w14:paraId="192E0B07" w14:textId="77777777" w:rsidR="00FC5566" w:rsidRPr="00FC5566" w:rsidRDefault="00FC5566" w:rsidP="00FC5566">
            <w:pPr>
              <w:widowControl w:val="0"/>
              <w:numPr>
                <w:ilvl w:val="0"/>
                <w:numId w:val="28"/>
              </w:numPr>
              <w:tabs>
                <w:tab w:val="left" w:pos="317"/>
              </w:tabs>
              <w:autoSpaceDE w:val="0"/>
              <w:autoSpaceDN w:val="0"/>
              <w:ind w:left="78" w:hanging="209"/>
              <w:rPr>
                <w:sz w:val="16"/>
                <w:szCs w:val="16"/>
              </w:rPr>
            </w:pPr>
            <w:r w:rsidRPr="00FC5566">
              <w:rPr>
                <w:sz w:val="16"/>
                <w:szCs w:val="16"/>
              </w:rPr>
              <w:t>9. Response modification factor(s), R.</w:t>
            </w:r>
          </w:p>
          <w:p w14:paraId="1669BBBA" w14:textId="77777777" w:rsidR="00FC5566" w:rsidRPr="00FC5566" w:rsidRDefault="00FC5566" w:rsidP="00FC5566">
            <w:pPr>
              <w:ind w:left="78"/>
              <w:rPr>
                <w:sz w:val="16"/>
                <w:szCs w:val="16"/>
              </w:rPr>
            </w:pPr>
            <w:r w:rsidRPr="00FC5566">
              <w:rPr>
                <w:sz w:val="16"/>
                <w:szCs w:val="16"/>
              </w:rPr>
              <w:t>10. Analysis procedure used.</w:t>
            </w:r>
          </w:p>
        </w:tc>
      </w:tr>
      <w:tr w:rsidR="00FC5566" w:rsidRPr="00FC5566" w14:paraId="41FE8292" w14:textId="77777777" w:rsidTr="00B247D5">
        <w:trPr>
          <w:trHeight w:val="246"/>
        </w:trPr>
        <w:tc>
          <w:tcPr>
            <w:tcW w:w="1080" w:type="dxa"/>
            <w:tcBorders>
              <w:top w:val="single" w:sz="6" w:space="0" w:color="000000"/>
              <w:left w:val="single" w:sz="6" w:space="0" w:color="000000"/>
              <w:bottom w:val="single" w:sz="6" w:space="0" w:color="000000"/>
              <w:right w:val="single" w:sz="6" w:space="0" w:color="000000"/>
            </w:tcBorders>
          </w:tcPr>
          <w:p w14:paraId="2A83059D" w14:textId="77777777" w:rsidR="00FC5566" w:rsidRPr="00FC5566" w:rsidRDefault="00FC5566" w:rsidP="00FC5566">
            <w:pPr>
              <w:ind w:right="5"/>
              <w:jc w:val="center"/>
              <w:rPr>
                <w:spacing w:val="-2"/>
                <w:sz w:val="16"/>
                <w:szCs w:val="16"/>
              </w:rPr>
            </w:pPr>
            <w:r w:rsidRPr="00FC5566">
              <w:rPr>
                <w:spacing w:val="-2"/>
                <w:sz w:val="16"/>
                <w:szCs w:val="16"/>
              </w:rPr>
              <w:t>Adopt</w:t>
            </w:r>
          </w:p>
        </w:tc>
        <w:tc>
          <w:tcPr>
            <w:tcW w:w="2430" w:type="dxa"/>
            <w:tcBorders>
              <w:top w:val="single" w:sz="6" w:space="0" w:color="000000"/>
              <w:left w:val="single" w:sz="6" w:space="0" w:color="000000"/>
              <w:bottom w:val="single" w:sz="6" w:space="0" w:color="000000"/>
              <w:right w:val="single" w:sz="6" w:space="0" w:color="000000"/>
            </w:tcBorders>
          </w:tcPr>
          <w:p w14:paraId="7F7B15D9" w14:textId="77777777" w:rsidR="00FC5566" w:rsidRPr="00FC5566" w:rsidRDefault="00FC5566" w:rsidP="00FC5566">
            <w:pPr>
              <w:ind w:left="71"/>
              <w:rPr>
                <w:sz w:val="16"/>
                <w:szCs w:val="16"/>
              </w:rPr>
            </w:pPr>
            <w:r w:rsidRPr="00FC5566">
              <w:rPr>
                <w:sz w:val="16"/>
                <w:szCs w:val="16"/>
              </w:rPr>
              <w:t>Exceptions</w:t>
            </w:r>
          </w:p>
        </w:tc>
        <w:tc>
          <w:tcPr>
            <w:tcW w:w="7099" w:type="dxa"/>
            <w:tcBorders>
              <w:top w:val="single" w:sz="6" w:space="0" w:color="000000"/>
              <w:left w:val="single" w:sz="6" w:space="0" w:color="000000"/>
              <w:bottom w:val="single" w:sz="6" w:space="0" w:color="000000"/>
              <w:right w:val="single" w:sz="6" w:space="0" w:color="000000"/>
            </w:tcBorders>
          </w:tcPr>
          <w:p w14:paraId="3002206A" w14:textId="77777777" w:rsidR="00FC5566" w:rsidRPr="00FC5566" w:rsidRDefault="00FC5566" w:rsidP="00FC5566">
            <w:pPr>
              <w:ind w:left="78"/>
              <w:rPr>
                <w:b/>
                <w:bCs/>
                <w:sz w:val="16"/>
                <w:szCs w:val="16"/>
              </w:rPr>
            </w:pPr>
            <w:r w:rsidRPr="00FC5566">
              <w:rPr>
                <w:b/>
                <w:bCs/>
                <w:sz w:val="16"/>
                <w:szCs w:val="16"/>
              </w:rPr>
              <w:t>Exceptions:</w:t>
            </w:r>
          </w:p>
          <w:p w14:paraId="5CA262A4" w14:textId="77777777" w:rsidR="00FC5566" w:rsidRPr="00FC5566" w:rsidRDefault="00FC5566" w:rsidP="00FC5566">
            <w:pPr>
              <w:ind w:left="78"/>
              <w:rPr>
                <w:sz w:val="16"/>
                <w:szCs w:val="16"/>
              </w:rPr>
            </w:pPr>
            <w:r w:rsidRPr="00FC5566">
              <w:rPr>
                <w:sz w:val="16"/>
                <w:szCs w:val="16"/>
              </w:rPr>
              <w:t>1. Construction documents that are not required to be prepared by a registered design professional.</w:t>
            </w:r>
          </w:p>
          <w:p w14:paraId="5CAF0924" w14:textId="77777777" w:rsidR="00FC5566" w:rsidRPr="00FC5566" w:rsidRDefault="00FC5566" w:rsidP="00FC5566">
            <w:pPr>
              <w:ind w:left="78"/>
              <w:rPr>
                <w:sz w:val="16"/>
                <w:szCs w:val="16"/>
              </w:rPr>
            </w:pPr>
            <w:r w:rsidRPr="00FC5566">
              <w:rPr>
                <w:sz w:val="16"/>
                <w:szCs w:val="16"/>
              </w:rPr>
              <w:t>2. Construction documents for structures that are assigned to Seismic Design Category A.</w:t>
            </w:r>
          </w:p>
        </w:tc>
      </w:tr>
      <w:tr w:rsidR="00FC5566" w:rsidRPr="00FC5566" w14:paraId="0E81375D" w14:textId="77777777" w:rsidTr="00B247D5">
        <w:trPr>
          <w:trHeight w:val="374"/>
        </w:trPr>
        <w:tc>
          <w:tcPr>
            <w:tcW w:w="1080" w:type="dxa"/>
            <w:tcBorders>
              <w:top w:val="single" w:sz="6" w:space="0" w:color="000000"/>
              <w:left w:val="single" w:sz="6" w:space="0" w:color="000000"/>
              <w:bottom w:val="single" w:sz="6" w:space="0" w:color="000000"/>
              <w:right w:val="single" w:sz="6" w:space="0" w:color="000000"/>
            </w:tcBorders>
          </w:tcPr>
          <w:p w14:paraId="5BE3E25F"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50702D5A" w14:textId="77777777" w:rsidR="00FC5566" w:rsidRPr="00FC5566" w:rsidRDefault="00FC5566" w:rsidP="00FC5566">
            <w:pPr>
              <w:ind w:left="71"/>
              <w:rPr>
                <w:sz w:val="16"/>
                <w:szCs w:val="16"/>
              </w:rPr>
            </w:pPr>
            <w:r w:rsidRPr="00FC5566">
              <w:rPr>
                <w:sz w:val="16"/>
                <w:szCs w:val="16"/>
              </w:rPr>
              <w:t>Section 1609.2, Protection of Openings.</w:t>
            </w:r>
          </w:p>
        </w:tc>
        <w:tc>
          <w:tcPr>
            <w:tcW w:w="7099" w:type="dxa"/>
            <w:tcBorders>
              <w:top w:val="single" w:sz="6" w:space="0" w:color="000000"/>
              <w:left w:val="single" w:sz="6" w:space="0" w:color="000000"/>
              <w:bottom w:val="single" w:sz="6" w:space="0" w:color="000000"/>
              <w:right w:val="single" w:sz="6" w:space="0" w:color="000000"/>
            </w:tcBorders>
          </w:tcPr>
          <w:p w14:paraId="7A88C389" w14:textId="77777777" w:rsidR="00FC5566" w:rsidRPr="00FC5566" w:rsidRDefault="00FC5566" w:rsidP="00FC5566">
            <w:pPr>
              <w:ind w:left="78"/>
              <w:rPr>
                <w:sz w:val="16"/>
                <w:szCs w:val="16"/>
              </w:rPr>
            </w:pPr>
            <w:r w:rsidRPr="00FC5566">
              <w:rPr>
                <w:sz w:val="16"/>
                <w:szCs w:val="16"/>
              </w:rPr>
              <w:t>In wind-borne debris regions, glazing in buildings shall be impact resistant or protected with an impact- resistant covering meeting the requirements of an approved impact-resistant standard or ASTM E 1996 and ASTM E 1886 referenced herein as follows:</w:t>
            </w:r>
          </w:p>
          <w:p w14:paraId="6BC269E9" w14:textId="77777777" w:rsidR="00FC5566" w:rsidRPr="00FC5566" w:rsidRDefault="00FC5566" w:rsidP="00FC5566">
            <w:pPr>
              <w:widowControl w:val="0"/>
              <w:tabs>
                <w:tab w:val="left" w:pos="339"/>
              </w:tabs>
              <w:autoSpaceDE w:val="0"/>
              <w:autoSpaceDN w:val="0"/>
              <w:ind w:left="86" w:right="160"/>
              <w:jc w:val="both"/>
              <w:rPr>
                <w:sz w:val="16"/>
                <w:szCs w:val="16"/>
              </w:rPr>
            </w:pPr>
            <w:r w:rsidRPr="00FC5566">
              <w:rPr>
                <w:sz w:val="16"/>
                <w:szCs w:val="16"/>
              </w:rPr>
              <w:t>1. Glazed openings located within 30 feet (9144 mm) of grade shall meet the requirements of the large missile test of ASTM E 1996.</w:t>
            </w:r>
          </w:p>
          <w:p w14:paraId="1C65F553" w14:textId="77777777" w:rsidR="00FC5566" w:rsidRPr="00FC5566" w:rsidRDefault="00FC5566" w:rsidP="00FC5566">
            <w:pPr>
              <w:ind w:left="78"/>
              <w:contextualSpacing/>
              <w:rPr>
                <w:sz w:val="16"/>
                <w:szCs w:val="16"/>
              </w:rPr>
            </w:pPr>
            <w:r w:rsidRPr="00FC5566">
              <w:rPr>
                <w:sz w:val="16"/>
                <w:szCs w:val="16"/>
              </w:rPr>
              <w:t>2. Glazed openings located more than 30 feet (9144 mm) above grade shall meet the provisions of the small missile test of ASTM E 1996.</w:t>
            </w:r>
          </w:p>
        </w:tc>
      </w:tr>
      <w:tr w:rsidR="00FC5566" w:rsidRPr="00FC5566" w14:paraId="63324F63"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0E35A5D5"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3B2794F3" w14:textId="77777777" w:rsidR="00FC5566" w:rsidRPr="00FC5566" w:rsidRDefault="00FC5566" w:rsidP="00FC5566">
            <w:pPr>
              <w:ind w:left="71"/>
              <w:rPr>
                <w:sz w:val="16"/>
                <w:szCs w:val="16"/>
              </w:rPr>
            </w:pPr>
            <w:r w:rsidRPr="00FC5566">
              <w:rPr>
                <w:sz w:val="16"/>
                <w:szCs w:val="16"/>
              </w:rPr>
              <w:t>Exceptions.</w:t>
            </w:r>
          </w:p>
        </w:tc>
        <w:tc>
          <w:tcPr>
            <w:tcW w:w="7099" w:type="dxa"/>
            <w:tcBorders>
              <w:top w:val="single" w:sz="6" w:space="0" w:color="000000"/>
              <w:left w:val="single" w:sz="6" w:space="0" w:color="000000"/>
              <w:bottom w:val="single" w:sz="6" w:space="0" w:color="000000"/>
              <w:right w:val="single" w:sz="6" w:space="0" w:color="000000"/>
            </w:tcBorders>
          </w:tcPr>
          <w:p w14:paraId="788A0D6F" w14:textId="77777777" w:rsidR="00FC5566" w:rsidRPr="00FC5566" w:rsidRDefault="00FC5566" w:rsidP="00FC5566">
            <w:pPr>
              <w:ind w:left="78"/>
              <w:rPr>
                <w:sz w:val="16"/>
                <w:szCs w:val="16"/>
              </w:rPr>
            </w:pPr>
          </w:p>
        </w:tc>
      </w:tr>
      <w:tr w:rsidR="00FC5566" w:rsidRPr="00FC5566" w14:paraId="60DE5582" w14:textId="77777777" w:rsidTr="00B247D5">
        <w:trPr>
          <w:trHeight w:val="374"/>
        </w:trPr>
        <w:tc>
          <w:tcPr>
            <w:tcW w:w="1080" w:type="dxa"/>
            <w:tcBorders>
              <w:top w:val="single" w:sz="6" w:space="0" w:color="000000"/>
              <w:left w:val="single" w:sz="6" w:space="0" w:color="000000"/>
              <w:bottom w:val="single" w:sz="6" w:space="0" w:color="000000"/>
              <w:right w:val="single" w:sz="6" w:space="0" w:color="000000"/>
            </w:tcBorders>
          </w:tcPr>
          <w:p w14:paraId="1C1C70BE"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0A1DF275" w14:textId="77777777" w:rsidR="00FC5566" w:rsidRPr="00FC5566" w:rsidRDefault="00FC5566" w:rsidP="00FC5566">
            <w:pPr>
              <w:ind w:left="71"/>
              <w:rPr>
                <w:sz w:val="16"/>
                <w:szCs w:val="16"/>
              </w:rPr>
            </w:pPr>
            <w:r w:rsidRPr="00FC5566">
              <w:rPr>
                <w:sz w:val="16"/>
                <w:szCs w:val="16"/>
              </w:rPr>
              <w:t>Item (1.)</w:t>
            </w:r>
          </w:p>
        </w:tc>
        <w:tc>
          <w:tcPr>
            <w:tcW w:w="7099" w:type="dxa"/>
            <w:tcBorders>
              <w:top w:val="single" w:sz="6" w:space="0" w:color="000000"/>
              <w:left w:val="single" w:sz="6" w:space="0" w:color="000000"/>
              <w:bottom w:val="single" w:sz="6" w:space="0" w:color="000000"/>
              <w:right w:val="single" w:sz="6" w:space="0" w:color="000000"/>
            </w:tcBorders>
          </w:tcPr>
          <w:p w14:paraId="39EB2648" w14:textId="77777777" w:rsidR="00FC5566" w:rsidRPr="00FC5566" w:rsidRDefault="00FC5566" w:rsidP="00FC5566">
            <w:pPr>
              <w:ind w:left="78"/>
              <w:rPr>
                <w:sz w:val="16"/>
                <w:szCs w:val="16"/>
              </w:rPr>
            </w:pPr>
            <w:r w:rsidRPr="00FC5566">
              <w:rPr>
                <w:sz w:val="16"/>
                <w:szCs w:val="16"/>
              </w:rPr>
              <w:t xml:space="preserve">1. Wood structural panels with a minimum thickness of 7/16 inch (11.1 mm) and maximum panel span of 8 feet (2438 mm) shall be permitted for opening protection in one- and two-story buildings classified as Risk Category 2. Panels shall be precut so that they shall be attached to the framing surrounding the opening </w:t>
            </w:r>
            <w:r w:rsidRPr="00FC5566">
              <w:rPr>
                <w:sz w:val="16"/>
                <w:szCs w:val="16"/>
              </w:rPr>
              <w:lastRenderedPageBreak/>
              <w:t xml:space="preserve">containing the product with the glazed opening. Panels shall be predrilled as required for the anchorage method and shall be secured with the attachment hardware provided. </w:t>
            </w:r>
          </w:p>
          <w:p w14:paraId="0D285F57" w14:textId="77777777" w:rsidR="00FC5566" w:rsidRPr="00FC5566" w:rsidRDefault="00FC5566" w:rsidP="00FC5566">
            <w:pPr>
              <w:ind w:left="78"/>
              <w:rPr>
                <w:sz w:val="16"/>
                <w:szCs w:val="16"/>
              </w:rPr>
            </w:pPr>
            <w:r w:rsidRPr="00FC5566">
              <w:rPr>
                <w:sz w:val="16"/>
                <w:szCs w:val="16"/>
              </w:rPr>
              <w:t>Attachments shall be designed to resist the components and cladding loads determined in accordance with the provisions of ASCE 7, with corrosion-resistant attachment hardware provided and anchors permanently installed on the building. Attachment in accordance with Table 1609.1.2 with corrosion- resistant attachment hardware provided and anchors permanently installed on the building is permitted for buildings with a mean roof height of 45 feet (13 716 mm) or less where V</w:t>
            </w:r>
            <w:r w:rsidRPr="00FC5566">
              <w:rPr>
                <w:sz w:val="16"/>
                <w:szCs w:val="16"/>
                <w:vertAlign w:val="subscript"/>
              </w:rPr>
              <w:t>asd</w:t>
            </w:r>
            <w:r w:rsidRPr="00FC5566">
              <w:rPr>
                <w:sz w:val="16"/>
                <w:szCs w:val="16"/>
              </w:rPr>
              <w:t xml:space="preserve"> determined in accordance with Section 1609.3.1 does not exceed 140 mph (63 m/s).</w:t>
            </w:r>
          </w:p>
        </w:tc>
      </w:tr>
      <w:tr w:rsidR="00FC5566" w:rsidRPr="00FC5566" w14:paraId="0E5FAE61" w14:textId="77777777" w:rsidTr="00B247D5">
        <w:trPr>
          <w:trHeight w:val="374"/>
        </w:trPr>
        <w:tc>
          <w:tcPr>
            <w:tcW w:w="1080" w:type="dxa"/>
            <w:tcBorders>
              <w:top w:val="single" w:sz="6" w:space="0" w:color="000000"/>
              <w:left w:val="single" w:sz="6" w:space="0" w:color="000000"/>
              <w:bottom w:val="single" w:sz="6" w:space="0" w:color="000000"/>
              <w:right w:val="single" w:sz="6" w:space="0" w:color="000000"/>
            </w:tcBorders>
          </w:tcPr>
          <w:p w14:paraId="4C835250" w14:textId="77777777" w:rsidR="00FC5566" w:rsidRPr="00FC5566" w:rsidRDefault="00FC5566" w:rsidP="00FC5566">
            <w:pPr>
              <w:ind w:right="5"/>
              <w:jc w:val="center"/>
              <w:rPr>
                <w:spacing w:val="-2"/>
                <w:sz w:val="16"/>
                <w:szCs w:val="16"/>
              </w:rPr>
            </w:pPr>
            <w:r w:rsidRPr="00FC5566">
              <w:rPr>
                <w:spacing w:val="-2"/>
                <w:sz w:val="16"/>
                <w:szCs w:val="16"/>
              </w:rPr>
              <w:lastRenderedPageBreak/>
              <w:t>Amend</w:t>
            </w:r>
          </w:p>
        </w:tc>
        <w:tc>
          <w:tcPr>
            <w:tcW w:w="2430" w:type="dxa"/>
            <w:tcBorders>
              <w:top w:val="single" w:sz="6" w:space="0" w:color="000000"/>
              <w:left w:val="single" w:sz="6" w:space="0" w:color="000000"/>
              <w:bottom w:val="single" w:sz="6" w:space="0" w:color="000000"/>
              <w:right w:val="single" w:sz="6" w:space="0" w:color="000000"/>
            </w:tcBorders>
          </w:tcPr>
          <w:p w14:paraId="64F9AB17" w14:textId="77777777" w:rsidR="00FC5566" w:rsidRPr="00FC5566" w:rsidRDefault="00FC5566" w:rsidP="00FC5566">
            <w:pPr>
              <w:ind w:left="71"/>
              <w:rPr>
                <w:sz w:val="16"/>
                <w:szCs w:val="16"/>
              </w:rPr>
            </w:pPr>
            <w:r w:rsidRPr="00FC5566">
              <w:rPr>
                <w:sz w:val="16"/>
                <w:szCs w:val="16"/>
              </w:rPr>
              <w:t>Item (2.)</w:t>
            </w:r>
          </w:p>
        </w:tc>
        <w:tc>
          <w:tcPr>
            <w:tcW w:w="7099" w:type="dxa"/>
            <w:tcBorders>
              <w:top w:val="single" w:sz="6" w:space="0" w:color="000000"/>
              <w:left w:val="single" w:sz="6" w:space="0" w:color="000000"/>
              <w:bottom w:val="single" w:sz="6" w:space="0" w:color="000000"/>
              <w:right w:val="single" w:sz="6" w:space="0" w:color="000000"/>
            </w:tcBorders>
          </w:tcPr>
          <w:p w14:paraId="59257E00" w14:textId="77777777" w:rsidR="00FC5566" w:rsidRPr="00FC5566" w:rsidRDefault="00FC5566" w:rsidP="00FC5566">
            <w:pPr>
              <w:ind w:left="78"/>
              <w:rPr>
                <w:sz w:val="16"/>
                <w:szCs w:val="16"/>
              </w:rPr>
            </w:pPr>
            <w:r w:rsidRPr="00FC5566">
              <w:rPr>
                <w:sz w:val="16"/>
                <w:szCs w:val="16"/>
              </w:rPr>
              <w:t>2. Glazing in Risk Category I buildings as defined in Section 1604.5, including greenhouses that are occupied for growing plants on a production or research basis, without public access shall be permitted to be unprotected.</w:t>
            </w:r>
          </w:p>
        </w:tc>
      </w:tr>
      <w:tr w:rsidR="00FC5566" w:rsidRPr="00FC5566" w14:paraId="69F883CF" w14:textId="77777777" w:rsidTr="00B247D5">
        <w:trPr>
          <w:trHeight w:val="374"/>
        </w:trPr>
        <w:tc>
          <w:tcPr>
            <w:tcW w:w="1080" w:type="dxa"/>
            <w:tcBorders>
              <w:top w:val="single" w:sz="6" w:space="0" w:color="000000"/>
              <w:left w:val="single" w:sz="6" w:space="0" w:color="000000"/>
              <w:bottom w:val="single" w:sz="6" w:space="0" w:color="000000"/>
              <w:right w:val="single" w:sz="6" w:space="0" w:color="000000"/>
            </w:tcBorders>
          </w:tcPr>
          <w:p w14:paraId="07B173B1"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3DB00679" w14:textId="77777777" w:rsidR="00FC5566" w:rsidRPr="00FC5566" w:rsidRDefault="00FC5566" w:rsidP="00FC5566">
            <w:pPr>
              <w:ind w:left="71"/>
              <w:rPr>
                <w:sz w:val="16"/>
                <w:szCs w:val="16"/>
              </w:rPr>
            </w:pPr>
            <w:r w:rsidRPr="00FC5566">
              <w:rPr>
                <w:sz w:val="16"/>
                <w:szCs w:val="16"/>
              </w:rPr>
              <w:t>Item (3.)</w:t>
            </w:r>
          </w:p>
        </w:tc>
        <w:tc>
          <w:tcPr>
            <w:tcW w:w="7099" w:type="dxa"/>
            <w:tcBorders>
              <w:top w:val="single" w:sz="6" w:space="0" w:color="000000"/>
              <w:left w:val="single" w:sz="6" w:space="0" w:color="000000"/>
              <w:bottom w:val="single" w:sz="6" w:space="0" w:color="000000"/>
              <w:right w:val="single" w:sz="6" w:space="0" w:color="000000"/>
            </w:tcBorders>
          </w:tcPr>
          <w:p w14:paraId="24F51A23" w14:textId="77777777" w:rsidR="00FC5566" w:rsidRPr="00FC5566" w:rsidRDefault="00FC5566" w:rsidP="00FC5566">
            <w:pPr>
              <w:ind w:left="90"/>
              <w:rPr>
                <w:sz w:val="16"/>
                <w:szCs w:val="16"/>
              </w:rPr>
            </w:pPr>
            <w:r w:rsidRPr="00FC5566">
              <w:rPr>
                <w:sz w:val="16"/>
                <w:szCs w:val="16"/>
              </w:rPr>
              <w:t>3. Glazing in Risk Category II, III or IV buildings located over 60 feet (18 288 mm) above the ground and over 30 feet (9144 mm) above aggregate surface roofs located within 1,500 feet (458 m) of the building shall be permitted to be unprotected.</w:t>
            </w:r>
          </w:p>
        </w:tc>
      </w:tr>
      <w:tr w:rsidR="00FC5566" w:rsidRPr="00FC5566" w14:paraId="5772B26A" w14:textId="77777777" w:rsidTr="00B247D5">
        <w:trPr>
          <w:trHeight w:val="374"/>
        </w:trPr>
        <w:tc>
          <w:tcPr>
            <w:tcW w:w="1080" w:type="dxa"/>
            <w:tcBorders>
              <w:top w:val="single" w:sz="6" w:space="0" w:color="000000"/>
              <w:left w:val="single" w:sz="6" w:space="0" w:color="000000"/>
              <w:bottom w:val="single" w:sz="6" w:space="0" w:color="000000"/>
              <w:right w:val="single" w:sz="6" w:space="0" w:color="000000"/>
            </w:tcBorders>
          </w:tcPr>
          <w:p w14:paraId="7DE586E5"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6974F234" w14:textId="77777777" w:rsidR="00FC5566" w:rsidRPr="00FC5566" w:rsidRDefault="00FC5566" w:rsidP="00FC5566">
            <w:pPr>
              <w:ind w:left="71"/>
              <w:rPr>
                <w:sz w:val="16"/>
                <w:szCs w:val="16"/>
              </w:rPr>
            </w:pPr>
            <w:r w:rsidRPr="00FC5566">
              <w:rPr>
                <w:sz w:val="16"/>
                <w:szCs w:val="16"/>
              </w:rPr>
              <w:t>Section 1612.2, Design and Construction.</w:t>
            </w:r>
          </w:p>
        </w:tc>
        <w:tc>
          <w:tcPr>
            <w:tcW w:w="7099" w:type="dxa"/>
            <w:tcBorders>
              <w:top w:val="single" w:sz="6" w:space="0" w:color="000000"/>
              <w:left w:val="single" w:sz="6" w:space="0" w:color="000000"/>
              <w:bottom w:val="single" w:sz="6" w:space="0" w:color="000000"/>
              <w:right w:val="single" w:sz="6" w:space="0" w:color="000000"/>
            </w:tcBorders>
          </w:tcPr>
          <w:p w14:paraId="467CAE33" w14:textId="77777777" w:rsidR="00FC5566" w:rsidRPr="00FC5566" w:rsidRDefault="00FC5566" w:rsidP="00FC5566">
            <w:pPr>
              <w:ind w:left="78"/>
              <w:rPr>
                <w:sz w:val="16"/>
                <w:szCs w:val="16"/>
              </w:rPr>
            </w:pPr>
            <w:r w:rsidRPr="00FC5566">
              <w:rPr>
                <w:sz w:val="16"/>
                <w:szCs w:val="16"/>
              </w:rPr>
              <w:t>The design and construction of buildings and structures located in flood hazard areas, including coastal high hazard areas and coastal A zones, shall be in accordance with Chapter 5 of ASCE 7 and ASCE 24-</w:t>
            </w:r>
          </w:p>
          <w:p w14:paraId="3833B74A" w14:textId="77777777" w:rsidR="00FC5566" w:rsidRPr="00FC5566" w:rsidRDefault="00FC5566" w:rsidP="00FC5566">
            <w:pPr>
              <w:ind w:left="78"/>
              <w:rPr>
                <w:sz w:val="16"/>
                <w:szCs w:val="16"/>
              </w:rPr>
            </w:pPr>
            <w:r w:rsidRPr="00FC5566">
              <w:rPr>
                <w:sz w:val="16"/>
                <w:szCs w:val="16"/>
              </w:rPr>
              <w:t>14. The local jurisdictions, utilizing flood plain manager, shall have the authority to adopt higher</w:t>
            </w:r>
          </w:p>
          <w:p w14:paraId="330B66C7" w14:textId="77777777" w:rsidR="00FC5566" w:rsidRPr="00FC5566" w:rsidRDefault="00FC5566" w:rsidP="00FC5566">
            <w:pPr>
              <w:ind w:left="78"/>
              <w:rPr>
                <w:sz w:val="16"/>
                <w:szCs w:val="16"/>
              </w:rPr>
            </w:pPr>
            <w:r w:rsidRPr="00FC5566">
              <w:rPr>
                <w:sz w:val="16"/>
                <w:szCs w:val="16"/>
              </w:rPr>
              <w:t>freeboard amounts as needed (CRS, etc.) but shall not have the authority to adopt freeboard amounts less than those required in ASCE-24-14.</w:t>
            </w:r>
          </w:p>
        </w:tc>
      </w:tr>
      <w:tr w:rsidR="00FC5566" w:rsidRPr="00FC5566" w14:paraId="086B4B74" w14:textId="77777777" w:rsidTr="00B247D5">
        <w:trPr>
          <w:trHeight w:val="374"/>
        </w:trPr>
        <w:tc>
          <w:tcPr>
            <w:tcW w:w="1080" w:type="dxa"/>
            <w:tcBorders>
              <w:top w:val="single" w:sz="6" w:space="0" w:color="000000"/>
              <w:left w:val="single" w:sz="6" w:space="0" w:color="000000"/>
              <w:bottom w:val="single" w:sz="6" w:space="0" w:color="000000"/>
              <w:right w:val="single" w:sz="6" w:space="0" w:color="000000"/>
            </w:tcBorders>
          </w:tcPr>
          <w:p w14:paraId="66336958"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5D5D30D4" w14:textId="77777777" w:rsidR="00FC5566" w:rsidRPr="00FC5566" w:rsidRDefault="00FC5566" w:rsidP="00FC5566">
            <w:pPr>
              <w:ind w:left="71"/>
              <w:rPr>
                <w:sz w:val="16"/>
                <w:szCs w:val="16"/>
              </w:rPr>
            </w:pPr>
            <w:r w:rsidRPr="00FC5566">
              <w:rPr>
                <w:sz w:val="16"/>
                <w:szCs w:val="16"/>
              </w:rPr>
              <w:t>Chapter 29, Plumbing Systems.</w:t>
            </w:r>
          </w:p>
        </w:tc>
        <w:tc>
          <w:tcPr>
            <w:tcW w:w="7099" w:type="dxa"/>
            <w:tcBorders>
              <w:top w:val="single" w:sz="6" w:space="0" w:color="000000"/>
              <w:left w:val="single" w:sz="6" w:space="0" w:color="000000"/>
              <w:bottom w:val="single" w:sz="6" w:space="0" w:color="000000"/>
              <w:right w:val="single" w:sz="6" w:space="0" w:color="000000"/>
            </w:tcBorders>
          </w:tcPr>
          <w:p w14:paraId="5B272961" w14:textId="77777777" w:rsidR="00FC5566" w:rsidRPr="00FC5566" w:rsidRDefault="00FC5566" w:rsidP="00FC5566">
            <w:pPr>
              <w:rPr>
                <w:sz w:val="16"/>
                <w:szCs w:val="16"/>
              </w:rPr>
            </w:pPr>
          </w:p>
        </w:tc>
      </w:tr>
      <w:tr w:rsidR="00FC5566" w:rsidRPr="00FC5566" w14:paraId="40B00EA2" w14:textId="77777777" w:rsidTr="00B247D5">
        <w:trPr>
          <w:trHeight w:val="374"/>
        </w:trPr>
        <w:tc>
          <w:tcPr>
            <w:tcW w:w="1080" w:type="dxa"/>
            <w:tcBorders>
              <w:top w:val="single" w:sz="6" w:space="0" w:color="000000"/>
              <w:left w:val="single" w:sz="6" w:space="0" w:color="000000"/>
              <w:bottom w:val="single" w:sz="6" w:space="0" w:color="000000"/>
              <w:right w:val="single" w:sz="6" w:space="0" w:color="000000"/>
            </w:tcBorders>
          </w:tcPr>
          <w:p w14:paraId="173A531F" w14:textId="77777777" w:rsidR="00FC5566" w:rsidRPr="00FC5566" w:rsidRDefault="00FC5566" w:rsidP="00FC5566">
            <w:pPr>
              <w:ind w:right="5"/>
              <w:jc w:val="center"/>
              <w:rPr>
                <w:spacing w:val="-2"/>
                <w:sz w:val="16"/>
                <w:szCs w:val="16"/>
              </w:rPr>
            </w:pPr>
            <w:r w:rsidRPr="00FC5566">
              <w:rPr>
                <w:spacing w:val="-2"/>
                <w:sz w:val="16"/>
                <w:szCs w:val="16"/>
              </w:rPr>
              <w:t>Adopt</w:t>
            </w:r>
          </w:p>
        </w:tc>
        <w:tc>
          <w:tcPr>
            <w:tcW w:w="2430" w:type="dxa"/>
            <w:tcBorders>
              <w:top w:val="single" w:sz="6" w:space="0" w:color="000000"/>
              <w:left w:val="single" w:sz="6" w:space="0" w:color="000000"/>
              <w:bottom w:val="single" w:sz="6" w:space="0" w:color="000000"/>
              <w:right w:val="single" w:sz="6" w:space="0" w:color="000000"/>
            </w:tcBorders>
          </w:tcPr>
          <w:p w14:paraId="339385A8" w14:textId="77777777" w:rsidR="00FC5566" w:rsidRPr="00FC5566" w:rsidRDefault="00FC5566" w:rsidP="00FC5566">
            <w:pPr>
              <w:ind w:left="88"/>
              <w:rPr>
                <w:sz w:val="16"/>
                <w:szCs w:val="16"/>
              </w:rPr>
            </w:pPr>
            <w:r w:rsidRPr="00FC5566">
              <w:rPr>
                <w:sz w:val="16"/>
                <w:szCs w:val="16"/>
              </w:rPr>
              <w:t>User notes:</w:t>
            </w:r>
          </w:p>
        </w:tc>
        <w:tc>
          <w:tcPr>
            <w:tcW w:w="7099" w:type="dxa"/>
            <w:tcBorders>
              <w:top w:val="single" w:sz="6" w:space="0" w:color="000000"/>
              <w:left w:val="single" w:sz="6" w:space="0" w:color="000000"/>
              <w:bottom w:val="single" w:sz="6" w:space="0" w:color="000000"/>
              <w:right w:val="single" w:sz="6" w:space="0" w:color="000000"/>
            </w:tcBorders>
          </w:tcPr>
          <w:p w14:paraId="3D7B5D1E" w14:textId="77777777" w:rsidR="00FC5566" w:rsidRPr="00FC5566" w:rsidRDefault="00FC5566" w:rsidP="00FC5566">
            <w:pPr>
              <w:ind w:left="88"/>
              <w:rPr>
                <w:sz w:val="16"/>
                <w:szCs w:val="16"/>
              </w:rPr>
            </w:pPr>
            <w:r w:rsidRPr="00FC5566">
              <w:rPr>
                <w:sz w:val="16"/>
                <w:szCs w:val="16"/>
              </w:rPr>
              <w:t>All plumbing provisions located in this Chapter shall reference 2024 IPC with Louisiana Amendments.</w:t>
            </w:r>
          </w:p>
        </w:tc>
      </w:tr>
      <w:tr w:rsidR="00FC5566" w:rsidRPr="00FC5566" w14:paraId="019C5DE9"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3D2E2250"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2DE71927" w14:textId="77777777" w:rsidR="00FC5566" w:rsidRPr="00FC5566" w:rsidRDefault="00FC5566" w:rsidP="00FC5566">
            <w:pPr>
              <w:ind w:left="71"/>
              <w:rPr>
                <w:sz w:val="16"/>
                <w:szCs w:val="16"/>
              </w:rPr>
            </w:pPr>
            <w:r w:rsidRPr="00FC5566">
              <w:rPr>
                <w:sz w:val="16"/>
                <w:szCs w:val="16"/>
              </w:rPr>
              <w:t>Chapter 31, Special Construction.</w:t>
            </w:r>
          </w:p>
        </w:tc>
        <w:tc>
          <w:tcPr>
            <w:tcW w:w="7099" w:type="dxa"/>
            <w:tcBorders>
              <w:top w:val="single" w:sz="6" w:space="0" w:color="000000"/>
              <w:left w:val="single" w:sz="6" w:space="0" w:color="000000"/>
              <w:bottom w:val="single" w:sz="6" w:space="0" w:color="000000"/>
              <w:right w:val="single" w:sz="6" w:space="0" w:color="000000"/>
            </w:tcBorders>
          </w:tcPr>
          <w:p w14:paraId="15BCA897" w14:textId="77777777" w:rsidR="00FC5566" w:rsidRPr="00FC5566" w:rsidRDefault="00FC5566" w:rsidP="00FC5566">
            <w:pPr>
              <w:ind w:left="78"/>
              <w:rPr>
                <w:sz w:val="16"/>
                <w:szCs w:val="16"/>
              </w:rPr>
            </w:pPr>
          </w:p>
        </w:tc>
      </w:tr>
      <w:tr w:rsidR="00FC5566" w:rsidRPr="00FC5566" w14:paraId="142B5A0F" w14:textId="77777777" w:rsidTr="00B247D5">
        <w:trPr>
          <w:trHeight w:val="374"/>
        </w:trPr>
        <w:tc>
          <w:tcPr>
            <w:tcW w:w="1080" w:type="dxa"/>
            <w:tcBorders>
              <w:top w:val="single" w:sz="6" w:space="0" w:color="000000"/>
              <w:left w:val="single" w:sz="6" w:space="0" w:color="000000"/>
              <w:bottom w:val="single" w:sz="6" w:space="0" w:color="000000"/>
              <w:right w:val="single" w:sz="6" w:space="0" w:color="000000"/>
            </w:tcBorders>
          </w:tcPr>
          <w:p w14:paraId="66CB57D5"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21F57C52" w14:textId="77777777" w:rsidR="00FC5566" w:rsidRPr="00FC5566" w:rsidRDefault="00FC5566" w:rsidP="00FC5566">
            <w:pPr>
              <w:ind w:left="71"/>
              <w:rPr>
                <w:sz w:val="16"/>
                <w:szCs w:val="16"/>
              </w:rPr>
            </w:pPr>
            <w:r w:rsidRPr="00FC5566">
              <w:rPr>
                <w:sz w:val="16"/>
                <w:szCs w:val="16"/>
              </w:rPr>
              <w:t>Section 3113, Relocatable Buildings.</w:t>
            </w:r>
          </w:p>
        </w:tc>
        <w:tc>
          <w:tcPr>
            <w:tcW w:w="7099" w:type="dxa"/>
            <w:tcBorders>
              <w:top w:val="single" w:sz="6" w:space="0" w:color="000000"/>
              <w:left w:val="single" w:sz="6" w:space="0" w:color="000000"/>
              <w:bottom w:val="single" w:sz="6" w:space="0" w:color="000000"/>
              <w:right w:val="single" w:sz="6" w:space="0" w:color="000000"/>
            </w:tcBorders>
          </w:tcPr>
          <w:p w14:paraId="61AF10FB" w14:textId="77777777" w:rsidR="00FC5566" w:rsidRPr="00FC5566" w:rsidRDefault="00FC5566" w:rsidP="00FC5566">
            <w:pPr>
              <w:ind w:left="78"/>
              <w:rPr>
                <w:sz w:val="16"/>
                <w:szCs w:val="16"/>
              </w:rPr>
            </w:pPr>
          </w:p>
        </w:tc>
      </w:tr>
      <w:tr w:rsidR="00FC5566" w:rsidRPr="00FC5566" w14:paraId="731F7FCB" w14:textId="77777777" w:rsidTr="00B247D5">
        <w:trPr>
          <w:trHeight w:val="374"/>
        </w:trPr>
        <w:tc>
          <w:tcPr>
            <w:tcW w:w="1080" w:type="dxa"/>
            <w:tcBorders>
              <w:top w:val="single" w:sz="6" w:space="0" w:color="000000"/>
              <w:left w:val="single" w:sz="6" w:space="0" w:color="000000"/>
              <w:bottom w:val="single" w:sz="6" w:space="0" w:color="000000"/>
              <w:right w:val="single" w:sz="6" w:space="0" w:color="000000"/>
            </w:tcBorders>
          </w:tcPr>
          <w:p w14:paraId="5E2AA200" w14:textId="77777777" w:rsidR="00FC5566" w:rsidRPr="00FC5566" w:rsidRDefault="00FC5566" w:rsidP="00FC5566">
            <w:pPr>
              <w:ind w:right="5"/>
              <w:jc w:val="center"/>
              <w:rPr>
                <w:spacing w:val="-2"/>
                <w:sz w:val="16"/>
                <w:szCs w:val="16"/>
              </w:rPr>
            </w:pPr>
            <w:r w:rsidRPr="00FC5566">
              <w:rPr>
                <w:spacing w:val="-2"/>
                <w:sz w:val="16"/>
                <w:szCs w:val="16"/>
              </w:rPr>
              <w:t>Adopt</w:t>
            </w:r>
          </w:p>
        </w:tc>
        <w:tc>
          <w:tcPr>
            <w:tcW w:w="2430" w:type="dxa"/>
            <w:tcBorders>
              <w:top w:val="single" w:sz="6" w:space="0" w:color="000000"/>
              <w:left w:val="single" w:sz="6" w:space="0" w:color="000000"/>
              <w:bottom w:val="single" w:sz="6" w:space="0" w:color="000000"/>
              <w:right w:val="single" w:sz="6" w:space="0" w:color="000000"/>
            </w:tcBorders>
          </w:tcPr>
          <w:p w14:paraId="2495CED1" w14:textId="77777777" w:rsidR="00FC5566" w:rsidRPr="00FC5566" w:rsidRDefault="00FC5566" w:rsidP="00FC5566">
            <w:pPr>
              <w:ind w:left="71"/>
              <w:rPr>
                <w:sz w:val="16"/>
                <w:szCs w:val="16"/>
              </w:rPr>
            </w:pPr>
            <w:r w:rsidRPr="00FC5566">
              <w:rPr>
                <w:sz w:val="16"/>
                <w:szCs w:val="16"/>
              </w:rPr>
              <w:t>User Note:</w:t>
            </w:r>
          </w:p>
        </w:tc>
        <w:tc>
          <w:tcPr>
            <w:tcW w:w="7099" w:type="dxa"/>
            <w:tcBorders>
              <w:top w:val="single" w:sz="6" w:space="0" w:color="000000"/>
              <w:left w:val="single" w:sz="6" w:space="0" w:color="000000"/>
              <w:bottom w:val="single" w:sz="6" w:space="0" w:color="000000"/>
              <w:right w:val="single" w:sz="6" w:space="0" w:color="000000"/>
            </w:tcBorders>
          </w:tcPr>
          <w:p w14:paraId="222BE239" w14:textId="77777777" w:rsidR="00FC5566" w:rsidRPr="00FC5566" w:rsidRDefault="00FC5566" w:rsidP="00FC5566">
            <w:pPr>
              <w:ind w:left="78"/>
              <w:rPr>
                <w:sz w:val="16"/>
                <w:szCs w:val="16"/>
              </w:rPr>
            </w:pPr>
            <w:r w:rsidRPr="00FC5566">
              <w:rPr>
                <w:sz w:val="16"/>
                <w:szCs w:val="16"/>
              </w:rPr>
              <w:t>Relocatable Buildings constructed on or after January 1, 2007, shall conform to the Louisiana Industrialized Building Act. Relocatable Buildings constructed prior to January 1, 2007, shall meet the</w:t>
            </w:r>
          </w:p>
          <w:p w14:paraId="08926453" w14:textId="77777777" w:rsidR="00FC5566" w:rsidRPr="00FC5566" w:rsidRDefault="00FC5566" w:rsidP="00FC5566">
            <w:pPr>
              <w:ind w:left="78"/>
              <w:rPr>
                <w:sz w:val="16"/>
                <w:szCs w:val="16"/>
              </w:rPr>
            </w:pPr>
            <w:r w:rsidRPr="00FC5566">
              <w:rPr>
                <w:sz w:val="16"/>
                <w:szCs w:val="16"/>
              </w:rPr>
              <w:t>requirements of Section 3113.3.</w:t>
            </w:r>
          </w:p>
        </w:tc>
      </w:tr>
      <w:tr w:rsidR="00FC5566" w:rsidRPr="00FC5566" w14:paraId="5AEAFA56" w14:textId="77777777" w:rsidTr="00B247D5">
        <w:trPr>
          <w:trHeight w:val="374"/>
        </w:trPr>
        <w:tc>
          <w:tcPr>
            <w:tcW w:w="1080" w:type="dxa"/>
            <w:tcBorders>
              <w:top w:val="single" w:sz="6" w:space="0" w:color="000000"/>
              <w:left w:val="single" w:sz="6" w:space="0" w:color="000000"/>
              <w:bottom w:val="single" w:sz="6" w:space="0" w:color="000000"/>
              <w:right w:val="single" w:sz="6" w:space="0" w:color="000000"/>
            </w:tcBorders>
          </w:tcPr>
          <w:p w14:paraId="1A767F11"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4EF56D71" w14:textId="77777777" w:rsidR="00FC5566" w:rsidRPr="00FC5566" w:rsidRDefault="00FC5566" w:rsidP="00FC5566">
            <w:pPr>
              <w:ind w:left="71"/>
              <w:rPr>
                <w:sz w:val="16"/>
                <w:szCs w:val="16"/>
              </w:rPr>
            </w:pPr>
            <w:r w:rsidRPr="00FC5566">
              <w:rPr>
                <w:sz w:val="16"/>
                <w:szCs w:val="16"/>
              </w:rPr>
              <w:t>Section 3113.2, Supplemental Information.</w:t>
            </w:r>
          </w:p>
        </w:tc>
        <w:tc>
          <w:tcPr>
            <w:tcW w:w="7099" w:type="dxa"/>
            <w:tcBorders>
              <w:top w:val="single" w:sz="6" w:space="0" w:color="000000"/>
              <w:left w:val="single" w:sz="6" w:space="0" w:color="000000"/>
              <w:bottom w:val="single" w:sz="6" w:space="0" w:color="000000"/>
              <w:right w:val="single" w:sz="6" w:space="0" w:color="000000"/>
            </w:tcBorders>
          </w:tcPr>
          <w:p w14:paraId="38745FB8" w14:textId="77777777" w:rsidR="00FC5566" w:rsidRPr="00FC5566" w:rsidRDefault="00FC5566" w:rsidP="00FC5566">
            <w:pPr>
              <w:ind w:left="78"/>
              <w:rPr>
                <w:sz w:val="16"/>
                <w:szCs w:val="16"/>
              </w:rPr>
            </w:pPr>
            <w:r w:rsidRPr="00FC5566">
              <w:rPr>
                <w:sz w:val="16"/>
                <w:szCs w:val="16"/>
              </w:rPr>
              <w:t>Supplemental information specific to a relocatable building shall be submitted to the authority having jurisdiction. It shall, as a minimum, include the following:</w:t>
            </w:r>
          </w:p>
          <w:p w14:paraId="6388DD40" w14:textId="77777777" w:rsidR="00FC5566" w:rsidRPr="00FC5566" w:rsidRDefault="00FC5566" w:rsidP="00FC5566">
            <w:pPr>
              <w:ind w:left="78"/>
              <w:rPr>
                <w:sz w:val="16"/>
                <w:szCs w:val="16"/>
              </w:rPr>
            </w:pPr>
            <w:r w:rsidRPr="00FC5566">
              <w:rPr>
                <w:sz w:val="16"/>
                <w:szCs w:val="16"/>
              </w:rPr>
              <w:t>1. Each relocatable module constructed after January 1, 2007, shall conform with the Louisiana Industrialized Buildings Act and shall have a data plate that is permanently attached on or adjacent to the electrical panel, and shall include the following information:</w:t>
            </w:r>
          </w:p>
          <w:p w14:paraId="149CBE10" w14:textId="77777777" w:rsidR="00FC5566" w:rsidRPr="00FC5566" w:rsidRDefault="00FC5566" w:rsidP="00FC5566">
            <w:pPr>
              <w:ind w:left="86" w:firstLine="2"/>
              <w:rPr>
                <w:sz w:val="16"/>
                <w:szCs w:val="16"/>
              </w:rPr>
            </w:pPr>
            <w:r w:rsidRPr="00FC5566">
              <w:rPr>
                <w:sz w:val="16"/>
                <w:szCs w:val="16"/>
              </w:rPr>
              <w:t>1.1  Occupancy group.</w:t>
            </w:r>
          </w:p>
          <w:p w14:paraId="5C342F2C" w14:textId="77777777" w:rsidR="00FC5566" w:rsidRPr="00FC5566" w:rsidRDefault="00FC5566" w:rsidP="00FC5566">
            <w:pPr>
              <w:ind w:left="86" w:firstLine="2"/>
              <w:rPr>
                <w:sz w:val="16"/>
                <w:szCs w:val="16"/>
              </w:rPr>
            </w:pPr>
            <w:r w:rsidRPr="00FC5566">
              <w:rPr>
                <w:sz w:val="16"/>
                <w:szCs w:val="16"/>
              </w:rPr>
              <w:t>1.2  Manufacturer’s name and address. Date of manufacture.</w:t>
            </w:r>
          </w:p>
          <w:p w14:paraId="59029023" w14:textId="77777777" w:rsidR="00FC5566" w:rsidRPr="00FC5566" w:rsidRDefault="00FC5566" w:rsidP="00FC5566">
            <w:pPr>
              <w:ind w:left="86" w:firstLine="2"/>
              <w:rPr>
                <w:sz w:val="16"/>
                <w:szCs w:val="16"/>
              </w:rPr>
            </w:pPr>
            <w:r w:rsidRPr="00FC5566">
              <w:rPr>
                <w:sz w:val="16"/>
                <w:szCs w:val="16"/>
              </w:rPr>
              <w:t xml:space="preserve">1.3  Serial number of module. </w:t>
            </w:r>
          </w:p>
          <w:p w14:paraId="526070CC" w14:textId="77777777" w:rsidR="00FC5566" w:rsidRPr="00FC5566" w:rsidRDefault="00FC5566" w:rsidP="00FC5566">
            <w:pPr>
              <w:ind w:left="86" w:firstLine="2"/>
              <w:rPr>
                <w:sz w:val="16"/>
                <w:szCs w:val="16"/>
              </w:rPr>
            </w:pPr>
            <w:r w:rsidRPr="00FC5566">
              <w:rPr>
                <w:sz w:val="16"/>
                <w:szCs w:val="16"/>
              </w:rPr>
              <w:t>1.4  Design wind speed.</w:t>
            </w:r>
          </w:p>
          <w:p w14:paraId="58D41308" w14:textId="77777777" w:rsidR="00FC5566" w:rsidRPr="00FC5566" w:rsidRDefault="00FC5566" w:rsidP="00FC5566">
            <w:pPr>
              <w:ind w:left="86" w:firstLine="2"/>
              <w:rPr>
                <w:sz w:val="16"/>
                <w:szCs w:val="16"/>
              </w:rPr>
            </w:pPr>
            <w:r w:rsidRPr="00FC5566">
              <w:rPr>
                <w:sz w:val="16"/>
                <w:szCs w:val="16"/>
              </w:rPr>
              <w:t>1.5  Special limitations if any.</w:t>
            </w:r>
          </w:p>
        </w:tc>
      </w:tr>
      <w:tr w:rsidR="00FC5566" w:rsidRPr="00FC5566" w14:paraId="14518E4F" w14:textId="77777777" w:rsidTr="00B247D5">
        <w:trPr>
          <w:trHeight w:val="374"/>
        </w:trPr>
        <w:tc>
          <w:tcPr>
            <w:tcW w:w="1080" w:type="dxa"/>
            <w:tcBorders>
              <w:top w:val="single" w:sz="6" w:space="0" w:color="000000"/>
              <w:left w:val="single" w:sz="6" w:space="0" w:color="000000"/>
              <w:bottom w:val="single" w:sz="6" w:space="0" w:color="000000"/>
              <w:right w:val="single" w:sz="6" w:space="0" w:color="000000"/>
            </w:tcBorders>
          </w:tcPr>
          <w:p w14:paraId="0392ACAF" w14:textId="77777777" w:rsidR="00FC5566" w:rsidRPr="00FC5566" w:rsidRDefault="00FC5566" w:rsidP="00FC5566">
            <w:pPr>
              <w:ind w:right="5"/>
              <w:jc w:val="center"/>
              <w:rPr>
                <w:spacing w:val="-2"/>
                <w:sz w:val="16"/>
                <w:szCs w:val="16"/>
              </w:rPr>
            </w:pPr>
            <w:r w:rsidRPr="00FC5566">
              <w:rPr>
                <w:spacing w:val="-2"/>
                <w:sz w:val="16"/>
                <w:szCs w:val="16"/>
              </w:rPr>
              <w:t>Adopt</w:t>
            </w:r>
          </w:p>
        </w:tc>
        <w:tc>
          <w:tcPr>
            <w:tcW w:w="2430" w:type="dxa"/>
            <w:tcBorders>
              <w:top w:val="single" w:sz="6" w:space="0" w:color="000000"/>
              <w:left w:val="single" w:sz="6" w:space="0" w:color="000000"/>
              <w:bottom w:val="single" w:sz="6" w:space="0" w:color="000000"/>
              <w:right w:val="single" w:sz="6" w:space="0" w:color="000000"/>
            </w:tcBorders>
          </w:tcPr>
          <w:p w14:paraId="2CF75738" w14:textId="77777777" w:rsidR="00FC5566" w:rsidRPr="00FC5566" w:rsidRDefault="00FC5566" w:rsidP="00FC5566">
            <w:pPr>
              <w:ind w:left="71"/>
              <w:rPr>
                <w:sz w:val="16"/>
                <w:szCs w:val="16"/>
              </w:rPr>
            </w:pPr>
            <w:r w:rsidRPr="00FC5566">
              <w:rPr>
                <w:sz w:val="16"/>
                <w:szCs w:val="16"/>
              </w:rPr>
              <w:t>Exception</w:t>
            </w:r>
          </w:p>
        </w:tc>
        <w:tc>
          <w:tcPr>
            <w:tcW w:w="7099" w:type="dxa"/>
            <w:tcBorders>
              <w:top w:val="single" w:sz="6" w:space="0" w:color="000000"/>
              <w:left w:val="single" w:sz="6" w:space="0" w:color="000000"/>
              <w:bottom w:val="single" w:sz="6" w:space="0" w:color="000000"/>
              <w:right w:val="single" w:sz="6" w:space="0" w:color="000000"/>
            </w:tcBorders>
          </w:tcPr>
          <w:p w14:paraId="27D9C82D" w14:textId="77777777" w:rsidR="00FC5566" w:rsidRPr="00FC5566" w:rsidRDefault="00FC5566" w:rsidP="00FC5566">
            <w:pPr>
              <w:ind w:left="88"/>
              <w:rPr>
                <w:b/>
                <w:bCs/>
                <w:sz w:val="16"/>
                <w:szCs w:val="16"/>
              </w:rPr>
            </w:pPr>
            <w:r w:rsidRPr="00FC5566">
              <w:rPr>
                <w:b/>
                <w:bCs/>
                <w:sz w:val="16"/>
                <w:szCs w:val="16"/>
              </w:rPr>
              <w:t>Exception:</w:t>
            </w:r>
          </w:p>
          <w:p w14:paraId="68E12F1A" w14:textId="77777777" w:rsidR="00FC5566" w:rsidRPr="00FC5566" w:rsidRDefault="00FC5566" w:rsidP="00FC5566">
            <w:pPr>
              <w:ind w:left="88"/>
              <w:rPr>
                <w:sz w:val="16"/>
                <w:szCs w:val="16"/>
              </w:rPr>
            </w:pPr>
            <w:r w:rsidRPr="00FC5566">
              <w:rPr>
                <w:sz w:val="16"/>
                <w:szCs w:val="16"/>
              </w:rPr>
              <w:t>Relocatable buildings without a data plate shall meet requirements of Section 3113.3 and the remaining requirements of this section.</w:t>
            </w:r>
          </w:p>
          <w:p w14:paraId="21D8E099" w14:textId="77777777" w:rsidR="00FC5566" w:rsidRPr="00FC5566" w:rsidRDefault="00FC5566" w:rsidP="00FC5566">
            <w:pPr>
              <w:ind w:left="88"/>
              <w:rPr>
                <w:sz w:val="16"/>
                <w:szCs w:val="16"/>
              </w:rPr>
            </w:pPr>
            <w:r w:rsidRPr="00FC5566">
              <w:rPr>
                <w:sz w:val="16"/>
                <w:szCs w:val="16"/>
              </w:rPr>
              <w:t>1. Foundation Design Documents.</w:t>
            </w:r>
          </w:p>
          <w:p w14:paraId="182D137E" w14:textId="77777777" w:rsidR="00FC5566" w:rsidRPr="00FC5566" w:rsidRDefault="00FC5566" w:rsidP="00FC5566">
            <w:pPr>
              <w:ind w:left="88"/>
              <w:rPr>
                <w:sz w:val="16"/>
                <w:szCs w:val="16"/>
              </w:rPr>
            </w:pPr>
            <w:r w:rsidRPr="00FC5566">
              <w:rPr>
                <w:sz w:val="16"/>
                <w:szCs w:val="16"/>
              </w:rPr>
              <w:t>2. Site-built structure or appurtenance attached to the relocatable building.</w:t>
            </w:r>
          </w:p>
        </w:tc>
      </w:tr>
      <w:tr w:rsidR="00FC5566" w:rsidRPr="00FC5566" w14:paraId="65433EE0" w14:textId="77777777" w:rsidTr="00B247D5">
        <w:trPr>
          <w:trHeight w:val="187"/>
        </w:trPr>
        <w:tc>
          <w:tcPr>
            <w:tcW w:w="1080" w:type="dxa"/>
            <w:tcBorders>
              <w:top w:val="single" w:sz="6" w:space="0" w:color="000000"/>
              <w:left w:val="single" w:sz="6" w:space="0" w:color="000000"/>
              <w:bottom w:val="single" w:sz="6" w:space="0" w:color="000000"/>
              <w:right w:val="single" w:sz="6" w:space="0" w:color="000000"/>
            </w:tcBorders>
          </w:tcPr>
          <w:p w14:paraId="17CD35C2"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36940AC6" w14:textId="77777777" w:rsidR="00FC5566" w:rsidRPr="00FC5566" w:rsidRDefault="00FC5566" w:rsidP="00FC5566">
            <w:pPr>
              <w:ind w:left="71" w:right="-6"/>
              <w:rPr>
                <w:sz w:val="16"/>
                <w:szCs w:val="16"/>
              </w:rPr>
            </w:pPr>
            <w:r w:rsidRPr="00FC5566">
              <w:rPr>
                <w:sz w:val="16"/>
                <w:szCs w:val="16"/>
              </w:rPr>
              <w:t>Section 3113.3, Manufacturer’s Data Plate</w:t>
            </w:r>
          </w:p>
        </w:tc>
        <w:tc>
          <w:tcPr>
            <w:tcW w:w="7099" w:type="dxa"/>
            <w:tcBorders>
              <w:top w:val="single" w:sz="6" w:space="0" w:color="000000"/>
              <w:left w:val="single" w:sz="6" w:space="0" w:color="000000"/>
              <w:bottom w:val="single" w:sz="6" w:space="0" w:color="000000"/>
              <w:right w:val="single" w:sz="6" w:space="0" w:color="000000"/>
            </w:tcBorders>
          </w:tcPr>
          <w:p w14:paraId="686E29B7" w14:textId="77777777" w:rsidR="00FC5566" w:rsidRPr="00FC5566" w:rsidRDefault="00FC5566" w:rsidP="00FC5566">
            <w:pPr>
              <w:ind w:left="88"/>
              <w:rPr>
                <w:sz w:val="16"/>
                <w:szCs w:val="16"/>
                <w:highlight w:val="yellow"/>
              </w:rPr>
            </w:pPr>
          </w:p>
        </w:tc>
      </w:tr>
      <w:tr w:rsidR="00FC5566" w:rsidRPr="00FC5566" w14:paraId="1E0E7C4E" w14:textId="77777777" w:rsidTr="00B247D5">
        <w:trPr>
          <w:trHeight w:val="187"/>
        </w:trPr>
        <w:tc>
          <w:tcPr>
            <w:tcW w:w="1080" w:type="dxa"/>
            <w:tcBorders>
              <w:top w:val="single" w:sz="6" w:space="0" w:color="000000"/>
              <w:left w:val="single" w:sz="6" w:space="0" w:color="000000"/>
              <w:bottom w:val="single" w:sz="6" w:space="0" w:color="000000"/>
              <w:right w:val="single" w:sz="6" w:space="0" w:color="000000"/>
            </w:tcBorders>
          </w:tcPr>
          <w:p w14:paraId="5FCFF8B5" w14:textId="77777777" w:rsidR="00FC5566" w:rsidRPr="00FC5566" w:rsidRDefault="00FC5566" w:rsidP="00FC5566">
            <w:pPr>
              <w:ind w:right="5"/>
              <w:jc w:val="center"/>
              <w:rPr>
                <w:spacing w:val="-2"/>
                <w:sz w:val="16"/>
                <w:szCs w:val="16"/>
              </w:rPr>
            </w:pPr>
            <w:r w:rsidRPr="00FC5566">
              <w:rPr>
                <w:spacing w:val="-2"/>
                <w:sz w:val="16"/>
                <w:szCs w:val="16"/>
              </w:rPr>
              <w:t>Adopt</w:t>
            </w:r>
          </w:p>
        </w:tc>
        <w:tc>
          <w:tcPr>
            <w:tcW w:w="2430" w:type="dxa"/>
            <w:tcBorders>
              <w:top w:val="single" w:sz="6" w:space="0" w:color="000000"/>
              <w:left w:val="single" w:sz="6" w:space="0" w:color="000000"/>
              <w:bottom w:val="single" w:sz="6" w:space="0" w:color="000000"/>
              <w:right w:val="single" w:sz="6" w:space="0" w:color="000000"/>
            </w:tcBorders>
          </w:tcPr>
          <w:p w14:paraId="48850FB8" w14:textId="77777777" w:rsidR="00FC5566" w:rsidRPr="00FC5566" w:rsidRDefault="00FC5566" w:rsidP="00FC5566">
            <w:pPr>
              <w:ind w:left="71"/>
              <w:rPr>
                <w:sz w:val="16"/>
                <w:szCs w:val="16"/>
              </w:rPr>
            </w:pPr>
          </w:p>
        </w:tc>
        <w:tc>
          <w:tcPr>
            <w:tcW w:w="7099" w:type="dxa"/>
            <w:tcBorders>
              <w:top w:val="single" w:sz="6" w:space="0" w:color="000000"/>
              <w:left w:val="single" w:sz="6" w:space="0" w:color="000000"/>
              <w:bottom w:val="single" w:sz="6" w:space="0" w:color="000000"/>
              <w:right w:val="single" w:sz="6" w:space="0" w:color="000000"/>
            </w:tcBorders>
          </w:tcPr>
          <w:p w14:paraId="33B8E920" w14:textId="77777777" w:rsidR="00FC5566" w:rsidRPr="00FC5566" w:rsidRDefault="00FC5566" w:rsidP="00FC5566">
            <w:pPr>
              <w:ind w:left="88"/>
              <w:rPr>
                <w:sz w:val="16"/>
                <w:szCs w:val="16"/>
              </w:rPr>
            </w:pPr>
            <w:r w:rsidRPr="00FC5566">
              <w:rPr>
                <w:sz w:val="16"/>
                <w:szCs w:val="16"/>
              </w:rPr>
              <w:t>Relocatable buildings without a data plate shall be inspected and certified by one of the following methods:</w:t>
            </w:r>
          </w:p>
          <w:p w14:paraId="57D43DF3" w14:textId="77777777" w:rsidR="00FC5566" w:rsidRPr="00FC5566" w:rsidRDefault="00FC5566" w:rsidP="00FC5566">
            <w:pPr>
              <w:ind w:left="88"/>
              <w:rPr>
                <w:sz w:val="16"/>
                <w:szCs w:val="16"/>
              </w:rPr>
            </w:pPr>
            <w:r w:rsidRPr="00FC5566">
              <w:rPr>
                <w:sz w:val="16"/>
                <w:szCs w:val="16"/>
              </w:rPr>
              <w:t>1. Inspection and acceptance by Local Building Official to meet the code requirements in place at time of</w:t>
            </w:r>
          </w:p>
          <w:p w14:paraId="04597E81" w14:textId="77777777" w:rsidR="00FC5566" w:rsidRPr="00FC5566" w:rsidRDefault="00FC5566" w:rsidP="00FC5566">
            <w:pPr>
              <w:ind w:left="88"/>
              <w:rPr>
                <w:sz w:val="16"/>
                <w:szCs w:val="16"/>
              </w:rPr>
            </w:pPr>
            <w:r w:rsidRPr="00FC5566">
              <w:rPr>
                <w:sz w:val="16"/>
                <w:szCs w:val="16"/>
              </w:rPr>
              <w:t>construction.</w:t>
            </w:r>
          </w:p>
          <w:p w14:paraId="7856CB90" w14:textId="77777777" w:rsidR="00FC5566" w:rsidRPr="00FC5566" w:rsidRDefault="00FC5566" w:rsidP="00FC5566">
            <w:pPr>
              <w:ind w:left="88"/>
              <w:rPr>
                <w:sz w:val="16"/>
                <w:szCs w:val="16"/>
              </w:rPr>
            </w:pPr>
            <w:r w:rsidRPr="00FC5566">
              <w:rPr>
                <w:sz w:val="16"/>
                <w:szCs w:val="16"/>
              </w:rPr>
              <w:t>2. Inspection and acceptance by a third-party inspector registered with LSUCCC to meet the code requirements in place at time of construction.</w:t>
            </w:r>
          </w:p>
          <w:p w14:paraId="34CC5610" w14:textId="77777777" w:rsidR="00FC5566" w:rsidRPr="00FC5566" w:rsidRDefault="00FC5566" w:rsidP="00FC5566">
            <w:pPr>
              <w:ind w:left="78"/>
              <w:rPr>
                <w:sz w:val="16"/>
                <w:szCs w:val="16"/>
                <w:highlight w:val="yellow"/>
              </w:rPr>
            </w:pPr>
            <w:r w:rsidRPr="00FC5566">
              <w:rPr>
                <w:sz w:val="16"/>
                <w:szCs w:val="16"/>
              </w:rPr>
              <w:t>3. Recertification and acceptance to current code and requirements of the Louisiana Industrialized Building Act.</w:t>
            </w:r>
          </w:p>
        </w:tc>
      </w:tr>
      <w:tr w:rsidR="00FC5566" w:rsidRPr="00FC5566" w14:paraId="37C7F066" w14:textId="77777777" w:rsidTr="00B247D5">
        <w:trPr>
          <w:trHeight w:val="187"/>
        </w:trPr>
        <w:tc>
          <w:tcPr>
            <w:tcW w:w="1080" w:type="dxa"/>
            <w:tcBorders>
              <w:top w:val="single" w:sz="6" w:space="0" w:color="000000"/>
              <w:left w:val="single" w:sz="6" w:space="0" w:color="000000"/>
              <w:bottom w:val="single" w:sz="6" w:space="0" w:color="000000"/>
              <w:right w:val="single" w:sz="6" w:space="0" w:color="000000"/>
            </w:tcBorders>
          </w:tcPr>
          <w:p w14:paraId="2CC383AB"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639F0DF6" w14:textId="77777777" w:rsidR="00FC5566" w:rsidRPr="00FC5566" w:rsidRDefault="00FC5566" w:rsidP="00FC5566">
            <w:pPr>
              <w:ind w:left="71"/>
              <w:rPr>
                <w:sz w:val="16"/>
                <w:szCs w:val="16"/>
              </w:rPr>
            </w:pPr>
            <w:r w:rsidRPr="00FC5566">
              <w:rPr>
                <w:sz w:val="16"/>
                <w:szCs w:val="16"/>
              </w:rPr>
              <w:t>Chapter 33, Safeguards During Construction.</w:t>
            </w:r>
          </w:p>
        </w:tc>
        <w:tc>
          <w:tcPr>
            <w:tcW w:w="7099" w:type="dxa"/>
            <w:tcBorders>
              <w:top w:val="single" w:sz="6" w:space="0" w:color="000000"/>
              <w:left w:val="single" w:sz="6" w:space="0" w:color="000000"/>
              <w:bottom w:val="single" w:sz="6" w:space="0" w:color="000000"/>
              <w:right w:val="single" w:sz="6" w:space="0" w:color="000000"/>
            </w:tcBorders>
          </w:tcPr>
          <w:p w14:paraId="67E78436" w14:textId="77777777" w:rsidR="00FC5566" w:rsidRPr="00FC5566" w:rsidRDefault="00FC5566" w:rsidP="00FC5566">
            <w:pPr>
              <w:ind w:left="88"/>
              <w:rPr>
                <w:sz w:val="16"/>
                <w:szCs w:val="16"/>
              </w:rPr>
            </w:pPr>
          </w:p>
        </w:tc>
      </w:tr>
      <w:tr w:rsidR="00FC5566" w:rsidRPr="00FC5566" w14:paraId="40B38A17" w14:textId="77777777" w:rsidTr="00B247D5">
        <w:trPr>
          <w:trHeight w:val="187"/>
        </w:trPr>
        <w:tc>
          <w:tcPr>
            <w:tcW w:w="1080" w:type="dxa"/>
            <w:tcBorders>
              <w:top w:val="single" w:sz="6" w:space="0" w:color="000000"/>
              <w:left w:val="single" w:sz="6" w:space="0" w:color="000000"/>
              <w:bottom w:val="single" w:sz="6" w:space="0" w:color="000000"/>
              <w:right w:val="single" w:sz="6" w:space="0" w:color="000000"/>
            </w:tcBorders>
          </w:tcPr>
          <w:p w14:paraId="0C5E384C" w14:textId="77777777" w:rsidR="00FC5566" w:rsidRPr="00FC5566" w:rsidRDefault="00FC5566" w:rsidP="00FC5566">
            <w:pPr>
              <w:ind w:right="5"/>
              <w:jc w:val="center"/>
              <w:rPr>
                <w:spacing w:val="-2"/>
                <w:sz w:val="16"/>
                <w:szCs w:val="16"/>
              </w:rPr>
            </w:pPr>
            <w:r w:rsidRPr="00FC5566">
              <w:rPr>
                <w:spacing w:val="-2"/>
                <w:sz w:val="16"/>
                <w:szCs w:val="16"/>
              </w:rPr>
              <w:t>Repeal</w:t>
            </w:r>
          </w:p>
        </w:tc>
        <w:tc>
          <w:tcPr>
            <w:tcW w:w="2430" w:type="dxa"/>
            <w:tcBorders>
              <w:top w:val="single" w:sz="6" w:space="0" w:color="000000"/>
              <w:left w:val="single" w:sz="6" w:space="0" w:color="000000"/>
              <w:bottom w:val="single" w:sz="6" w:space="0" w:color="000000"/>
              <w:right w:val="single" w:sz="6" w:space="0" w:color="000000"/>
            </w:tcBorders>
          </w:tcPr>
          <w:p w14:paraId="15A27AC7" w14:textId="77777777" w:rsidR="00FC5566" w:rsidRPr="00FC5566" w:rsidRDefault="00FC5566" w:rsidP="00FC5566">
            <w:pPr>
              <w:ind w:left="71"/>
              <w:rPr>
                <w:sz w:val="16"/>
                <w:szCs w:val="16"/>
              </w:rPr>
            </w:pPr>
            <w:r w:rsidRPr="00FC5566">
              <w:rPr>
                <w:sz w:val="16"/>
                <w:szCs w:val="16"/>
              </w:rPr>
              <w:t>Section 3302, Owner’s Responsibility for Fire Protection.</w:t>
            </w:r>
          </w:p>
        </w:tc>
        <w:tc>
          <w:tcPr>
            <w:tcW w:w="7099" w:type="dxa"/>
            <w:tcBorders>
              <w:top w:val="single" w:sz="6" w:space="0" w:color="000000"/>
              <w:left w:val="single" w:sz="6" w:space="0" w:color="000000"/>
              <w:bottom w:val="single" w:sz="6" w:space="0" w:color="000000"/>
              <w:right w:val="single" w:sz="6" w:space="0" w:color="000000"/>
            </w:tcBorders>
          </w:tcPr>
          <w:p w14:paraId="154CDC7E" w14:textId="77777777" w:rsidR="00FC5566" w:rsidRPr="00FC5566" w:rsidRDefault="00FC5566" w:rsidP="00FC5566">
            <w:pPr>
              <w:ind w:left="88"/>
              <w:rPr>
                <w:sz w:val="16"/>
                <w:szCs w:val="16"/>
              </w:rPr>
            </w:pPr>
          </w:p>
        </w:tc>
      </w:tr>
      <w:tr w:rsidR="00FC5566" w:rsidRPr="00FC5566" w14:paraId="0204D97E" w14:textId="77777777" w:rsidTr="00B247D5">
        <w:trPr>
          <w:trHeight w:val="187"/>
        </w:trPr>
        <w:tc>
          <w:tcPr>
            <w:tcW w:w="1080" w:type="dxa"/>
            <w:tcBorders>
              <w:top w:val="single" w:sz="6" w:space="0" w:color="000000"/>
              <w:left w:val="single" w:sz="6" w:space="0" w:color="000000"/>
              <w:bottom w:val="single" w:sz="6" w:space="0" w:color="000000"/>
              <w:right w:val="single" w:sz="6" w:space="0" w:color="000000"/>
            </w:tcBorders>
          </w:tcPr>
          <w:p w14:paraId="42C576A9" w14:textId="77777777" w:rsidR="00FC5566" w:rsidRPr="00FC5566" w:rsidRDefault="00FC5566" w:rsidP="00FC5566">
            <w:pPr>
              <w:ind w:right="5"/>
              <w:jc w:val="center"/>
              <w:rPr>
                <w:spacing w:val="-2"/>
                <w:sz w:val="16"/>
                <w:szCs w:val="16"/>
              </w:rPr>
            </w:pPr>
            <w:r w:rsidRPr="00FC5566">
              <w:rPr>
                <w:spacing w:val="-2"/>
                <w:sz w:val="16"/>
                <w:szCs w:val="16"/>
              </w:rPr>
              <w:t>Adopt</w:t>
            </w:r>
          </w:p>
        </w:tc>
        <w:tc>
          <w:tcPr>
            <w:tcW w:w="2430" w:type="dxa"/>
            <w:tcBorders>
              <w:top w:val="single" w:sz="6" w:space="0" w:color="000000"/>
              <w:left w:val="single" w:sz="6" w:space="0" w:color="000000"/>
              <w:bottom w:val="single" w:sz="6" w:space="0" w:color="000000"/>
              <w:right w:val="single" w:sz="6" w:space="0" w:color="000000"/>
            </w:tcBorders>
          </w:tcPr>
          <w:p w14:paraId="2C661739" w14:textId="77777777" w:rsidR="00FC5566" w:rsidRPr="00FC5566" w:rsidRDefault="00FC5566" w:rsidP="00FC5566">
            <w:pPr>
              <w:ind w:left="71"/>
              <w:rPr>
                <w:sz w:val="16"/>
                <w:szCs w:val="16"/>
              </w:rPr>
            </w:pPr>
            <w:r w:rsidRPr="00FC5566">
              <w:rPr>
                <w:sz w:val="16"/>
                <w:szCs w:val="16"/>
              </w:rPr>
              <w:t>Section 3302, Construction Safeguards.</w:t>
            </w:r>
          </w:p>
        </w:tc>
        <w:tc>
          <w:tcPr>
            <w:tcW w:w="7099" w:type="dxa"/>
            <w:tcBorders>
              <w:top w:val="single" w:sz="6" w:space="0" w:color="000000"/>
              <w:left w:val="single" w:sz="6" w:space="0" w:color="000000"/>
              <w:bottom w:val="single" w:sz="6" w:space="0" w:color="000000"/>
              <w:right w:val="single" w:sz="6" w:space="0" w:color="000000"/>
            </w:tcBorders>
          </w:tcPr>
          <w:p w14:paraId="6395B9C6" w14:textId="77777777" w:rsidR="00FC5566" w:rsidRPr="00FC5566" w:rsidRDefault="00FC5566" w:rsidP="00FC5566">
            <w:pPr>
              <w:ind w:left="88"/>
              <w:rPr>
                <w:sz w:val="16"/>
                <w:szCs w:val="16"/>
              </w:rPr>
            </w:pPr>
          </w:p>
        </w:tc>
      </w:tr>
      <w:tr w:rsidR="00FC5566" w:rsidRPr="00FC5566" w14:paraId="533983EB" w14:textId="77777777" w:rsidTr="00B247D5">
        <w:trPr>
          <w:trHeight w:val="1218"/>
        </w:trPr>
        <w:tc>
          <w:tcPr>
            <w:tcW w:w="1080" w:type="dxa"/>
            <w:tcBorders>
              <w:top w:val="single" w:sz="6" w:space="0" w:color="000000"/>
              <w:left w:val="single" w:sz="6" w:space="0" w:color="000000"/>
              <w:bottom w:val="single" w:sz="6" w:space="0" w:color="000000"/>
              <w:right w:val="single" w:sz="6" w:space="0" w:color="000000"/>
            </w:tcBorders>
          </w:tcPr>
          <w:p w14:paraId="0F187438" w14:textId="77777777" w:rsidR="00FC5566" w:rsidRPr="00FC5566" w:rsidRDefault="00FC5566" w:rsidP="00FC5566">
            <w:pPr>
              <w:ind w:right="5"/>
              <w:jc w:val="center"/>
              <w:rPr>
                <w:spacing w:val="-2"/>
                <w:sz w:val="16"/>
                <w:szCs w:val="16"/>
              </w:rPr>
            </w:pPr>
            <w:r w:rsidRPr="00FC5566">
              <w:rPr>
                <w:spacing w:val="-2"/>
                <w:sz w:val="16"/>
                <w:szCs w:val="16"/>
              </w:rPr>
              <w:t>Adopt</w:t>
            </w:r>
          </w:p>
        </w:tc>
        <w:tc>
          <w:tcPr>
            <w:tcW w:w="2430" w:type="dxa"/>
            <w:tcBorders>
              <w:top w:val="single" w:sz="6" w:space="0" w:color="000000"/>
              <w:left w:val="single" w:sz="6" w:space="0" w:color="000000"/>
              <w:bottom w:val="single" w:sz="6" w:space="0" w:color="000000"/>
              <w:right w:val="single" w:sz="6" w:space="0" w:color="000000"/>
            </w:tcBorders>
          </w:tcPr>
          <w:p w14:paraId="382F39BA" w14:textId="77777777" w:rsidR="00FC5566" w:rsidRPr="00FC5566" w:rsidRDefault="00FC5566" w:rsidP="00FC5566">
            <w:pPr>
              <w:ind w:left="71"/>
              <w:rPr>
                <w:sz w:val="16"/>
                <w:szCs w:val="16"/>
              </w:rPr>
            </w:pPr>
            <w:r w:rsidRPr="00FC5566">
              <w:rPr>
                <w:sz w:val="16"/>
                <w:szCs w:val="16"/>
              </w:rPr>
              <w:t>Section 3302.1, Alterations, repairs and additions.</w:t>
            </w:r>
          </w:p>
          <w:p w14:paraId="06C65397" w14:textId="77777777" w:rsidR="00FC5566" w:rsidRPr="00FC5566" w:rsidRDefault="00FC5566" w:rsidP="00FC5566">
            <w:pPr>
              <w:ind w:left="71"/>
              <w:rPr>
                <w:sz w:val="16"/>
                <w:szCs w:val="16"/>
              </w:rPr>
            </w:pPr>
          </w:p>
        </w:tc>
        <w:tc>
          <w:tcPr>
            <w:tcW w:w="7099" w:type="dxa"/>
            <w:tcBorders>
              <w:top w:val="single" w:sz="6" w:space="0" w:color="000000"/>
              <w:left w:val="single" w:sz="6" w:space="0" w:color="000000"/>
              <w:bottom w:val="single" w:sz="6" w:space="0" w:color="000000"/>
              <w:right w:val="single" w:sz="6" w:space="0" w:color="000000"/>
            </w:tcBorders>
          </w:tcPr>
          <w:p w14:paraId="0181721F" w14:textId="77777777" w:rsidR="00FC5566" w:rsidRPr="00FC5566" w:rsidRDefault="00FC5566" w:rsidP="00FC5566">
            <w:pPr>
              <w:ind w:left="88"/>
              <w:rPr>
                <w:sz w:val="16"/>
                <w:szCs w:val="16"/>
              </w:rPr>
            </w:pPr>
            <w:r w:rsidRPr="00FC5566">
              <w:rPr>
                <w:sz w:val="16"/>
                <w:szCs w:val="16"/>
              </w:rPr>
              <w:t>Required </w:t>
            </w:r>
            <w:r w:rsidRPr="00FC5566">
              <w:rPr>
                <w:i/>
                <w:iCs/>
                <w:sz w:val="16"/>
                <w:szCs w:val="16"/>
              </w:rPr>
              <w:t>exits</w:t>
            </w:r>
            <w:r w:rsidRPr="00FC5566">
              <w:rPr>
                <w:sz w:val="16"/>
                <w:szCs w:val="16"/>
              </w:rPr>
              <w:t>, existing structural elements, fire protection devices and sanitary safeguards shall be maintained at all times during </w:t>
            </w:r>
            <w:r w:rsidRPr="00FC5566">
              <w:rPr>
                <w:i/>
                <w:iCs/>
                <w:sz w:val="16"/>
                <w:szCs w:val="16"/>
              </w:rPr>
              <w:t>alterations</w:t>
            </w:r>
            <w:r w:rsidRPr="00FC5566">
              <w:rPr>
                <w:sz w:val="16"/>
                <w:szCs w:val="16"/>
              </w:rPr>
              <w:t>, </w:t>
            </w:r>
            <w:r w:rsidRPr="00FC5566">
              <w:rPr>
                <w:i/>
                <w:iCs/>
                <w:sz w:val="16"/>
                <w:szCs w:val="16"/>
              </w:rPr>
              <w:t>repairs</w:t>
            </w:r>
            <w:r w:rsidRPr="00FC5566">
              <w:rPr>
                <w:sz w:val="16"/>
                <w:szCs w:val="16"/>
              </w:rPr>
              <w:t> or </w:t>
            </w:r>
            <w:r w:rsidRPr="00FC5566">
              <w:rPr>
                <w:i/>
                <w:iCs/>
                <w:sz w:val="16"/>
                <w:szCs w:val="16"/>
              </w:rPr>
              <w:t>additions</w:t>
            </w:r>
            <w:r w:rsidRPr="00FC5566">
              <w:rPr>
                <w:sz w:val="16"/>
                <w:szCs w:val="16"/>
              </w:rPr>
              <w:t> to any building or structure.</w:t>
            </w:r>
          </w:p>
          <w:p w14:paraId="5E03AD75" w14:textId="77777777" w:rsidR="00FC5566" w:rsidRPr="00FC5566" w:rsidRDefault="00FC5566" w:rsidP="00FC5566">
            <w:pPr>
              <w:ind w:left="88"/>
              <w:rPr>
                <w:b/>
                <w:bCs/>
                <w:sz w:val="16"/>
                <w:szCs w:val="16"/>
              </w:rPr>
            </w:pPr>
            <w:r w:rsidRPr="00FC5566">
              <w:rPr>
                <w:b/>
                <w:bCs/>
                <w:sz w:val="16"/>
                <w:szCs w:val="16"/>
              </w:rPr>
              <w:t>Exceptions:</w:t>
            </w:r>
          </w:p>
          <w:p w14:paraId="4E224310" w14:textId="77777777" w:rsidR="00FC5566" w:rsidRPr="00FC5566" w:rsidRDefault="00FC5566" w:rsidP="00FC5566">
            <w:pPr>
              <w:numPr>
                <w:ilvl w:val="0"/>
                <w:numId w:val="30"/>
              </w:numPr>
              <w:ind w:left="88"/>
              <w:rPr>
                <w:sz w:val="16"/>
                <w:szCs w:val="16"/>
              </w:rPr>
            </w:pPr>
            <w:r w:rsidRPr="00FC5566">
              <w:rPr>
                <w:sz w:val="16"/>
                <w:szCs w:val="16"/>
              </w:rPr>
              <w:t>1. Where such required elements or devices are being altered or repaired, adequate substitute provisions shall be made.</w:t>
            </w:r>
          </w:p>
          <w:p w14:paraId="13738EC9" w14:textId="77777777" w:rsidR="00FC5566" w:rsidRPr="00FC5566" w:rsidRDefault="00FC5566" w:rsidP="00FC5566">
            <w:pPr>
              <w:numPr>
                <w:ilvl w:val="0"/>
                <w:numId w:val="30"/>
              </w:numPr>
              <w:ind w:left="88"/>
              <w:rPr>
                <w:sz w:val="16"/>
                <w:szCs w:val="16"/>
              </w:rPr>
            </w:pPr>
            <w:r w:rsidRPr="00FC5566">
              <w:rPr>
                <w:sz w:val="16"/>
                <w:szCs w:val="16"/>
              </w:rPr>
              <w:t>2. Maintenance of such elements and devices is not required where the existing building is not occupied.</w:t>
            </w:r>
          </w:p>
        </w:tc>
      </w:tr>
      <w:tr w:rsidR="00FC5566" w:rsidRPr="00FC5566" w14:paraId="59C49E56" w14:textId="77777777" w:rsidTr="00B247D5">
        <w:trPr>
          <w:trHeight w:val="187"/>
        </w:trPr>
        <w:tc>
          <w:tcPr>
            <w:tcW w:w="1080" w:type="dxa"/>
            <w:tcBorders>
              <w:top w:val="single" w:sz="6" w:space="0" w:color="000000"/>
              <w:left w:val="single" w:sz="6" w:space="0" w:color="000000"/>
              <w:bottom w:val="single" w:sz="6" w:space="0" w:color="000000"/>
              <w:right w:val="single" w:sz="6" w:space="0" w:color="000000"/>
            </w:tcBorders>
          </w:tcPr>
          <w:p w14:paraId="6086B279" w14:textId="77777777" w:rsidR="00FC5566" w:rsidRPr="00FC5566" w:rsidRDefault="00FC5566" w:rsidP="00FC5566">
            <w:pPr>
              <w:ind w:right="5"/>
              <w:jc w:val="center"/>
              <w:rPr>
                <w:spacing w:val="-2"/>
                <w:sz w:val="16"/>
                <w:szCs w:val="16"/>
              </w:rPr>
            </w:pPr>
            <w:r w:rsidRPr="00FC5566">
              <w:rPr>
                <w:spacing w:val="-2"/>
                <w:sz w:val="16"/>
                <w:szCs w:val="16"/>
              </w:rPr>
              <w:t>Adopt</w:t>
            </w:r>
          </w:p>
        </w:tc>
        <w:tc>
          <w:tcPr>
            <w:tcW w:w="2430" w:type="dxa"/>
            <w:tcBorders>
              <w:top w:val="single" w:sz="6" w:space="0" w:color="000000"/>
              <w:left w:val="single" w:sz="6" w:space="0" w:color="000000"/>
              <w:bottom w:val="single" w:sz="6" w:space="0" w:color="000000"/>
              <w:right w:val="single" w:sz="6" w:space="0" w:color="000000"/>
            </w:tcBorders>
          </w:tcPr>
          <w:p w14:paraId="2A79BF93" w14:textId="77777777" w:rsidR="00FC5566" w:rsidRPr="00FC5566" w:rsidRDefault="00FC5566" w:rsidP="00FC5566">
            <w:pPr>
              <w:ind w:left="71"/>
              <w:rPr>
                <w:sz w:val="16"/>
                <w:szCs w:val="16"/>
              </w:rPr>
            </w:pPr>
            <w:r w:rsidRPr="00FC5566">
              <w:rPr>
                <w:sz w:val="16"/>
                <w:szCs w:val="16"/>
              </w:rPr>
              <w:t>Section 3302.2, Manner of Removal.</w:t>
            </w:r>
          </w:p>
          <w:p w14:paraId="1BB7284C" w14:textId="77777777" w:rsidR="00FC5566" w:rsidRPr="00FC5566" w:rsidRDefault="00FC5566" w:rsidP="00FC5566">
            <w:pPr>
              <w:ind w:left="71"/>
              <w:rPr>
                <w:sz w:val="16"/>
                <w:szCs w:val="16"/>
              </w:rPr>
            </w:pPr>
          </w:p>
        </w:tc>
        <w:tc>
          <w:tcPr>
            <w:tcW w:w="7099" w:type="dxa"/>
            <w:tcBorders>
              <w:top w:val="single" w:sz="6" w:space="0" w:color="000000"/>
              <w:left w:val="single" w:sz="6" w:space="0" w:color="000000"/>
              <w:bottom w:val="single" w:sz="6" w:space="0" w:color="000000"/>
              <w:right w:val="single" w:sz="6" w:space="0" w:color="000000"/>
            </w:tcBorders>
          </w:tcPr>
          <w:p w14:paraId="5C91A06F" w14:textId="77777777" w:rsidR="00FC5566" w:rsidRPr="00FC5566" w:rsidRDefault="00FC5566" w:rsidP="00FC5566">
            <w:pPr>
              <w:ind w:left="88"/>
              <w:rPr>
                <w:sz w:val="16"/>
                <w:szCs w:val="16"/>
              </w:rPr>
            </w:pPr>
            <w:r w:rsidRPr="00FC5566">
              <w:rPr>
                <w:sz w:val="16"/>
                <w:szCs w:val="16"/>
              </w:rPr>
              <w:t>Waste materials shall be removed in a manner that prevents injury or damage to persons, adjoining properties and public rights-of-way.</w:t>
            </w:r>
          </w:p>
        </w:tc>
      </w:tr>
      <w:tr w:rsidR="00FC5566" w:rsidRPr="00FC5566" w14:paraId="4F2518B0" w14:textId="77777777" w:rsidTr="00B247D5">
        <w:trPr>
          <w:trHeight w:val="187"/>
        </w:trPr>
        <w:tc>
          <w:tcPr>
            <w:tcW w:w="1080" w:type="dxa"/>
            <w:tcBorders>
              <w:top w:val="single" w:sz="6" w:space="0" w:color="000000"/>
              <w:left w:val="single" w:sz="6" w:space="0" w:color="000000"/>
              <w:bottom w:val="single" w:sz="6" w:space="0" w:color="000000"/>
              <w:right w:val="single" w:sz="6" w:space="0" w:color="000000"/>
            </w:tcBorders>
          </w:tcPr>
          <w:p w14:paraId="66FB252D" w14:textId="77777777" w:rsidR="00FC5566" w:rsidRPr="00FC5566" w:rsidRDefault="00FC5566" w:rsidP="00FC5566">
            <w:pPr>
              <w:ind w:right="5"/>
              <w:jc w:val="center"/>
              <w:rPr>
                <w:spacing w:val="-2"/>
                <w:sz w:val="16"/>
                <w:szCs w:val="16"/>
              </w:rPr>
            </w:pPr>
            <w:r w:rsidRPr="00FC5566">
              <w:rPr>
                <w:spacing w:val="-2"/>
                <w:sz w:val="16"/>
                <w:szCs w:val="16"/>
              </w:rPr>
              <w:t>Adopt</w:t>
            </w:r>
          </w:p>
        </w:tc>
        <w:tc>
          <w:tcPr>
            <w:tcW w:w="2430" w:type="dxa"/>
            <w:tcBorders>
              <w:top w:val="single" w:sz="6" w:space="0" w:color="000000"/>
              <w:left w:val="single" w:sz="6" w:space="0" w:color="000000"/>
              <w:bottom w:val="single" w:sz="6" w:space="0" w:color="000000"/>
              <w:right w:val="single" w:sz="6" w:space="0" w:color="000000"/>
            </w:tcBorders>
          </w:tcPr>
          <w:p w14:paraId="4BCE2AAE" w14:textId="77777777" w:rsidR="00FC5566" w:rsidRPr="00FC5566" w:rsidRDefault="00FC5566" w:rsidP="00FC5566">
            <w:pPr>
              <w:ind w:left="71"/>
              <w:rPr>
                <w:sz w:val="16"/>
                <w:szCs w:val="16"/>
              </w:rPr>
            </w:pPr>
            <w:r w:rsidRPr="00FC5566">
              <w:rPr>
                <w:sz w:val="16"/>
                <w:szCs w:val="16"/>
              </w:rPr>
              <w:t>Section 3302.3, Fire Safety During Construction.</w:t>
            </w:r>
          </w:p>
        </w:tc>
        <w:tc>
          <w:tcPr>
            <w:tcW w:w="7099" w:type="dxa"/>
            <w:tcBorders>
              <w:top w:val="single" w:sz="6" w:space="0" w:color="000000"/>
              <w:left w:val="single" w:sz="6" w:space="0" w:color="000000"/>
              <w:bottom w:val="single" w:sz="6" w:space="0" w:color="000000"/>
              <w:right w:val="single" w:sz="6" w:space="0" w:color="000000"/>
            </w:tcBorders>
          </w:tcPr>
          <w:p w14:paraId="3F482E4D" w14:textId="77777777" w:rsidR="00FC5566" w:rsidRPr="00FC5566" w:rsidRDefault="00FC5566" w:rsidP="00FC5566">
            <w:pPr>
              <w:ind w:left="88"/>
              <w:rPr>
                <w:sz w:val="16"/>
                <w:szCs w:val="16"/>
              </w:rPr>
            </w:pPr>
            <w:r w:rsidRPr="00FC5566">
              <w:rPr>
                <w:sz w:val="16"/>
                <w:szCs w:val="16"/>
              </w:rPr>
              <w:t>Fire safety during construction shall comply with the applicable requirements of this code and the applicable provisions of </w:t>
            </w:r>
            <w:r w:rsidRPr="00FC5566">
              <w:rPr>
                <w:color w:val="000000"/>
                <w:sz w:val="16"/>
                <w:szCs w:val="16"/>
              </w:rPr>
              <w:t>Chapter 33</w:t>
            </w:r>
            <w:r w:rsidRPr="00FC5566">
              <w:rPr>
                <w:sz w:val="16"/>
                <w:szCs w:val="16"/>
              </w:rPr>
              <w:t> of the </w:t>
            </w:r>
            <w:r w:rsidRPr="00FC5566">
              <w:rPr>
                <w:i/>
                <w:iCs/>
                <w:sz w:val="16"/>
                <w:szCs w:val="16"/>
              </w:rPr>
              <w:t>International Fire Code</w:t>
            </w:r>
            <w:r w:rsidRPr="00FC5566">
              <w:rPr>
                <w:sz w:val="16"/>
                <w:szCs w:val="16"/>
              </w:rPr>
              <w:t>.</w:t>
            </w:r>
          </w:p>
        </w:tc>
      </w:tr>
      <w:tr w:rsidR="00FC5566" w:rsidRPr="00FC5566" w14:paraId="699472F9" w14:textId="77777777" w:rsidTr="00B247D5">
        <w:trPr>
          <w:trHeight w:val="187"/>
        </w:trPr>
        <w:tc>
          <w:tcPr>
            <w:tcW w:w="1080" w:type="dxa"/>
            <w:tcBorders>
              <w:top w:val="single" w:sz="6" w:space="0" w:color="000000"/>
              <w:left w:val="single" w:sz="6" w:space="0" w:color="000000"/>
              <w:bottom w:val="single" w:sz="6" w:space="0" w:color="000000"/>
              <w:right w:val="single" w:sz="6" w:space="0" w:color="000000"/>
            </w:tcBorders>
          </w:tcPr>
          <w:p w14:paraId="5D30F42C" w14:textId="77777777" w:rsidR="00FC5566" w:rsidRPr="00FC5566" w:rsidRDefault="00FC5566" w:rsidP="00FC5566">
            <w:pPr>
              <w:ind w:right="5"/>
              <w:jc w:val="center"/>
              <w:rPr>
                <w:spacing w:val="-2"/>
                <w:sz w:val="16"/>
                <w:szCs w:val="16"/>
              </w:rPr>
            </w:pPr>
            <w:r w:rsidRPr="00FC5566">
              <w:rPr>
                <w:spacing w:val="-2"/>
                <w:sz w:val="16"/>
                <w:szCs w:val="16"/>
              </w:rPr>
              <w:t>Repeal</w:t>
            </w:r>
          </w:p>
        </w:tc>
        <w:tc>
          <w:tcPr>
            <w:tcW w:w="2430" w:type="dxa"/>
            <w:tcBorders>
              <w:top w:val="single" w:sz="6" w:space="0" w:color="000000"/>
              <w:left w:val="single" w:sz="6" w:space="0" w:color="000000"/>
              <w:bottom w:val="single" w:sz="6" w:space="0" w:color="000000"/>
              <w:right w:val="single" w:sz="6" w:space="0" w:color="000000"/>
            </w:tcBorders>
          </w:tcPr>
          <w:p w14:paraId="3A142CD4" w14:textId="77777777" w:rsidR="00FC5566" w:rsidRPr="00FC5566" w:rsidRDefault="00FC5566" w:rsidP="00FC5566">
            <w:pPr>
              <w:ind w:left="71"/>
              <w:rPr>
                <w:sz w:val="16"/>
                <w:szCs w:val="16"/>
              </w:rPr>
            </w:pPr>
            <w:r w:rsidRPr="00FC5566">
              <w:rPr>
                <w:sz w:val="16"/>
                <w:szCs w:val="16"/>
              </w:rPr>
              <w:t>Section 3314, Fire Watch During Construction.</w:t>
            </w:r>
          </w:p>
        </w:tc>
        <w:tc>
          <w:tcPr>
            <w:tcW w:w="7099" w:type="dxa"/>
            <w:tcBorders>
              <w:top w:val="single" w:sz="6" w:space="0" w:color="000000"/>
              <w:left w:val="single" w:sz="6" w:space="0" w:color="000000"/>
              <w:bottom w:val="single" w:sz="6" w:space="0" w:color="000000"/>
              <w:right w:val="single" w:sz="6" w:space="0" w:color="000000"/>
            </w:tcBorders>
          </w:tcPr>
          <w:p w14:paraId="3308899F" w14:textId="77777777" w:rsidR="00FC5566" w:rsidRPr="00FC5566" w:rsidRDefault="00FC5566" w:rsidP="00FC5566">
            <w:pPr>
              <w:rPr>
                <w:sz w:val="16"/>
                <w:szCs w:val="16"/>
              </w:rPr>
            </w:pPr>
          </w:p>
        </w:tc>
      </w:tr>
      <w:tr w:rsidR="00FC5566" w:rsidRPr="00FC5566" w14:paraId="3E0BC916" w14:textId="77777777" w:rsidTr="00B247D5">
        <w:trPr>
          <w:trHeight w:val="219"/>
        </w:trPr>
        <w:tc>
          <w:tcPr>
            <w:tcW w:w="1080" w:type="dxa"/>
            <w:tcBorders>
              <w:top w:val="single" w:sz="6" w:space="0" w:color="000000"/>
              <w:left w:val="single" w:sz="6" w:space="0" w:color="000000"/>
              <w:bottom w:val="single" w:sz="6" w:space="0" w:color="000000"/>
              <w:right w:val="single" w:sz="6" w:space="0" w:color="000000"/>
            </w:tcBorders>
          </w:tcPr>
          <w:p w14:paraId="7F0BAEF8"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7E444B3D" w14:textId="77777777" w:rsidR="00FC5566" w:rsidRPr="00FC5566" w:rsidRDefault="00FC5566" w:rsidP="00FC5566">
            <w:pPr>
              <w:ind w:left="71"/>
              <w:rPr>
                <w:sz w:val="16"/>
                <w:szCs w:val="16"/>
              </w:rPr>
            </w:pPr>
            <w:r w:rsidRPr="00FC5566">
              <w:rPr>
                <w:sz w:val="16"/>
                <w:szCs w:val="16"/>
              </w:rPr>
              <w:t>Appendix G, Flood-Resistant Construction</w:t>
            </w:r>
          </w:p>
        </w:tc>
        <w:tc>
          <w:tcPr>
            <w:tcW w:w="7099" w:type="dxa"/>
            <w:tcBorders>
              <w:top w:val="single" w:sz="6" w:space="0" w:color="000000"/>
              <w:left w:val="single" w:sz="6" w:space="0" w:color="000000"/>
              <w:bottom w:val="single" w:sz="6" w:space="0" w:color="000000"/>
              <w:right w:val="single" w:sz="6" w:space="0" w:color="000000"/>
            </w:tcBorders>
          </w:tcPr>
          <w:p w14:paraId="1D0759C6" w14:textId="77777777" w:rsidR="00FC5566" w:rsidRPr="00FC5566" w:rsidRDefault="00FC5566" w:rsidP="00FC5566">
            <w:pPr>
              <w:ind w:left="78"/>
              <w:rPr>
                <w:sz w:val="16"/>
                <w:szCs w:val="16"/>
              </w:rPr>
            </w:pPr>
          </w:p>
        </w:tc>
      </w:tr>
      <w:tr w:rsidR="00FC5566" w:rsidRPr="00FC5566" w14:paraId="23E0A173" w14:textId="77777777" w:rsidTr="00B247D5">
        <w:trPr>
          <w:trHeight w:val="165"/>
        </w:trPr>
        <w:tc>
          <w:tcPr>
            <w:tcW w:w="1080" w:type="dxa"/>
            <w:tcBorders>
              <w:top w:val="single" w:sz="6" w:space="0" w:color="000000"/>
              <w:left w:val="single" w:sz="6" w:space="0" w:color="000000"/>
              <w:bottom w:val="single" w:sz="6" w:space="0" w:color="000000"/>
              <w:right w:val="single" w:sz="6" w:space="0" w:color="000000"/>
            </w:tcBorders>
          </w:tcPr>
          <w:p w14:paraId="652E27C2" w14:textId="77777777" w:rsidR="00FC5566" w:rsidRPr="00FC5566" w:rsidRDefault="00FC5566" w:rsidP="00FC5566">
            <w:pPr>
              <w:ind w:right="5"/>
              <w:jc w:val="center"/>
              <w:rPr>
                <w:spacing w:val="-2"/>
                <w:sz w:val="16"/>
                <w:szCs w:val="16"/>
              </w:rPr>
            </w:pPr>
            <w:r w:rsidRPr="00FC5566">
              <w:rPr>
                <w:spacing w:val="-2"/>
                <w:sz w:val="16"/>
                <w:szCs w:val="16"/>
              </w:rPr>
              <w:t>Repeal</w:t>
            </w:r>
          </w:p>
        </w:tc>
        <w:tc>
          <w:tcPr>
            <w:tcW w:w="2430" w:type="dxa"/>
            <w:tcBorders>
              <w:top w:val="single" w:sz="6" w:space="0" w:color="000000"/>
              <w:left w:val="single" w:sz="6" w:space="0" w:color="000000"/>
              <w:bottom w:val="single" w:sz="6" w:space="0" w:color="000000"/>
              <w:right w:val="single" w:sz="6" w:space="0" w:color="000000"/>
            </w:tcBorders>
          </w:tcPr>
          <w:p w14:paraId="36B8245B" w14:textId="77777777" w:rsidR="00FC5566" w:rsidRPr="00FC5566" w:rsidRDefault="00FC5566" w:rsidP="00FC5566">
            <w:pPr>
              <w:ind w:left="71"/>
              <w:rPr>
                <w:sz w:val="16"/>
                <w:szCs w:val="16"/>
              </w:rPr>
            </w:pPr>
            <w:r w:rsidRPr="00FC5566">
              <w:rPr>
                <w:sz w:val="16"/>
                <w:szCs w:val="16"/>
              </w:rPr>
              <w:t>User Notes</w:t>
            </w:r>
          </w:p>
        </w:tc>
        <w:tc>
          <w:tcPr>
            <w:tcW w:w="7099" w:type="dxa"/>
            <w:tcBorders>
              <w:top w:val="single" w:sz="6" w:space="0" w:color="000000"/>
              <w:left w:val="single" w:sz="6" w:space="0" w:color="000000"/>
              <w:bottom w:val="single" w:sz="6" w:space="0" w:color="000000"/>
              <w:right w:val="single" w:sz="6" w:space="0" w:color="000000"/>
            </w:tcBorders>
          </w:tcPr>
          <w:p w14:paraId="51577998" w14:textId="77777777" w:rsidR="00FC5566" w:rsidRPr="00FC5566" w:rsidRDefault="00FC5566" w:rsidP="00FC5566">
            <w:pPr>
              <w:ind w:left="78"/>
              <w:rPr>
                <w:sz w:val="16"/>
                <w:szCs w:val="16"/>
              </w:rPr>
            </w:pPr>
          </w:p>
        </w:tc>
      </w:tr>
      <w:tr w:rsidR="00FC5566" w:rsidRPr="00FC5566" w14:paraId="67F199E6"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7B9E7B76" w14:textId="77777777" w:rsidR="00FC5566" w:rsidRPr="00FC5566" w:rsidRDefault="00FC5566" w:rsidP="00FC5566">
            <w:pPr>
              <w:ind w:right="5"/>
              <w:jc w:val="center"/>
              <w:rPr>
                <w:spacing w:val="-2"/>
                <w:sz w:val="16"/>
                <w:szCs w:val="16"/>
              </w:rPr>
            </w:pPr>
            <w:r w:rsidRPr="00FC5566">
              <w:rPr>
                <w:spacing w:val="-2"/>
                <w:sz w:val="16"/>
                <w:szCs w:val="16"/>
              </w:rPr>
              <w:lastRenderedPageBreak/>
              <w:t>Amend</w:t>
            </w:r>
          </w:p>
        </w:tc>
        <w:tc>
          <w:tcPr>
            <w:tcW w:w="2430" w:type="dxa"/>
            <w:tcBorders>
              <w:top w:val="single" w:sz="6" w:space="0" w:color="000000"/>
              <w:left w:val="single" w:sz="6" w:space="0" w:color="000000"/>
              <w:bottom w:val="single" w:sz="6" w:space="0" w:color="000000"/>
              <w:right w:val="single" w:sz="6" w:space="0" w:color="000000"/>
            </w:tcBorders>
          </w:tcPr>
          <w:p w14:paraId="09F35109" w14:textId="77777777" w:rsidR="00FC5566" w:rsidRPr="00FC5566" w:rsidRDefault="00FC5566" w:rsidP="00FC5566">
            <w:pPr>
              <w:ind w:left="71"/>
              <w:rPr>
                <w:sz w:val="16"/>
                <w:szCs w:val="16"/>
              </w:rPr>
            </w:pPr>
            <w:r w:rsidRPr="00FC5566">
              <w:rPr>
                <w:sz w:val="16"/>
                <w:szCs w:val="16"/>
              </w:rPr>
              <w:t>Section G102.1, General.</w:t>
            </w:r>
          </w:p>
        </w:tc>
        <w:tc>
          <w:tcPr>
            <w:tcW w:w="7099" w:type="dxa"/>
            <w:tcBorders>
              <w:top w:val="single" w:sz="6" w:space="0" w:color="000000"/>
              <w:left w:val="single" w:sz="6" w:space="0" w:color="000000"/>
              <w:bottom w:val="single" w:sz="6" w:space="0" w:color="000000"/>
              <w:right w:val="single" w:sz="6" w:space="0" w:color="000000"/>
            </w:tcBorders>
          </w:tcPr>
          <w:p w14:paraId="567880CA" w14:textId="77777777" w:rsidR="00FC5566" w:rsidRPr="00FC5566" w:rsidRDefault="00FC5566" w:rsidP="00FC5566">
            <w:pPr>
              <w:ind w:left="78"/>
              <w:rPr>
                <w:sz w:val="16"/>
                <w:szCs w:val="16"/>
              </w:rPr>
            </w:pPr>
          </w:p>
        </w:tc>
      </w:tr>
      <w:tr w:rsidR="00FC5566" w:rsidRPr="00FC5566" w14:paraId="38AB8009"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3AAA0890" w14:textId="77777777" w:rsidR="00FC5566" w:rsidRPr="00FC5566" w:rsidRDefault="00FC5566" w:rsidP="00FC5566">
            <w:pPr>
              <w:ind w:right="5"/>
              <w:jc w:val="center"/>
              <w:rPr>
                <w:spacing w:val="-2"/>
                <w:sz w:val="16"/>
                <w:szCs w:val="16"/>
              </w:rPr>
            </w:pPr>
            <w:r w:rsidRPr="00FC5566">
              <w:rPr>
                <w:spacing w:val="-2"/>
                <w:sz w:val="16"/>
                <w:szCs w:val="16"/>
              </w:rPr>
              <w:t>Repeal</w:t>
            </w:r>
          </w:p>
        </w:tc>
        <w:tc>
          <w:tcPr>
            <w:tcW w:w="2430" w:type="dxa"/>
            <w:tcBorders>
              <w:top w:val="single" w:sz="6" w:space="0" w:color="000000"/>
              <w:left w:val="single" w:sz="6" w:space="0" w:color="000000"/>
              <w:bottom w:val="single" w:sz="6" w:space="0" w:color="000000"/>
              <w:right w:val="single" w:sz="6" w:space="0" w:color="000000"/>
            </w:tcBorders>
          </w:tcPr>
          <w:p w14:paraId="28174764" w14:textId="77777777" w:rsidR="00FC5566" w:rsidRPr="00FC5566" w:rsidRDefault="00FC5566" w:rsidP="00FC5566">
            <w:pPr>
              <w:ind w:left="71"/>
              <w:rPr>
                <w:sz w:val="16"/>
                <w:szCs w:val="16"/>
              </w:rPr>
            </w:pPr>
            <w:r w:rsidRPr="00FC5566">
              <w:rPr>
                <w:sz w:val="16"/>
                <w:szCs w:val="16"/>
              </w:rPr>
              <w:t>Manufactured Home</w:t>
            </w:r>
          </w:p>
        </w:tc>
        <w:tc>
          <w:tcPr>
            <w:tcW w:w="7099" w:type="dxa"/>
            <w:tcBorders>
              <w:top w:val="single" w:sz="6" w:space="0" w:color="000000"/>
              <w:left w:val="single" w:sz="6" w:space="0" w:color="000000"/>
              <w:bottom w:val="single" w:sz="6" w:space="0" w:color="000000"/>
              <w:right w:val="single" w:sz="6" w:space="0" w:color="000000"/>
            </w:tcBorders>
          </w:tcPr>
          <w:p w14:paraId="201AA152" w14:textId="77777777" w:rsidR="00FC5566" w:rsidRPr="00FC5566" w:rsidRDefault="00FC5566" w:rsidP="00FC5566">
            <w:pPr>
              <w:ind w:left="78"/>
              <w:rPr>
                <w:sz w:val="16"/>
                <w:szCs w:val="16"/>
              </w:rPr>
            </w:pPr>
          </w:p>
        </w:tc>
      </w:tr>
      <w:tr w:rsidR="00FC5566" w:rsidRPr="00FC5566" w14:paraId="2B6543A1" w14:textId="77777777" w:rsidTr="00B247D5">
        <w:trPr>
          <w:trHeight w:val="360"/>
        </w:trPr>
        <w:tc>
          <w:tcPr>
            <w:tcW w:w="1080" w:type="dxa"/>
            <w:tcBorders>
              <w:top w:val="single" w:sz="6" w:space="0" w:color="000000"/>
              <w:left w:val="single" w:sz="6" w:space="0" w:color="000000"/>
              <w:bottom w:val="single" w:sz="6" w:space="0" w:color="000000"/>
              <w:right w:val="single" w:sz="6" w:space="0" w:color="000000"/>
            </w:tcBorders>
          </w:tcPr>
          <w:p w14:paraId="265BAA6B" w14:textId="77777777" w:rsidR="00FC5566" w:rsidRPr="00FC5566" w:rsidRDefault="00FC5566" w:rsidP="00FC5566">
            <w:pPr>
              <w:ind w:right="5"/>
              <w:jc w:val="center"/>
              <w:rPr>
                <w:spacing w:val="-2"/>
                <w:sz w:val="16"/>
                <w:szCs w:val="16"/>
              </w:rPr>
            </w:pPr>
            <w:r w:rsidRPr="00FC5566">
              <w:rPr>
                <w:spacing w:val="-2"/>
                <w:sz w:val="16"/>
                <w:szCs w:val="16"/>
              </w:rPr>
              <w:t>Repeal</w:t>
            </w:r>
          </w:p>
        </w:tc>
        <w:tc>
          <w:tcPr>
            <w:tcW w:w="2430" w:type="dxa"/>
            <w:tcBorders>
              <w:top w:val="single" w:sz="6" w:space="0" w:color="000000"/>
              <w:left w:val="single" w:sz="6" w:space="0" w:color="000000"/>
              <w:bottom w:val="single" w:sz="6" w:space="0" w:color="000000"/>
              <w:right w:val="single" w:sz="6" w:space="0" w:color="000000"/>
            </w:tcBorders>
          </w:tcPr>
          <w:p w14:paraId="25A599D9" w14:textId="77777777" w:rsidR="00FC5566" w:rsidRPr="00FC5566" w:rsidRDefault="00FC5566" w:rsidP="00FC5566">
            <w:pPr>
              <w:ind w:left="71"/>
              <w:rPr>
                <w:sz w:val="16"/>
                <w:szCs w:val="16"/>
              </w:rPr>
            </w:pPr>
            <w:r w:rsidRPr="00FC5566">
              <w:rPr>
                <w:sz w:val="16"/>
                <w:szCs w:val="16"/>
              </w:rPr>
              <w:t>Manufactured Home Park or Subdivision</w:t>
            </w:r>
          </w:p>
        </w:tc>
        <w:tc>
          <w:tcPr>
            <w:tcW w:w="7099" w:type="dxa"/>
            <w:tcBorders>
              <w:top w:val="single" w:sz="6" w:space="0" w:color="000000"/>
              <w:left w:val="single" w:sz="6" w:space="0" w:color="000000"/>
              <w:bottom w:val="single" w:sz="6" w:space="0" w:color="000000"/>
              <w:right w:val="single" w:sz="6" w:space="0" w:color="000000"/>
            </w:tcBorders>
          </w:tcPr>
          <w:p w14:paraId="5D0BDE8A" w14:textId="77777777" w:rsidR="00FC5566" w:rsidRPr="00FC5566" w:rsidRDefault="00FC5566" w:rsidP="00FC5566">
            <w:pPr>
              <w:ind w:left="78"/>
              <w:rPr>
                <w:sz w:val="16"/>
                <w:szCs w:val="16"/>
              </w:rPr>
            </w:pPr>
          </w:p>
        </w:tc>
      </w:tr>
      <w:tr w:rsidR="00FC5566" w:rsidRPr="00FC5566" w14:paraId="52A1279F"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66E035C0" w14:textId="77777777" w:rsidR="00FC5566" w:rsidRPr="00FC5566" w:rsidRDefault="00FC5566" w:rsidP="00FC5566">
            <w:pPr>
              <w:ind w:right="5"/>
              <w:jc w:val="center"/>
              <w:rPr>
                <w:spacing w:val="-2"/>
                <w:sz w:val="16"/>
                <w:szCs w:val="16"/>
              </w:rPr>
            </w:pPr>
            <w:r w:rsidRPr="00FC5566">
              <w:rPr>
                <w:spacing w:val="-2"/>
                <w:sz w:val="16"/>
                <w:szCs w:val="16"/>
              </w:rPr>
              <w:t>Repeal</w:t>
            </w:r>
          </w:p>
        </w:tc>
        <w:tc>
          <w:tcPr>
            <w:tcW w:w="2430" w:type="dxa"/>
            <w:tcBorders>
              <w:top w:val="single" w:sz="6" w:space="0" w:color="000000"/>
              <w:left w:val="single" w:sz="6" w:space="0" w:color="000000"/>
              <w:bottom w:val="single" w:sz="6" w:space="0" w:color="000000"/>
              <w:right w:val="single" w:sz="6" w:space="0" w:color="000000"/>
            </w:tcBorders>
          </w:tcPr>
          <w:p w14:paraId="427B04C8" w14:textId="77777777" w:rsidR="00FC5566" w:rsidRPr="00FC5566" w:rsidRDefault="00FC5566" w:rsidP="00FC5566">
            <w:pPr>
              <w:ind w:left="71"/>
              <w:rPr>
                <w:sz w:val="16"/>
                <w:szCs w:val="16"/>
              </w:rPr>
            </w:pPr>
            <w:r w:rsidRPr="00FC5566">
              <w:rPr>
                <w:sz w:val="16"/>
                <w:szCs w:val="16"/>
              </w:rPr>
              <w:t>Recreational Vehicle</w:t>
            </w:r>
          </w:p>
        </w:tc>
        <w:tc>
          <w:tcPr>
            <w:tcW w:w="7099" w:type="dxa"/>
            <w:tcBorders>
              <w:top w:val="single" w:sz="6" w:space="0" w:color="000000"/>
              <w:left w:val="single" w:sz="6" w:space="0" w:color="000000"/>
              <w:bottom w:val="single" w:sz="6" w:space="0" w:color="000000"/>
              <w:right w:val="single" w:sz="6" w:space="0" w:color="000000"/>
            </w:tcBorders>
          </w:tcPr>
          <w:p w14:paraId="04733411" w14:textId="77777777" w:rsidR="00FC5566" w:rsidRPr="00FC5566" w:rsidRDefault="00FC5566" w:rsidP="00FC5566">
            <w:pPr>
              <w:rPr>
                <w:sz w:val="16"/>
                <w:szCs w:val="16"/>
              </w:rPr>
            </w:pPr>
          </w:p>
        </w:tc>
      </w:tr>
      <w:tr w:rsidR="00FC5566" w:rsidRPr="00FC5566" w14:paraId="3AE73198"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0B79E87D"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5ED8C233" w14:textId="77777777" w:rsidR="00FC5566" w:rsidRPr="00FC5566" w:rsidRDefault="00FC5566" w:rsidP="00FC5566">
            <w:pPr>
              <w:ind w:left="71"/>
              <w:rPr>
                <w:sz w:val="16"/>
                <w:szCs w:val="16"/>
              </w:rPr>
            </w:pPr>
            <w:r w:rsidRPr="00FC5566">
              <w:rPr>
                <w:sz w:val="16"/>
                <w:szCs w:val="16"/>
              </w:rPr>
              <w:t>Section G103.1, General.</w:t>
            </w:r>
          </w:p>
        </w:tc>
        <w:tc>
          <w:tcPr>
            <w:tcW w:w="7099" w:type="dxa"/>
            <w:tcBorders>
              <w:top w:val="single" w:sz="6" w:space="0" w:color="000000"/>
              <w:left w:val="single" w:sz="6" w:space="0" w:color="000000"/>
              <w:bottom w:val="single" w:sz="6" w:space="0" w:color="000000"/>
              <w:right w:val="single" w:sz="6" w:space="0" w:color="000000"/>
            </w:tcBorders>
          </w:tcPr>
          <w:p w14:paraId="3C9F009C" w14:textId="77777777" w:rsidR="00FC5566" w:rsidRPr="00FC5566" w:rsidRDefault="00FC5566" w:rsidP="00FC5566">
            <w:pPr>
              <w:ind w:left="78"/>
              <w:rPr>
                <w:sz w:val="16"/>
                <w:szCs w:val="16"/>
              </w:rPr>
            </w:pPr>
          </w:p>
        </w:tc>
      </w:tr>
      <w:tr w:rsidR="00FC5566" w:rsidRPr="00FC5566" w14:paraId="04C1ABBE"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526674A7" w14:textId="77777777" w:rsidR="00FC5566" w:rsidRPr="00FC5566" w:rsidRDefault="00FC5566" w:rsidP="00FC5566">
            <w:pPr>
              <w:ind w:right="5"/>
              <w:jc w:val="center"/>
              <w:rPr>
                <w:spacing w:val="-2"/>
                <w:sz w:val="16"/>
                <w:szCs w:val="16"/>
              </w:rPr>
            </w:pPr>
            <w:r w:rsidRPr="00FC5566">
              <w:rPr>
                <w:spacing w:val="-2"/>
                <w:sz w:val="16"/>
                <w:szCs w:val="16"/>
              </w:rPr>
              <w:t>Repeal</w:t>
            </w:r>
          </w:p>
        </w:tc>
        <w:tc>
          <w:tcPr>
            <w:tcW w:w="2430" w:type="dxa"/>
            <w:tcBorders>
              <w:top w:val="single" w:sz="6" w:space="0" w:color="000000"/>
              <w:left w:val="single" w:sz="6" w:space="0" w:color="000000"/>
              <w:bottom w:val="single" w:sz="6" w:space="0" w:color="000000"/>
              <w:right w:val="single" w:sz="6" w:space="0" w:color="000000"/>
            </w:tcBorders>
          </w:tcPr>
          <w:p w14:paraId="3F95FBBE" w14:textId="77777777" w:rsidR="00FC5566" w:rsidRPr="00FC5566" w:rsidRDefault="00FC5566" w:rsidP="00FC5566">
            <w:pPr>
              <w:ind w:left="71"/>
              <w:rPr>
                <w:sz w:val="16"/>
                <w:szCs w:val="16"/>
              </w:rPr>
            </w:pPr>
            <w:r w:rsidRPr="00FC5566">
              <w:rPr>
                <w:sz w:val="16"/>
                <w:szCs w:val="16"/>
              </w:rPr>
              <w:t>Item (1.)</w:t>
            </w:r>
          </w:p>
        </w:tc>
        <w:tc>
          <w:tcPr>
            <w:tcW w:w="7099" w:type="dxa"/>
            <w:tcBorders>
              <w:top w:val="single" w:sz="6" w:space="0" w:color="000000"/>
              <w:left w:val="single" w:sz="6" w:space="0" w:color="000000"/>
              <w:bottom w:val="single" w:sz="6" w:space="0" w:color="000000"/>
              <w:right w:val="single" w:sz="6" w:space="0" w:color="000000"/>
            </w:tcBorders>
          </w:tcPr>
          <w:p w14:paraId="77E77007" w14:textId="77777777" w:rsidR="00FC5566" w:rsidRPr="00FC5566" w:rsidRDefault="00FC5566" w:rsidP="00FC5566">
            <w:pPr>
              <w:rPr>
                <w:sz w:val="16"/>
                <w:szCs w:val="16"/>
              </w:rPr>
            </w:pPr>
          </w:p>
        </w:tc>
      </w:tr>
      <w:tr w:rsidR="00FC5566" w:rsidRPr="00FC5566" w14:paraId="743146DE"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14E63A6B" w14:textId="77777777" w:rsidR="00FC5566" w:rsidRPr="00FC5566" w:rsidRDefault="00FC5566" w:rsidP="00FC5566">
            <w:pPr>
              <w:ind w:right="5"/>
              <w:jc w:val="center"/>
              <w:rPr>
                <w:spacing w:val="-2"/>
                <w:sz w:val="16"/>
                <w:szCs w:val="16"/>
              </w:rPr>
            </w:pPr>
            <w:r w:rsidRPr="00FC5566">
              <w:rPr>
                <w:spacing w:val="-2"/>
                <w:sz w:val="16"/>
                <w:szCs w:val="16"/>
              </w:rPr>
              <w:t>Repeal</w:t>
            </w:r>
          </w:p>
        </w:tc>
        <w:tc>
          <w:tcPr>
            <w:tcW w:w="2430" w:type="dxa"/>
            <w:tcBorders>
              <w:top w:val="single" w:sz="6" w:space="0" w:color="000000"/>
              <w:left w:val="single" w:sz="6" w:space="0" w:color="000000"/>
              <w:bottom w:val="single" w:sz="6" w:space="0" w:color="000000"/>
              <w:right w:val="single" w:sz="6" w:space="0" w:color="000000"/>
            </w:tcBorders>
          </w:tcPr>
          <w:p w14:paraId="5F5BDCA8" w14:textId="77777777" w:rsidR="00FC5566" w:rsidRPr="00FC5566" w:rsidRDefault="00FC5566" w:rsidP="00FC5566">
            <w:pPr>
              <w:ind w:left="71" w:right="-92"/>
              <w:rPr>
                <w:sz w:val="16"/>
                <w:szCs w:val="16"/>
              </w:rPr>
            </w:pPr>
            <w:r w:rsidRPr="00FC5566">
              <w:rPr>
                <w:sz w:val="16"/>
                <w:szCs w:val="16"/>
              </w:rPr>
              <w:t>Item (2.)</w:t>
            </w:r>
          </w:p>
        </w:tc>
        <w:tc>
          <w:tcPr>
            <w:tcW w:w="7099" w:type="dxa"/>
            <w:tcBorders>
              <w:top w:val="single" w:sz="6" w:space="0" w:color="000000"/>
              <w:left w:val="single" w:sz="6" w:space="0" w:color="000000"/>
              <w:bottom w:val="single" w:sz="6" w:space="0" w:color="000000"/>
              <w:right w:val="single" w:sz="6" w:space="0" w:color="000000"/>
            </w:tcBorders>
          </w:tcPr>
          <w:p w14:paraId="622D054D" w14:textId="77777777" w:rsidR="00FC5566" w:rsidRPr="00FC5566" w:rsidRDefault="00FC5566" w:rsidP="00FC5566">
            <w:pPr>
              <w:ind w:left="78"/>
              <w:rPr>
                <w:sz w:val="16"/>
                <w:szCs w:val="16"/>
              </w:rPr>
            </w:pPr>
          </w:p>
        </w:tc>
      </w:tr>
      <w:tr w:rsidR="00FC5566" w:rsidRPr="00FC5566" w14:paraId="76714653"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2178A212" w14:textId="77777777" w:rsidR="00FC5566" w:rsidRPr="00FC5566" w:rsidRDefault="00FC5566" w:rsidP="00FC5566">
            <w:pPr>
              <w:ind w:right="5"/>
              <w:jc w:val="center"/>
              <w:rPr>
                <w:spacing w:val="-2"/>
                <w:sz w:val="16"/>
                <w:szCs w:val="16"/>
              </w:rPr>
            </w:pPr>
            <w:r w:rsidRPr="00FC5566">
              <w:rPr>
                <w:spacing w:val="-2"/>
                <w:sz w:val="16"/>
                <w:szCs w:val="16"/>
              </w:rPr>
              <w:t>Repeal</w:t>
            </w:r>
          </w:p>
        </w:tc>
        <w:tc>
          <w:tcPr>
            <w:tcW w:w="2430" w:type="dxa"/>
            <w:tcBorders>
              <w:top w:val="single" w:sz="6" w:space="0" w:color="000000"/>
              <w:left w:val="single" w:sz="6" w:space="0" w:color="000000"/>
              <w:bottom w:val="single" w:sz="6" w:space="0" w:color="000000"/>
              <w:right w:val="single" w:sz="6" w:space="0" w:color="000000"/>
            </w:tcBorders>
          </w:tcPr>
          <w:p w14:paraId="2BEE43EA" w14:textId="77777777" w:rsidR="00FC5566" w:rsidRPr="00FC5566" w:rsidRDefault="00FC5566" w:rsidP="00FC5566">
            <w:pPr>
              <w:ind w:left="71" w:right="-92"/>
              <w:rPr>
                <w:sz w:val="16"/>
                <w:szCs w:val="16"/>
              </w:rPr>
            </w:pPr>
            <w:r w:rsidRPr="00FC5566">
              <w:rPr>
                <w:sz w:val="16"/>
                <w:szCs w:val="16"/>
              </w:rPr>
              <w:t>Item (3.)</w:t>
            </w:r>
          </w:p>
        </w:tc>
        <w:tc>
          <w:tcPr>
            <w:tcW w:w="7099" w:type="dxa"/>
            <w:tcBorders>
              <w:top w:val="single" w:sz="6" w:space="0" w:color="000000"/>
              <w:left w:val="single" w:sz="6" w:space="0" w:color="000000"/>
              <w:bottom w:val="single" w:sz="6" w:space="0" w:color="000000"/>
              <w:right w:val="single" w:sz="6" w:space="0" w:color="000000"/>
            </w:tcBorders>
          </w:tcPr>
          <w:p w14:paraId="6EB02466" w14:textId="77777777" w:rsidR="00FC5566" w:rsidRPr="00FC5566" w:rsidRDefault="00FC5566" w:rsidP="00FC5566">
            <w:pPr>
              <w:ind w:left="78"/>
              <w:rPr>
                <w:sz w:val="16"/>
                <w:szCs w:val="16"/>
              </w:rPr>
            </w:pPr>
          </w:p>
        </w:tc>
      </w:tr>
      <w:tr w:rsidR="00FC5566" w:rsidRPr="00FC5566" w14:paraId="6DFB2AA1"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72A3E64B" w14:textId="77777777" w:rsidR="00FC5566" w:rsidRPr="00FC5566" w:rsidRDefault="00FC5566" w:rsidP="00FC5566">
            <w:pPr>
              <w:ind w:right="5"/>
              <w:jc w:val="center"/>
              <w:rPr>
                <w:spacing w:val="-2"/>
                <w:sz w:val="16"/>
                <w:szCs w:val="16"/>
              </w:rPr>
            </w:pPr>
            <w:r w:rsidRPr="00FC5566">
              <w:rPr>
                <w:spacing w:val="-2"/>
                <w:sz w:val="16"/>
                <w:szCs w:val="16"/>
              </w:rPr>
              <w:t>Repeal</w:t>
            </w:r>
          </w:p>
        </w:tc>
        <w:tc>
          <w:tcPr>
            <w:tcW w:w="2430" w:type="dxa"/>
            <w:tcBorders>
              <w:top w:val="single" w:sz="6" w:space="0" w:color="000000"/>
              <w:left w:val="single" w:sz="6" w:space="0" w:color="000000"/>
              <w:bottom w:val="single" w:sz="6" w:space="0" w:color="000000"/>
              <w:right w:val="single" w:sz="6" w:space="0" w:color="000000"/>
            </w:tcBorders>
          </w:tcPr>
          <w:p w14:paraId="14C6CD1A" w14:textId="77777777" w:rsidR="00FC5566" w:rsidRPr="00FC5566" w:rsidRDefault="00FC5566" w:rsidP="00FC5566">
            <w:pPr>
              <w:ind w:left="71" w:right="-92"/>
              <w:rPr>
                <w:sz w:val="16"/>
                <w:szCs w:val="16"/>
              </w:rPr>
            </w:pPr>
            <w:r w:rsidRPr="00FC5566">
              <w:rPr>
                <w:sz w:val="16"/>
                <w:szCs w:val="16"/>
              </w:rPr>
              <w:t>Item (4.)</w:t>
            </w:r>
          </w:p>
        </w:tc>
        <w:tc>
          <w:tcPr>
            <w:tcW w:w="7099" w:type="dxa"/>
            <w:tcBorders>
              <w:top w:val="single" w:sz="6" w:space="0" w:color="000000"/>
              <w:left w:val="single" w:sz="6" w:space="0" w:color="000000"/>
              <w:bottom w:val="single" w:sz="6" w:space="0" w:color="000000"/>
              <w:right w:val="single" w:sz="6" w:space="0" w:color="000000"/>
            </w:tcBorders>
          </w:tcPr>
          <w:p w14:paraId="29B709AE" w14:textId="77777777" w:rsidR="00FC5566" w:rsidRPr="00FC5566" w:rsidRDefault="00FC5566" w:rsidP="00FC5566">
            <w:pPr>
              <w:ind w:left="78"/>
              <w:rPr>
                <w:sz w:val="16"/>
                <w:szCs w:val="16"/>
              </w:rPr>
            </w:pPr>
          </w:p>
        </w:tc>
      </w:tr>
      <w:tr w:rsidR="00FC5566" w:rsidRPr="00FC5566" w14:paraId="59BE86AC"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579F5B32" w14:textId="77777777" w:rsidR="00FC5566" w:rsidRPr="00FC5566" w:rsidRDefault="00FC5566" w:rsidP="00FC5566">
            <w:pPr>
              <w:ind w:right="5"/>
              <w:jc w:val="center"/>
              <w:rPr>
                <w:spacing w:val="-2"/>
                <w:sz w:val="16"/>
                <w:szCs w:val="16"/>
              </w:rPr>
            </w:pPr>
            <w:r w:rsidRPr="00FC5566">
              <w:rPr>
                <w:spacing w:val="-2"/>
                <w:sz w:val="16"/>
                <w:szCs w:val="16"/>
              </w:rPr>
              <w:t>Repeal</w:t>
            </w:r>
          </w:p>
        </w:tc>
        <w:tc>
          <w:tcPr>
            <w:tcW w:w="2430" w:type="dxa"/>
            <w:tcBorders>
              <w:top w:val="single" w:sz="6" w:space="0" w:color="000000"/>
              <w:left w:val="single" w:sz="6" w:space="0" w:color="000000"/>
              <w:bottom w:val="single" w:sz="6" w:space="0" w:color="000000"/>
              <w:right w:val="single" w:sz="6" w:space="0" w:color="000000"/>
            </w:tcBorders>
          </w:tcPr>
          <w:p w14:paraId="177A7EFC" w14:textId="77777777" w:rsidR="00FC5566" w:rsidRPr="00FC5566" w:rsidRDefault="00FC5566" w:rsidP="00FC5566">
            <w:pPr>
              <w:ind w:left="71" w:right="-92"/>
              <w:rPr>
                <w:sz w:val="16"/>
                <w:szCs w:val="16"/>
              </w:rPr>
            </w:pPr>
            <w:r w:rsidRPr="00FC5566">
              <w:rPr>
                <w:sz w:val="16"/>
                <w:szCs w:val="16"/>
              </w:rPr>
              <w:t>Item (7.)</w:t>
            </w:r>
          </w:p>
        </w:tc>
        <w:tc>
          <w:tcPr>
            <w:tcW w:w="7099" w:type="dxa"/>
            <w:tcBorders>
              <w:top w:val="single" w:sz="6" w:space="0" w:color="000000"/>
              <w:left w:val="single" w:sz="6" w:space="0" w:color="000000"/>
              <w:bottom w:val="single" w:sz="6" w:space="0" w:color="000000"/>
              <w:right w:val="single" w:sz="6" w:space="0" w:color="000000"/>
            </w:tcBorders>
          </w:tcPr>
          <w:p w14:paraId="516639A6" w14:textId="77777777" w:rsidR="00FC5566" w:rsidRPr="00FC5566" w:rsidRDefault="00FC5566" w:rsidP="00FC5566">
            <w:pPr>
              <w:ind w:left="78"/>
              <w:rPr>
                <w:sz w:val="16"/>
                <w:szCs w:val="16"/>
              </w:rPr>
            </w:pPr>
          </w:p>
        </w:tc>
      </w:tr>
      <w:tr w:rsidR="00FC5566" w:rsidRPr="00FC5566" w14:paraId="13EFF8A5"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7D414780"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4C610398" w14:textId="77777777" w:rsidR="00FC5566" w:rsidRPr="00FC5566" w:rsidRDefault="00FC5566" w:rsidP="00FC5566">
            <w:pPr>
              <w:ind w:left="71" w:right="-92"/>
              <w:rPr>
                <w:sz w:val="16"/>
                <w:szCs w:val="16"/>
              </w:rPr>
            </w:pPr>
            <w:r w:rsidRPr="00FC5566">
              <w:rPr>
                <w:sz w:val="16"/>
                <w:szCs w:val="16"/>
              </w:rPr>
              <w:t>Section G104, Power and Duties.</w:t>
            </w:r>
          </w:p>
        </w:tc>
        <w:tc>
          <w:tcPr>
            <w:tcW w:w="7099" w:type="dxa"/>
            <w:tcBorders>
              <w:top w:val="single" w:sz="6" w:space="0" w:color="000000"/>
              <w:left w:val="single" w:sz="6" w:space="0" w:color="000000"/>
              <w:bottom w:val="single" w:sz="6" w:space="0" w:color="000000"/>
              <w:right w:val="single" w:sz="6" w:space="0" w:color="000000"/>
            </w:tcBorders>
          </w:tcPr>
          <w:p w14:paraId="40D3AF11" w14:textId="77777777" w:rsidR="00FC5566" w:rsidRPr="00FC5566" w:rsidRDefault="00FC5566" w:rsidP="00FC5566">
            <w:pPr>
              <w:ind w:left="78"/>
              <w:rPr>
                <w:sz w:val="16"/>
                <w:szCs w:val="16"/>
              </w:rPr>
            </w:pPr>
          </w:p>
        </w:tc>
      </w:tr>
      <w:tr w:rsidR="00FC5566" w:rsidRPr="00FC5566" w14:paraId="55CB021E" w14:textId="77777777" w:rsidTr="00B247D5">
        <w:trPr>
          <w:trHeight w:val="360"/>
        </w:trPr>
        <w:tc>
          <w:tcPr>
            <w:tcW w:w="1080" w:type="dxa"/>
            <w:tcBorders>
              <w:top w:val="single" w:sz="6" w:space="0" w:color="000000"/>
              <w:left w:val="single" w:sz="6" w:space="0" w:color="000000"/>
              <w:bottom w:val="single" w:sz="6" w:space="0" w:color="000000"/>
              <w:right w:val="single" w:sz="6" w:space="0" w:color="000000"/>
            </w:tcBorders>
          </w:tcPr>
          <w:p w14:paraId="782280C5" w14:textId="77777777" w:rsidR="00FC5566" w:rsidRPr="00FC5566" w:rsidRDefault="00FC5566" w:rsidP="00FC5566">
            <w:pPr>
              <w:ind w:right="5"/>
              <w:jc w:val="center"/>
              <w:rPr>
                <w:spacing w:val="-2"/>
                <w:sz w:val="16"/>
                <w:szCs w:val="16"/>
              </w:rPr>
            </w:pPr>
            <w:r w:rsidRPr="00FC5566">
              <w:rPr>
                <w:spacing w:val="-2"/>
                <w:sz w:val="16"/>
                <w:szCs w:val="16"/>
              </w:rPr>
              <w:t>Repeal</w:t>
            </w:r>
          </w:p>
        </w:tc>
        <w:tc>
          <w:tcPr>
            <w:tcW w:w="2430" w:type="dxa"/>
            <w:tcBorders>
              <w:top w:val="single" w:sz="6" w:space="0" w:color="000000"/>
              <w:left w:val="single" w:sz="6" w:space="0" w:color="000000"/>
              <w:bottom w:val="single" w:sz="6" w:space="0" w:color="000000"/>
              <w:right w:val="single" w:sz="6" w:space="0" w:color="000000"/>
            </w:tcBorders>
          </w:tcPr>
          <w:p w14:paraId="5EB2F38F" w14:textId="77777777" w:rsidR="00FC5566" w:rsidRPr="00FC5566" w:rsidRDefault="00FC5566" w:rsidP="00FC5566">
            <w:pPr>
              <w:ind w:left="71" w:right="-92"/>
              <w:rPr>
                <w:sz w:val="16"/>
                <w:szCs w:val="16"/>
              </w:rPr>
            </w:pPr>
            <w:r w:rsidRPr="00FC5566">
              <w:rPr>
                <w:sz w:val="16"/>
                <w:szCs w:val="16"/>
              </w:rPr>
              <w:t>Section G104.5.1, Floodway Revisions.</w:t>
            </w:r>
          </w:p>
        </w:tc>
        <w:tc>
          <w:tcPr>
            <w:tcW w:w="7099" w:type="dxa"/>
            <w:tcBorders>
              <w:top w:val="single" w:sz="6" w:space="0" w:color="000000"/>
              <w:left w:val="single" w:sz="6" w:space="0" w:color="000000"/>
              <w:bottom w:val="single" w:sz="6" w:space="0" w:color="000000"/>
              <w:right w:val="single" w:sz="6" w:space="0" w:color="000000"/>
            </w:tcBorders>
          </w:tcPr>
          <w:p w14:paraId="1236A7AB" w14:textId="77777777" w:rsidR="00FC5566" w:rsidRPr="00FC5566" w:rsidRDefault="00FC5566" w:rsidP="00FC5566">
            <w:pPr>
              <w:ind w:left="78"/>
              <w:rPr>
                <w:sz w:val="16"/>
                <w:szCs w:val="16"/>
              </w:rPr>
            </w:pPr>
          </w:p>
        </w:tc>
      </w:tr>
      <w:tr w:rsidR="00FC5566" w:rsidRPr="00FC5566" w14:paraId="0D064D41" w14:textId="77777777" w:rsidTr="00B247D5">
        <w:trPr>
          <w:trHeight w:val="360"/>
        </w:trPr>
        <w:tc>
          <w:tcPr>
            <w:tcW w:w="1080" w:type="dxa"/>
            <w:tcBorders>
              <w:top w:val="single" w:sz="6" w:space="0" w:color="000000"/>
              <w:left w:val="single" w:sz="6" w:space="0" w:color="000000"/>
              <w:bottom w:val="single" w:sz="6" w:space="0" w:color="000000"/>
              <w:right w:val="single" w:sz="6" w:space="0" w:color="000000"/>
            </w:tcBorders>
          </w:tcPr>
          <w:p w14:paraId="681D1F2C" w14:textId="77777777" w:rsidR="00FC5566" w:rsidRPr="00FC5566" w:rsidRDefault="00FC5566" w:rsidP="00FC5566">
            <w:pPr>
              <w:ind w:right="5"/>
              <w:jc w:val="center"/>
              <w:rPr>
                <w:spacing w:val="-2"/>
                <w:sz w:val="16"/>
                <w:szCs w:val="16"/>
              </w:rPr>
            </w:pPr>
            <w:r w:rsidRPr="00FC5566">
              <w:rPr>
                <w:spacing w:val="-2"/>
                <w:sz w:val="16"/>
                <w:szCs w:val="16"/>
              </w:rPr>
              <w:t>Repeal</w:t>
            </w:r>
          </w:p>
        </w:tc>
        <w:tc>
          <w:tcPr>
            <w:tcW w:w="2430" w:type="dxa"/>
            <w:tcBorders>
              <w:top w:val="single" w:sz="6" w:space="0" w:color="000000"/>
              <w:left w:val="single" w:sz="6" w:space="0" w:color="000000"/>
              <w:bottom w:val="single" w:sz="6" w:space="0" w:color="000000"/>
              <w:right w:val="single" w:sz="6" w:space="0" w:color="000000"/>
            </w:tcBorders>
          </w:tcPr>
          <w:p w14:paraId="4041D8DD" w14:textId="77777777" w:rsidR="00FC5566" w:rsidRPr="00FC5566" w:rsidRDefault="00FC5566" w:rsidP="00FC5566">
            <w:pPr>
              <w:ind w:left="71"/>
              <w:rPr>
                <w:sz w:val="16"/>
                <w:szCs w:val="16"/>
              </w:rPr>
            </w:pPr>
            <w:r w:rsidRPr="00FC5566">
              <w:rPr>
                <w:sz w:val="16"/>
                <w:szCs w:val="16"/>
              </w:rPr>
              <w:t>Section G104.6,</w:t>
            </w:r>
          </w:p>
          <w:p w14:paraId="3929761F" w14:textId="77777777" w:rsidR="00FC5566" w:rsidRPr="00FC5566" w:rsidRDefault="00FC5566" w:rsidP="00FC5566">
            <w:pPr>
              <w:ind w:left="71" w:right="-92"/>
              <w:rPr>
                <w:sz w:val="16"/>
                <w:szCs w:val="16"/>
              </w:rPr>
            </w:pPr>
            <w:r w:rsidRPr="00FC5566">
              <w:rPr>
                <w:sz w:val="16"/>
                <w:szCs w:val="16"/>
              </w:rPr>
              <w:t>Watercourse Alteration.</w:t>
            </w:r>
          </w:p>
        </w:tc>
        <w:tc>
          <w:tcPr>
            <w:tcW w:w="7099" w:type="dxa"/>
            <w:tcBorders>
              <w:top w:val="single" w:sz="6" w:space="0" w:color="000000"/>
              <w:left w:val="single" w:sz="6" w:space="0" w:color="000000"/>
              <w:bottom w:val="single" w:sz="6" w:space="0" w:color="000000"/>
              <w:right w:val="single" w:sz="6" w:space="0" w:color="000000"/>
            </w:tcBorders>
          </w:tcPr>
          <w:p w14:paraId="06A542F4" w14:textId="77777777" w:rsidR="00FC5566" w:rsidRPr="00FC5566" w:rsidRDefault="00FC5566" w:rsidP="00FC5566">
            <w:pPr>
              <w:ind w:left="78"/>
              <w:rPr>
                <w:sz w:val="16"/>
                <w:szCs w:val="16"/>
              </w:rPr>
            </w:pPr>
          </w:p>
        </w:tc>
      </w:tr>
      <w:tr w:rsidR="00FC5566" w:rsidRPr="00FC5566" w14:paraId="231507BB" w14:textId="77777777" w:rsidTr="00B247D5">
        <w:trPr>
          <w:trHeight w:val="360"/>
        </w:trPr>
        <w:tc>
          <w:tcPr>
            <w:tcW w:w="1080" w:type="dxa"/>
            <w:tcBorders>
              <w:top w:val="single" w:sz="6" w:space="0" w:color="000000"/>
              <w:left w:val="single" w:sz="6" w:space="0" w:color="000000"/>
              <w:bottom w:val="single" w:sz="6" w:space="0" w:color="000000"/>
              <w:right w:val="single" w:sz="6" w:space="0" w:color="000000"/>
            </w:tcBorders>
          </w:tcPr>
          <w:p w14:paraId="45CE7C72" w14:textId="77777777" w:rsidR="00FC5566" w:rsidRPr="00FC5566" w:rsidRDefault="00FC5566" w:rsidP="00FC5566">
            <w:pPr>
              <w:ind w:right="5"/>
              <w:jc w:val="center"/>
              <w:rPr>
                <w:spacing w:val="-2"/>
                <w:sz w:val="16"/>
                <w:szCs w:val="16"/>
              </w:rPr>
            </w:pPr>
            <w:r w:rsidRPr="00FC5566">
              <w:rPr>
                <w:spacing w:val="-2"/>
                <w:sz w:val="16"/>
                <w:szCs w:val="16"/>
              </w:rPr>
              <w:t>Repeal</w:t>
            </w:r>
          </w:p>
        </w:tc>
        <w:tc>
          <w:tcPr>
            <w:tcW w:w="2430" w:type="dxa"/>
            <w:tcBorders>
              <w:top w:val="single" w:sz="6" w:space="0" w:color="000000"/>
              <w:left w:val="single" w:sz="6" w:space="0" w:color="000000"/>
              <w:bottom w:val="single" w:sz="6" w:space="0" w:color="000000"/>
              <w:right w:val="single" w:sz="6" w:space="0" w:color="000000"/>
            </w:tcBorders>
          </w:tcPr>
          <w:p w14:paraId="1D890658" w14:textId="77777777" w:rsidR="00FC5566" w:rsidRPr="00FC5566" w:rsidRDefault="00FC5566" w:rsidP="00FC5566">
            <w:pPr>
              <w:ind w:left="71" w:right="-92"/>
              <w:rPr>
                <w:sz w:val="16"/>
                <w:szCs w:val="16"/>
              </w:rPr>
            </w:pPr>
            <w:r w:rsidRPr="00FC5566">
              <w:rPr>
                <w:sz w:val="16"/>
                <w:szCs w:val="16"/>
              </w:rPr>
              <w:t>Section G104.6.1, Engineering Analysis.</w:t>
            </w:r>
          </w:p>
        </w:tc>
        <w:tc>
          <w:tcPr>
            <w:tcW w:w="7099" w:type="dxa"/>
            <w:tcBorders>
              <w:top w:val="single" w:sz="6" w:space="0" w:color="000000"/>
              <w:left w:val="single" w:sz="6" w:space="0" w:color="000000"/>
              <w:bottom w:val="single" w:sz="6" w:space="0" w:color="000000"/>
              <w:right w:val="single" w:sz="6" w:space="0" w:color="000000"/>
            </w:tcBorders>
          </w:tcPr>
          <w:p w14:paraId="2CC52B25" w14:textId="77777777" w:rsidR="00FC5566" w:rsidRPr="00FC5566" w:rsidRDefault="00FC5566" w:rsidP="00FC5566">
            <w:pPr>
              <w:ind w:left="78"/>
              <w:rPr>
                <w:sz w:val="16"/>
                <w:szCs w:val="16"/>
              </w:rPr>
            </w:pPr>
          </w:p>
        </w:tc>
      </w:tr>
      <w:tr w:rsidR="00FC5566" w:rsidRPr="00FC5566" w14:paraId="571F5853" w14:textId="77777777" w:rsidTr="00B247D5">
        <w:trPr>
          <w:trHeight w:val="360"/>
        </w:trPr>
        <w:tc>
          <w:tcPr>
            <w:tcW w:w="1080" w:type="dxa"/>
            <w:tcBorders>
              <w:top w:val="single" w:sz="6" w:space="0" w:color="000000"/>
              <w:left w:val="single" w:sz="6" w:space="0" w:color="000000"/>
              <w:bottom w:val="single" w:sz="6" w:space="0" w:color="000000"/>
              <w:right w:val="single" w:sz="6" w:space="0" w:color="000000"/>
            </w:tcBorders>
          </w:tcPr>
          <w:p w14:paraId="78D649E0" w14:textId="77777777" w:rsidR="00FC5566" w:rsidRPr="00FC5566" w:rsidRDefault="00FC5566" w:rsidP="00FC5566">
            <w:pPr>
              <w:ind w:right="5"/>
              <w:jc w:val="center"/>
              <w:rPr>
                <w:spacing w:val="-2"/>
                <w:sz w:val="16"/>
                <w:szCs w:val="16"/>
              </w:rPr>
            </w:pPr>
            <w:r w:rsidRPr="00FC5566">
              <w:rPr>
                <w:spacing w:val="-2"/>
                <w:sz w:val="16"/>
                <w:szCs w:val="16"/>
              </w:rPr>
              <w:t>Repeal</w:t>
            </w:r>
          </w:p>
        </w:tc>
        <w:tc>
          <w:tcPr>
            <w:tcW w:w="2430" w:type="dxa"/>
            <w:tcBorders>
              <w:top w:val="single" w:sz="6" w:space="0" w:color="000000"/>
              <w:left w:val="single" w:sz="6" w:space="0" w:color="000000"/>
              <w:bottom w:val="single" w:sz="6" w:space="0" w:color="000000"/>
              <w:right w:val="single" w:sz="6" w:space="0" w:color="000000"/>
            </w:tcBorders>
          </w:tcPr>
          <w:p w14:paraId="4FDD1860" w14:textId="77777777" w:rsidR="00FC5566" w:rsidRPr="00FC5566" w:rsidRDefault="00FC5566" w:rsidP="00FC5566">
            <w:pPr>
              <w:ind w:left="71"/>
              <w:rPr>
                <w:sz w:val="16"/>
                <w:szCs w:val="16"/>
              </w:rPr>
            </w:pPr>
            <w:r w:rsidRPr="00FC5566">
              <w:rPr>
                <w:sz w:val="16"/>
                <w:szCs w:val="16"/>
              </w:rPr>
              <w:t>Section G104.7, Alterations in Coastal Areas.</w:t>
            </w:r>
          </w:p>
        </w:tc>
        <w:tc>
          <w:tcPr>
            <w:tcW w:w="7099" w:type="dxa"/>
            <w:tcBorders>
              <w:top w:val="single" w:sz="6" w:space="0" w:color="000000"/>
              <w:left w:val="single" w:sz="6" w:space="0" w:color="000000"/>
              <w:bottom w:val="single" w:sz="6" w:space="0" w:color="000000"/>
              <w:right w:val="single" w:sz="6" w:space="0" w:color="000000"/>
            </w:tcBorders>
          </w:tcPr>
          <w:p w14:paraId="6FFCFA68" w14:textId="77777777" w:rsidR="00FC5566" w:rsidRPr="00FC5566" w:rsidRDefault="00FC5566" w:rsidP="00FC5566">
            <w:pPr>
              <w:ind w:left="78"/>
              <w:rPr>
                <w:sz w:val="16"/>
                <w:szCs w:val="16"/>
              </w:rPr>
            </w:pPr>
          </w:p>
        </w:tc>
      </w:tr>
      <w:tr w:rsidR="00FC5566" w:rsidRPr="00FC5566" w14:paraId="1E9763B8"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688C3B65"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66CF8A53" w14:textId="77777777" w:rsidR="00FC5566" w:rsidRPr="00FC5566" w:rsidRDefault="00FC5566" w:rsidP="00FC5566">
            <w:pPr>
              <w:ind w:left="71" w:right="-92"/>
              <w:rPr>
                <w:sz w:val="16"/>
                <w:szCs w:val="16"/>
              </w:rPr>
            </w:pPr>
            <w:r w:rsidRPr="00FC5566">
              <w:rPr>
                <w:sz w:val="16"/>
                <w:szCs w:val="16"/>
              </w:rPr>
              <w:t>Section G105, Permits.</w:t>
            </w:r>
          </w:p>
        </w:tc>
        <w:tc>
          <w:tcPr>
            <w:tcW w:w="7099" w:type="dxa"/>
            <w:tcBorders>
              <w:top w:val="single" w:sz="6" w:space="0" w:color="000000"/>
              <w:left w:val="single" w:sz="6" w:space="0" w:color="000000"/>
              <w:bottom w:val="single" w:sz="6" w:space="0" w:color="000000"/>
              <w:right w:val="single" w:sz="6" w:space="0" w:color="000000"/>
            </w:tcBorders>
          </w:tcPr>
          <w:p w14:paraId="42FA7CED" w14:textId="77777777" w:rsidR="00FC5566" w:rsidRPr="00FC5566" w:rsidRDefault="00FC5566" w:rsidP="00FC5566">
            <w:pPr>
              <w:ind w:left="78"/>
              <w:rPr>
                <w:sz w:val="16"/>
                <w:szCs w:val="16"/>
              </w:rPr>
            </w:pPr>
          </w:p>
        </w:tc>
      </w:tr>
      <w:tr w:rsidR="00FC5566" w:rsidRPr="00FC5566" w14:paraId="156B8803" w14:textId="77777777" w:rsidTr="00B247D5">
        <w:trPr>
          <w:trHeight w:val="360"/>
        </w:trPr>
        <w:tc>
          <w:tcPr>
            <w:tcW w:w="1080" w:type="dxa"/>
            <w:tcBorders>
              <w:top w:val="single" w:sz="6" w:space="0" w:color="000000"/>
              <w:left w:val="single" w:sz="6" w:space="0" w:color="000000"/>
              <w:bottom w:val="single" w:sz="6" w:space="0" w:color="000000"/>
              <w:right w:val="single" w:sz="6" w:space="0" w:color="000000"/>
            </w:tcBorders>
          </w:tcPr>
          <w:p w14:paraId="30D95898" w14:textId="77777777" w:rsidR="00FC5566" w:rsidRPr="00FC5566" w:rsidRDefault="00FC5566" w:rsidP="00FC5566">
            <w:pPr>
              <w:ind w:right="5"/>
              <w:jc w:val="center"/>
              <w:rPr>
                <w:spacing w:val="-2"/>
                <w:sz w:val="16"/>
                <w:szCs w:val="16"/>
              </w:rPr>
            </w:pPr>
            <w:r w:rsidRPr="00FC5566">
              <w:rPr>
                <w:spacing w:val="-2"/>
                <w:sz w:val="16"/>
                <w:szCs w:val="16"/>
              </w:rPr>
              <w:t>Repeal</w:t>
            </w:r>
          </w:p>
        </w:tc>
        <w:tc>
          <w:tcPr>
            <w:tcW w:w="2430" w:type="dxa"/>
            <w:tcBorders>
              <w:top w:val="single" w:sz="6" w:space="0" w:color="000000"/>
              <w:left w:val="single" w:sz="6" w:space="0" w:color="000000"/>
              <w:bottom w:val="single" w:sz="6" w:space="0" w:color="000000"/>
              <w:right w:val="single" w:sz="6" w:space="0" w:color="000000"/>
            </w:tcBorders>
          </w:tcPr>
          <w:p w14:paraId="1D289564" w14:textId="77777777" w:rsidR="00FC5566" w:rsidRPr="00FC5566" w:rsidRDefault="00FC5566" w:rsidP="00FC5566">
            <w:pPr>
              <w:ind w:left="71"/>
              <w:rPr>
                <w:sz w:val="16"/>
                <w:szCs w:val="16"/>
              </w:rPr>
            </w:pPr>
            <w:r w:rsidRPr="00FC5566">
              <w:rPr>
                <w:sz w:val="16"/>
                <w:szCs w:val="16"/>
              </w:rPr>
              <w:t>Section G105.2, Application for Permit.</w:t>
            </w:r>
          </w:p>
        </w:tc>
        <w:tc>
          <w:tcPr>
            <w:tcW w:w="7099" w:type="dxa"/>
            <w:tcBorders>
              <w:top w:val="single" w:sz="6" w:space="0" w:color="000000"/>
              <w:left w:val="single" w:sz="6" w:space="0" w:color="000000"/>
              <w:bottom w:val="single" w:sz="6" w:space="0" w:color="000000"/>
              <w:right w:val="single" w:sz="6" w:space="0" w:color="000000"/>
            </w:tcBorders>
          </w:tcPr>
          <w:p w14:paraId="38F7CC75" w14:textId="77777777" w:rsidR="00FC5566" w:rsidRPr="00FC5566" w:rsidRDefault="00FC5566" w:rsidP="00FC5566">
            <w:pPr>
              <w:rPr>
                <w:sz w:val="16"/>
                <w:szCs w:val="16"/>
              </w:rPr>
            </w:pPr>
          </w:p>
        </w:tc>
      </w:tr>
      <w:tr w:rsidR="00FC5566" w:rsidRPr="00FC5566" w14:paraId="56004367" w14:textId="77777777" w:rsidTr="00B247D5">
        <w:trPr>
          <w:trHeight w:val="360"/>
        </w:trPr>
        <w:tc>
          <w:tcPr>
            <w:tcW w:w="1080" w:type="dxa"/>
            <w:tcBorders>
              <w:top w:val="single" w:sz="6" w:space="0" w:color="000000"/>
              <w:left w:val="single" w:sz="6" w:space="0" w:color="000000"/>
              <w:bottom w:val="single" w:sz="6" w:space="0" w:color="000000"/>
              <w:right w:val="single" w:sz="6" w:space="0" w:color="000000"/>
            </w:tcBorders>
          </w:tcPr>
          <w:p w14:paraId="594D96F5"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10A513DE" w14:textId="77777777" w:rsidR="00FC5566" w:rsidRPr="00FC5566" w:rsidRDefault="00FC5566" w:rsidP="00FC5566">
            <w:pPr>
              <w:ind w:left="71"/>
              <w:rPr>
                <w:sz w:val="16"/>
                <w:szCs w:val="16"/>
              </w:rPr>
            </w:pPr>
            <w:r w:rsidRPr="00FC5566">
              <w:rPr>
                <w:sz w:val="16"/>
                <w:szCs w:val="16"/>
              </w:rPr>
              <w:t>Section G106.7, Conditions for</w:t>
            </w:r>
          </w:p>
          <w:p w14:paraId="27F7DD7A" w14:textId="77777777" w:rsidR="00FC5566" w:rsidRPr="00FC5566" w:rsidRDefault="00FC5566" w:rsidP="00FC5566">
            <w:pPr>
              <w:ind w:left="71"/>
              <w:rPr>
                <w:sz w:val="16"/>
                <w:szCs w:val="16"/>
              </w:rPr>
            </w:pPr>
            <w:r w:rsidRPr="00FC5566">
              <w:rPr>
                <w:sz w:val="16"/>
                <w:szCs w:val="16"/>
              </w:rPr>
              <w:t>Issuance.</w:t>
            </w:r>
          </w:p>
        </w:tc>
        <w:tc>
          <w:tcPr>
            <w:tcW w:w="7099" w:type="dxa"/>
            <w:tcBorders>
              <w:top w:val="single" w:sz="6" w:space="0" w:color="000000"/>
              <w:left w:val="single" w:sz="6" w:space="0" w:color="000000"/>
              <w:bottom w:val="single" w:sz="6" w:space="0" w:color="000000"/>
              <w:right w:val="single" w:sz="6" w:space="0" w:color="000000"/>
            </w:tcBorders>
          </w:tcPr>
          <w:p w14:paraId="6AF86324" w14:textId="77777777" w:rsidR="00FC5566" w:rsidRPr="00FC5566" w:rsidRDefault="00FC5566" w:rsidP="00FC5566">
            <w:pPr>
              <w:rPr>
                <w:sz w:val="16"/>
                <w:szCs w:val="16"/>
              </w:rPr>
            </w:pPr>
          </w:p>
        </w:tc>
      </w:tr>
      <w:tr w:rsidR="00FC5566" w:rsidRPr="00FC5566" w14:paraId="53759F2D"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6326B2D6" w14:textId="77777777" w:rsidR="00FC5566" w:rsidRPr="00FC5566" w:rsidRDefault="00FC5566" w:rsidP="00FC5566">
            <w:pPr>
              <w:ind w:right="5"/>
              <w:jc w:val="center"/>
              <w:rPr>
                <w:spacing w:val="-2"/>
                <w:sz w:val="16"/>
                <w:szCs w:val="16"/>
              </w:rPr>
            </w:pPr>
            <w:r w:rsidRPr="00FC5566">
              <w:rPr>
                <w:spacing w:val="-2"/>
                <w:sz w:val="16"/>
                <w:szCs w:val="16"/>
              </w:rPr>
              <w:t>Repeal</w:t>
            </w:r>
          </w:p>
        </w:tc>
        <w:tc>
          <w:tcPr>
            <w:tcW w:w="2430" w:type="dxa"/>
            <w:tcBorders>
              <w:top w:val="single" w:sz="6" w:space="0" w:color="000000"/>
              <w:left w:val="single" w:sz="6" w:space="0" w:color="000000"/>
              <w:bottom w:val="single" w:sz="6" w:space="0" w:color="000000"/>
              <w:right w:val="single" w:sz="6" w:space="0" w:color="000000"/>
            </w:tcBorders>
          </w:tcPr>
          <w:p w14:paraId="5EA7B593" w14:textId="77777777" w:rsidR="00FC5566" w:rsidRPr="00FC5566" w:rsidRDefault="00FC5566" w:rsidP="00FC5566">
            <w:pPr>
              <w:ind w:left="71"/>
              <w:rPr>
                <w:sz w:val="16"/>
                <w:szCs w:val="16"/>
              </w:rPr>
            </w:pPr>
            <w:r w:rsidRPr="00FC5566">
              <w:rPr>
                <w:sz w:val="16"/>
                <w:szCs w:val="16"/>
              </w:rPr>
              <w:t>Item (5.)</w:t>
            </w:r>
          </w:p>
        </w:tc>
        <w:tc>
          <w:tcPr>
            <w:tcW w:w="7099" w:type="dxa"/>
            <w:tcBorders>
              <w:top w:val="single" w:sz="6" w:space="0" w:color="000000"/>
              <w:left w:val="single" w:sz="6" w:space="0" w:color="000000"/>
              <w:bottom w:val="single" w:sz="6" w:space="0" w:color="000000"/>
              <w:right w:val="single" w:sz="6" w:space="0" w:color="000000"/>
            </w:tcBorders>
          </w:tcPr>
          <w:p w14:paraId="62EDAF94" w14:textId="77777777" w:rsidR="00FC5566" w:rsidRPr="00FC5566" w:rsidRDefault="00FC5566" w:rsidP="00FC5566">
            <w:pPr>
              <w:rPr>
                <w:sz w:val="16"/>
                <w:szCs w:val="16"/>
              </w:rPr>
            </w:pPr>
          </w:p>
        </w:tc>
      </w:tr>
      <w:tr w:rsidR="00FC5566" w:rsidRPr="00FC5566" w14:paraId="51BF35C0"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62685617" w14:textId="77777777" w:rsidR="00FC5566" w:rsidRPr="00FC5566" w:rsidRDefault="00FC5566" w:rsidP="00FC5566">
            <w:pPr>
              <w:ind w:right="5"/>
              <w:jc w:val="center"/>
              <w:rPr>
                <w:spacing w:val="-2"/>
                <w:sz w:val="16"/>
                <w:szCs w:val="16"/>
              </w:rPr>
            </w:pPr>
            <w:r w:rsidRPr="00FC5566">
              <w:rPr>
                <w:spacing w:val="-2"/>
                <w:sz w:val="16"/>
                <w:szCs w:val="16"/>
              </w:rPr>
              <w:t>Repeal</w:t>
            </w:r>
          </w:p>
        </w:tc>
        <w:tc>
          <w:tcPr>
            <w:tcW w:w="2430" w:type="dxa"/>
            <w:tcBorders>
              <w:top w:val="single" w:sz="6" w:space="0" w:color="000000"/>
              <w:left w:val="single" w:sz="6" w:space="0" w:color="000000"/>
              <w:bottom w:val="single" w:sz="6" w:space="0" w:color="000000"/>
              <w:right w:val="single" w:sz="6" w:space="0" w:color="000000"/>
            </w:tcBorders>
          </w:tcPr>
          <w:p w14:paraId="57BB9AE7" w14:textId="77777777" w:rsidR="00FC5566" w:rsidRPr="00FC5566" w:rsidRDefault="00FC5566" w:rsidP="00FC5566">
            <w:pPr>
              <w:ind w:left="71"/>
              <w:rPr>
                <w:sz w:val="16"/>
                <w:szCs w:val="16"/>
              </w:rPr>
            </w:pPr>
            <w:r w:rsidRPr="00FC5566">
              <w:rPr>
                <w:sz w:val="16"/>
                <w:szCs w:val="16"/>
              </w:rPr>
              <w:t>Section G107, Subdivisions.</w:t>
            </w:r>
          </w:p>
        </w:tc>
        <w:tc>
          <w:tcPr>
            <w:tcW w:w="7099" w:type="dxa"/>
            <w:tcBorders>
              <w:top w:val="single" w:sz="6" w:space="0" w:color="000000"/>
              <w:left w:val="single" w:sz="6" w:space="0" w:color="000000"/>
              <w:bottom w:val="single" w:sz="6" w:space="0" w:color="000000"/>
              <w:right w:val="single" w:sz="6" w:space="0" w:color="000000"/>
            </w:tcBorders>
          </w:tcPr>
          <w:p w14:paraId="533274FF" w14:textId="77777777" w:rsidR="00FC5566" w:rsidRPr="00FC5566" w:rsidRDefault="00FC5566" w:rsidP="00FC5566">
            <w:pPr>
              <w:rPr>
                <w:sz w:val="16"/>
                <w:szCs w:val="16"/>
              </w:rPr>
            </w:pPr>
          </w:p>
        </w:tc>
      </w:tr>
      <w:tr w:rsidR="00FC5566" w:rsidRPr="00FC5566" w14:paraId="78798992"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2F7DDBCC" w14:textId="77777777" w:rsidR="00FC5566" w:rsidRPr="00FC5566" w:rsidRDefault="00FC5566" w:rsidP="00FC5566">
            <w:pPr>
              <w:ind w:right="5"/>
              <w:jc w:val="center"/>
              <w:rPr>
                <w:spacing w:val="-2"/>
                <w:sz w:val="16"/>
                <w:szCs w:val="16"/>
              </w:rPr>
            </w:pPr>
            <w:r w:rsidRPr="00FC5566">
              <w:rPr>
                <w:spacing w:val="-2"/>
                <w:sz w:val="16"/>
                <w:szCs w:val="16"/>
              </w:rPr>
              <w:t>Repeal</w:t>
            </w:r>
          </w:p>
        </w:tc>
        <w:tc>
          <w:tcPr>
            <w:tcW w:w="2430" w:type="dxa"/>
            <w:tcBorders>
              <w:top w:val="single" w:sz="6" w:space="0" w:color="000000"/>
              <w:left w:val="single" w:sz="6" w:space="0" w:color="000000"/>
              <w:bottom w:val="single" w:sz="6" w:space="0" w:color="000000"/>
              <w:right w:val="single" w:sz="6" w:space="0" w:color="000000"/>
            </w:tcBorders>
          </w:tcPr>
          <w:p w14:paraId="0A65DACF" w14:textId="77777777" w:rsidR="00FC5566" w:rsidRPr="00FC5566" w:rsidRDefault="00FC5566" w:rsidP="00FC5566">
            <w:pPr>
              <w:ind w:left="71"/>
              <w:rPr>
                <w:sz w:val="16"/>
                <w:szCs w:val="16"/>
              </w:rPr>
            </w:pPr>
            <w:r w:rsidRPr="00FC5566">
              <w:rPr>
                <w:sz w:val="16"/>
                <w:szCs w:val="16"/>
              </w:rPr>
              <w:t>Section G107.1, General.</w:t>
            </w:r>
          </w:p>
        </w:tc>
        <w:tc>
          <w:tcPr>
            <w:tcW w:w="7099" w:type="dxa"/>
            <w:tcBorders>
              <w:top w:val="single" w:sz="6" w:space="0" w:color="000000"/>
              <w:left w:val="single" w:sz="6" w:space="0" w:color="000000"/>
              <w:bottom w:val="single" w:sz="6" w:space="0" w:color="000000"/>
              <w:right w:val="single" w:sz="6" w:space="0" w:color="000000"/>
            </w:tcBorders>
          </w:tcPr>
          <w:p w14:paraId="0087E56F" w14:textId="77777777" w:rsidR="00FC5566" w:rsidRPr="00FC5566" w:rsidRDefault="00FC5566" w:rsidP="00FC5566">
            <w:pPr>
              <w:rPr>
                <w:sz w:val="16"/>
                <w:szCs w:val="16"/>
              </w:rPr>
            </w:pPr>
          </w:p>
        </w:tc>
      </w:tr>
      <w:tr w:rsidR="00FC5566" w:rsidRPr="00FC5566" w14:paraId="12C914C5" w14:textId="77777777" w:rsidTr="00B247D5">
        <w:trPr>
          <w:trHeight w:val="187"/>
        </w:trPr>
        <w:tc>
          <w:tcPr>
            <w:tcW w:w="1080" w:type="dxa"/>
            <w:tcBorders>
              <w:top w:val="single" w:sz="6" w:space="0" w:color="000000"/>
              <w:left w:val="single" w:sz="6" w:space="0" w:color="000000"/>
              <w:bottom w:val="single" w:sz="6" w:space="0" w:color="000000"/>
              <w:right w:val="single" w:sz="6" w:space="0" w:color="000000"/>
            </w:tcBorders>
          </w:tcPr>
          <w:p w14:paraId="699F935C" w14:textId="77777777" w:rsidR="00FC5566" w:rsidRPr="00FC5566" w:rsidRDefault="00FC5566" w:rsidP="00FC5566">
            <w:pPr>
              <w:ind w:right="5"/>
              <w:jc w:val="center"/>
              <w:rPr>
                <w:spacing w:val="-2"/>
                <w:sz w:val="16"/>
                <w:szCs w:val="16"/>
              </w:rPr>
            </w:pPr>
            <w:r w:rsidRPr="00FC5566">
              <w:rPr>
                <w:spacing w:val="-2"/>
                <w:sz w:val="16"/>
                <w:szCs w:val="16"/>
              </w:rPr>
              <w:t>Repeal</w:t>
            </w:r>
          </w:p>
        </w:tc>
        <w:tc>
          <w:tcPr>
            <w:tcW w:w="2430" w:type="dxa"/>
            <w:tcBorders>
              <w:top w:val="single" w:sz="6" w:space="0" w:color="000000"/>
              <w:left w:val="single" w:sz="6" w:space="0" w:color="000000"/>
              <w:bottom w:val="single" w:sz="6" w:space="0" w:color="000000"/>
              <w:right w:val="single" w:sz="6" w:space="0" w:color="000000"/>
            </w:tcBorders>
          </w:tcPr>
          <w:p w14:paraId="29E51667" w14:textId="77777777" w:rsidR="00FC5566" w:rsidRPr="00FC5566" w:rsidRDefault="00FC5566" w:rsidP="00FC5566">
            <w:pPr>
              <w:ind w:left="71"/>
              <w:rPr>
                <w:sz w:val="16"/>
                <w:szCs w:val="16"/>
              </w:rPr>
            </w:pPr>
            <w:r w:rsidRPr="00FC5566">
              <w:rPr>
                <w:sz w:val="16"/>
                <w:szCs w:val="16"/>
              </w:rPr>
              <w:t>Section G107.2, Subdivision Requirements.</w:t>
            </w:r>
          </w:p>
        </w:tc>
        <w:tc>
          <w:tcPr>
            <w:tcW w:w="7099" w:type="dxa"/>
            <w:tcBorders>
              <w:top w:val="single" w:sz="6" w:space="0" w:color="000000"/>
              <w:left w:val="single" w:sz="6" w:space="0" w:color="000000"/>
              <w:bottom w:val="single" w:sz="6" w:space="0" w:color="000000"/>
              <w:right w:val="single" w:sz="6" w:space="0" w:color="000000"/>
            </w:tcBorders>
          </w:tcPr>
          <w:p w14:paraId="5499290F" w14:textId="77777777" w:rsidR="00FC5566" w:rsidRPr="00FC5566" w:rsidRDefault="00FC5566" w:rsidP="00FC5566">
            <w:pPr>
              <w:rPr>
                <w:sz w:val="16"/>
                <w:szCs w:val="16"/>
              </w:rPr>
            </w:pPr>
          </w:p>
        </w:tc>
      </w:tr>
      <w:tr w:rsidR="00FC5566" w:rsidRPr="00FC5566" w14:paraId="777811CF"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472E87C2"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5F1AEE2C" w14:textId="77777777" w:rsidR="00FC5566" w:rsidRPr="00FC5566" w:rsidRDefault="00FC5566" w:rsidP="00FC5566">
            <w:pPr>
              <w:ind w:left="71"/>
              <w:rPr>
                <w:sz w:val="16"/>
                <w:szCs w:val="16"/>
              </w:rPr>
            </w:pPr>
            <w:r w:rsidRPr="00FC5566">
              <w:rPr>
                <w:sz w:val="16"/>
                <w:szCs w:val="16"/>
              </w:rPr>
              <w:t>Section G108, Site Improvement.</w:t>
            </w:r>
          </w:p>
        </w:tc>
        <w:tc>
          <w:tcPr>
            <w:tcW w:w="7099" w:type="dxa"/>
            <w:tcBorders>
              <w:top w:val="single" w:sz="6" w:space="0" w:color="000000"/>
              <w:left w:val="single" w:sz="6" w:space="0" w:color="000000"/>
              <w:bottom w:val="single" w:sz="6" w:space="0" w:color="000000"/>
              <w:right w:val="single" w:sz="6" w:space="0" w:color="000000"/>
            </w:tcBorders>
          </w:tcPr>
          <w:p w14:paraId="272FFFE1" w14:textId="77777777" w:rsidR="00FC5566" w:rsidRPr="00FC5566" w:rsidRDefault="00FC5566" w:rsidP="00FC5566">
            <w:pPr>
              <w:rPr>
                <w:sz w:val="16"/>
                <w:szCs w:val="16"/>
              </w:rPr>
            </w:pPr>
          </w:p>
        </w:tc>
      </w:tr>
      <w:tr w:rsidR="00FC5566" w:rsidRPr="00FC5566" w14:paraId="1C254019"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54501F72" w14:textId="77777777" w:rsidR="00FC5566" w:rsidRPr="00FC5566" w:rsidRDefault="00FC5566" w:rsidP="00FC5566">
            <w:pPr>
              <w:ind w:right="5"/>
              <w:jc w:val="center"/>
              <w:rPr>
                <w:spacing w:val="-2"/>
                <w:sz w:val="16"/>
                <w:szCs w:val="16"/>
              </w:rPr>
            </w:pPr>
            <w:r w:rsidRPr="00FC5566">
              <w:rPr>
                <w:spacing w:val="-2"/>
                <w:sz w:val="16"/>
                <w:szCs w:val="16"/>
              </w:rPr>
              <w:t>Repeal</w:t>
            </w:r>
          </w:p>
        </w:tc>
        <w:tc>
          <w:tcPr>
            <w:tcW w:w="2430" w:type="dxa"/>
            <w:tcBorders>
              <w:top w:val="single" w:sz="6" w:space="0" w:color="000000"/>
              <w:left w:val="single" w:sz="6" w:space="0" w:color="000000"/>
              <w:bottom w:val="single" w:sz="6" w:space="0" w:color="000000"/>
              <w:right w:val="single" w:sz="6" w:space="0" w:color="000000"/>
            </w:tcBorders>
          </w:tcPr>
          <w:p w14:paraId="20D32BF6" w14:textId="77777777" w:rsidR="00FC5566" w:rsidRPr="00FC5566" w:rsidRDefault="00FC5566" w:rsidP="00FC5566">
            <w:pPr>
              <w:ind w:left="71"/>
              <w:rPr>
                <w:sz w:val="16"/>
                <w:szCs w:val="16"/>
              </w:rPr>
            </w:pPr>
            <w:r w:rsidRPr="00FC5566">
              <w:rPr>
                <w:sz w:val="16"/>
                <w:szCs w:val="16"/>
              </w:rPr>
              <w:t>Section G108.3, Sewer Facilities.</w:t>
            </w:r>
          </w:p>
        </w:tc>
        <w:tc>
          <w:tcPr>
            <w:tcW w:w="7099" w:type="dxa"/>
            <w:tcBorders>
              <w:top w:val="single" w:sz="6" w:space="0" w:color="000000"/>
              <w:left w:val="single" w:sz="6" w:space="0" w:color="000000"/>
              <w:bottom w:val="single" w:sz="6" w:space="0" w:color="000000"/>
              <w:right w:val="single" w:sz="6" w:space="0" w:color="000000"/>
            </w:tcBorders>
          </w:tcPr>
          <w:p w14:paraId="604A4426" w14:textId="77777777" w:rsidR="00FC5566" w:rsidRPr="00FC5566" w:rsidRDefault="00FC5566" w:rsidP="00FC5566">
            <w:pPr>
              <w:rPr>
                <w:sz w:val="16"/>
                <w:szCs w:val="16"/>
              </w:rPr>
            </w:pPr>
          </w:p>
        </w:tc>
      </w:tr>
      <w:tr w:rsidR="00FC5566" w:rsidRPr="00FC5566" w14:paraId="7E3DB39E"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5C18ADD6" w14:textId="77777777" w:rsidR="00FC5566" w:rsidRPr="00FC5566" w:rsidRDefault="00FC5566" w:rsidP="00FC5566">
            <w:pPr>
              <w:ind w:right="5"/>
              <w:jc w:val="center"/>
              <w:rPr>
                <w:spacing w:val="-2"/>
                <w:sz w:val="16"/>
                <w:szCs w:val="16"/>
              </w:rPr>
            </w:pPr>
            <w:r w:rsidRPr="00FC5566">
              <w:rPr>
                <w:spacing w:val="-2"/>
                <w:sz w:val="16"/>
                <w:szCs w:val="16"/>
              </w:rPr>
              <w:t>Repeal</w:t>
            </w:r>
          </w:p>
        </w:tc>
        <w:tc>
          <w:tcPr>
            <w:tcW w:w="2430" w:type="dxa"/>
            <w:tcBorders>
              <w:top w:val="single" w:sz="6" w:space="0" w:color="000000"/>
              <w:left w:val="single" w:sz="6" w:space="0" w:color="000000"/>
              <w:bottom w:val="single" w:sz="6" w:space="0" w:color="000000"/>
              <w:right w:val="single" w:sz="6" w:space="0" w:color="000000"/>
            </w:tcBorders>
          </w:tcPr>
          <w:p w14:paraId="39D1D1C5" w14:textId="77777777" w:rsidR="00FC5566" w:rsidRPr="00FC5566" w:rsidRDefault="00FC5566" w:rsidP="00FC5566">
            <w:pPr>
              <w:ind w:left="71"/>
              <w:rPr>
                <w:sz w:val="16"/>
                <w:szCs w:val="16"/>
              </w:rPr>
            </w:pPr>
            <w:r w:rsidRPr="00FC5566">
              <w:rPr>
                <w:sz w:val="16"/>
                <w:szCs w:val="16"/>
              </w:rPr>
              <w:t>Section G108.4, Water Facilities.</w:t>
            </w:r>
          </w:p>
        </w:tc>
        <w:tc>
          <w:tcPr>
            <w:tcW w:w="7099" w:type="dxa"/>
            <w:tcBorders>
              <w:top w:val="single" w:sz="6" w:space="0" w:color="000000"/>
              <w:left w:val="single" w:sz="6" w:space="0" w:color="000000"/>
              <w:bottom w:val="single" w:sz="6" w:space="0" w:color="000000"/>
              <w:right w:val="single" w:sz="6" w:space="0" w:color="000000"/>
            </w:tcBorders>
          </w:tcPr>
          <w:p w14:paraId="4169430A" w14:textId="77777777" w:rsidR="00FC5566" w:rsidRPr="00FC5566" w:rsidRDefault="00FC5566" w:rsidP="00FC5566">
            <w:pPr>
              <w:rPr>
                <w:sz w:val="16"/>
                <w:szCs w:val="16"/>
              </w:rPr>
            </w:pPr>
          </w:p>
        </w:tc>
      </w:tr>
      <w:tr w:rsidR="00FC5566" w:rsidRPr="00FC5566" w14:paraId="3CB565FB"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20209E33" w14:textId="77777777" w:rsidR="00FC5566" w:rsidRPr="00FC5566" w:rsidRDefault="00FC5566" w:rsidP="00FC5566">
            <w:pPr>
              <w:ind w:right="5"/>
              <w:jc w:val="center"/>
              <w:rPr>
                <w:spacing w:val="-2"/>
                <w:sz w:val="16"/>
                <w:szCs w:val="16"/>
              </w:rPr>
            </w:pPr>
            <w:r w:rsidRPr="00FC5566">
              <w:rPr>
                <w:spacing w:val="-2"/>
                <w:sz w:val="16"/>
                <w:szCs w:val="16"/>
              </w:rPr>
              <w:t>Repeal</w:t>
            </w:r>
          </w:p>
        </w:tc>
        <w:tc>
          <w:tcPr>
            <w:tcW w:w="2430" w:type="dxa"/>
            <w:tcBorders>
              <w:top w:val="single" w:sz="6" w:space="0" w:color="000000"/>
              <w:left w:val="single" w:sz="6" w:space="0" w:color="000000"/>
              <w:bottom w:val="single" w:sz="6" w:space="0" w:color="000000"/>
              <w:right w:val="single" w:sz="6" w:space="0" w:color="000000"/>
            </w:tcBorders>
          </w:tcPr>
          <w:p w14:paraId="1E61D04A" w14:textId="77777777" w:rsidR="00FC5566" w:rsidRPr="00FC5566" w:rsidRDefault="00FC5566" w:rsidP="00FC5566">
            <w:pPr>
              <w:ind w:left="71"/>
              <w:rPr>
                <w:sz w:val="16"/>
                <w:szCs w:val="16"/>
              </w:rPr>
            </w:pPr>
            <w:r w:rsidRPr="00FC5566">
              <w:rPr>
                <w:sz w:val="16"/>
                <w:szCs w:val="16"/>
              </w:rPr>
              <w:t>Section G108.5, Storm drainage.</w:t>
            </w:r>
          </w:p>
        </w:tc>
        <w:tc>
          <w:tcPr>
            <w:tcW w:w="7099" w:type="dxa"/>
            <w:tcBorders>
              <w:top w:val="single" w:sz="6" w:space="0" w:color="000000"/>
              <w:left w:val="single" w:sz="6" w:space="0" w:color="000000"/>
              <w:bottom w:val="single" w:sz="6" w:space="0" w:color="000000"/>
              <w:right w:val="single" w:sz="6" w:space="0" w:color="000000"/>
            </w:tcBorders>
          </w:tcPr>
          <w:p w14:paraId="29805E7B" w14:textId="77777777" w:rsidR="00FC5566" w:rsidRPr="00FC5566" w:rsidRDefault="00FC5566" w:rsidP="00FC5566">
            <w:pPr>
              <w:rPr>
                <w:sz w:val="16"/>
                <w:szCs w:val="16"/>
              </w:rPr>
            </w:pPr>
          </w:p>
        </w:tc>
      </w:tr>
      <w:tr w:rsidR="00FC5566" w:rsidRPr="00FC5566" w14:paraId="600B8C2E" w14:textId="77777777" w:rsidTr="00B247D5">
        <w:trPr>
          <w:trHeight w:val="187"/>
        </w:trPr>
        <w:tc>
          <w:tcPr>
            <w:tcW w:w="1080" w:type="dxa"/>
            <w:tcBorders>
              <w:top w:val="single" w:sz="6" w:space="0" w:color="000000"/>
              <w:left w:val="single" w:sz="6" w:space="0" w:color="000000"/>
              <w:bottom w:val="single" w:sz="6" w:space="0" w:color="000000"/>
              <w:right w:val="single" w:sz="6" w:space="0" w:color="000000"/>
            </w:tcBorders>
          </w:tcPr>
          <w:p w14:paraId="16162B19" w14:textId="77777777" w:rsidR="00FC5566" w:rsidRPr="00FC5566" w:rsidRDefault="00FC5566" w:rsidP="00FC5566">
            <w:pPr>
              <w:ind w:right="5"/>
              <w:jc w:val="center"/>
              <w:rPr>
                <w:spacing w:val="-2"/>
                <w:sz w:val="16"/>
                <w:szCs w:val="16"/>
              </w:rPr>
            </w:pPr>
            <w:r w:rsidRPr="00FC5566">
              <w:rPr>
                <w:spacing w:val="-2"/>
                <w:sz w:val="16"/>
                <w:szCs w:val="16"/>
              </w:rPr>
              <w:t>Repeal</w:t>
            </w:r>
          </w:p>
        </w:tc>
        <w:tc>
          <w:tcPr>
            <w:tcW w:w="2430" w:type="dxa"/>
            <w:tcBorders>
              <w:top w:val="single" w:sz="6" w:space="0" w:color="000000"/>
              <w:left w:val="single" w:sz="6" w:space="0" w:color="000000"/>
              <w:bottom w:val="single" w:sz="6" w:space="0" w:color="000000"/>
              <w:right w:val="single" w:sz="6" w:space="0" w:color="000000"/>
            </w:tcBorders>
          </w:tcPr>
          <w:p w14:paraId="6B801A8C" w14:textId="77777777" w:rsidR="00FC5566" w:rsidRPr="00FC5566" w:rsidRDefault="00FC5566" w:rsidP="00FC5566">
            <w:pPr>
              <w:ind w:left="71"/>
              <w:rPr>
                <w:sz w:val="16"/>
                <w:szCs w:val="16"/>
              </w:rPr>
            </w:pPr>
            <w:r w:rsidRPr="00FC5566">
              <w:rPr>
                <w:sz w:val="16"/>
                <w:szCs w:val="16"/>
              </w:rPr>
              <w:t>Section G108.6, Streets and Sidewalks.</w:t>
            </w:r>
          </w:p>
        </w:tc>
        <w:tc>
          <w:tcPr>
            <w:tcW w:w="7099" w:type="dxa"/>
            <w:tcBorders>
              <w:top w:val="single" w:sz="6" w:space="0" w:color="000000"/>
              <w:left w:val="single" w:sz="6" w:space="0" w:color="000000"/>
              <w:bottom w:val="single" w:sz="6" w:space="0" w:color="000000"/>
              <w:right w:val="single" w:sz="6" w:space="0" w:color="000000"/>
            </w:tcBorders>
          </w:tcPr>
          <w:p w14:paraId="2C875D1A" w14:textId="77777777" w:rsidR="00FC5566" w:rsidRPr="00FC5566" w:rsidRDefault="00FC5566" w:rsidP="00FC5566">
            <w:pPr>
              <w:rPr>
                <w:sz w:val="16"/>
                <w:szCs w:val="16"/>
              </w:rPr>
            </w:pPr>
          </w:p>
        </w:tc>
      </w:tr>
      <w:tr w:rsidR="00FC5566" w:rsidRPr="00FC5566" w14:paraId="0BDFB07D" w14:textId="77777777" w:rsidTr="00B247D5">
        <w:trPr>
          <w:trHeight w:val="187"/>
        </w:trPr>
        <w:tc>
          <w:tcPr>
            <w:tcW w:w="1080" w:type="dxa"/>
            <w:tcBorders>
              <w:top w:val="single" w:sz="6" w:space="0" w:color="000000"/>
              <w:left w:val="single" w:sz="6" w:space="0" w:color="000000"/>
              <w:bottom w:val="single" w:sz="6" w:space="0" w:color="000000"/>
              <w:right w:val="single" w:sz="6" w:space="0" w:color="000000"/>
            </w:tcBorders>
          </w:tcPr>
          <w:p w14:paraId="360DA378" w14:textId="77777777" w:rsidR="00FC5566" w:rsidRPr="00FC5566" w:rsidRDefault="00FC5566" w:rsidP="00FC5566">
            <w:pPr>
              <w:ind w:right="5"/>
              <w:jc w:val="center"/>
              <w:rPr>
                <w:spacing w:val="-2"/>
                <w:sz w:val="16"/>
                <w:szCs w:val="16"/>
              </w:rPr>
            </w:pPr>
            <w:r w:rsidRPr="00FC5566">
              <w:rPr>
                <w:spacing w:val="-2"/>
                <w:sz w:val="16"/>
                <w:szCs w:val="16"/>
              </w:rPr>
              <w:t>Repeal</w:t>
            </w:r>
          </w:p>
        </w:tc>
        <w:tc>
          <w:tcPr>
            <w:tcW w:w="2430" w:type="dxa"/>
            <w:tcBorders>
              <w:top w:val="single" w:sz="6" w:space="0" w:color="000000"/>
              <w:left w:val="single" w:sz="6" w:space="0" w:color="000000"/>
              <w:bottom w:val="single" w:sz="6" w:space="0" w:color="000000"/>
              <w:right w:val="single" w:sz="6" w:space="0" w:color="000000"/>
            </w:tcBorders>
          </w:tcPr>
          <w:p w14:paraId="4444F581" w14:textId="77777777" w:rsidR="00FC5566" w:rsidRPr="00FC5566" w:rsidRDefault="00FC5566" w:rsidP="00FC5566">
            <w:pPr>
              <w:ind w:left="71"/>
              <w:rPr>
                <w:sz w:val="16"/>
                <w:szCs w:val="16"/>
              </w:rPr>
            </w:pPr>
            <w:r w:rsidRPr="00FC5566">
              <w:rPr>
                <w:sz w:val="16"/>
                <w:szCs w:val="16"/>
              </w:rPr>
              <w:t>Section G109, Manufactured Homes.</w:t>
            </w:r>
          </w:p>
        </w:tc>
        <w:tc>
          <w:tcPr>
            <w:tcW w:w="7099" w:type="dxa"/>
            <w:tcBorders>
              <w:top w:val="single" w:sz="6" w:space="0" w:color="000000"/>
              <w:left w:val="single" w:sz="6" w:space="0" w:color="000000"/>
              <w:bottom w:val="single" w:sz="6" w:space="0" w:color="000000"/>
              <w:right w:val="single" w:sz="6" w:space="0" w:color="000000"/>
            </w:tcBorders>
          </w:tcPr>
          <w:p w14:paraId="248B3792" w14:textId="77777777" w:rsidR="00FC5566" w:rsidRPr="00FC5566" w:rsidRDefault="00FC5566" w:rsidP="00FC5566">
            <w:pPr>
              <w:rPr>
                <w:sz w:val="16"/>
                <w:szCs w:val="16"/>
              </w:rPr>
            </w:pPr>
          </w:p>
        </w:tc>
      </w:tr>
      <w:tr w:rsidR="00FC5566" w:rsidRPr="00FC5566" w14:paraId="3B88BFD2"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1F8253B9" w14:textId="77777777" w:rsidR="00FC5566" w:rsidRPr="00FC5566" w:rsidRDefault="00FC5566" w:rsidP="00FC5566">
            <w:pPr>
              <w:ind w:right="5"/>
              <w:jc w:val="center"/>
              <w:rPr>
                <w:spacing w:val="-2"/>
                <w:sz w:val="16"/>
                <w:szCs w:val="16"/>
              </w:rPr>
            </w:pPr>
            <w:r w:rsidRPr="00FC5566">
              <w:rPr>
                <w:spacing w:val="-2"/>
                <w:sz w:val="16"/>
                <w:szCs w:val="16"/>
              </w:rPr>
              <w:t>Repeal</w:t>
            </w:r>
          </w:p>
        </w:tc>
        <w:tc>
          <w:tcPr>
            <w:tcW w:w="2430" w:type="dxa"/>
            <w:tcBorders>
              <w:top w:val="single" w:sz="6" w:space="0" w:color="000000"/>
              <w:left w:val="single" w:sz="6" w:space="0" w:color="000000"/>
              <w:bottom w:val="single" w:sz="6" w:space="0" w:color="000000"/>
              <w:right w:val="single" w:sz="6" w:space="0" w:color="000000"/>
            </w:tcBorders>
          </w:tcPr>
          <w:p w14:paraId="65D2AF67" w14:textId="77777777" w:rsidR="00FC5566" w:rsidRPr="00FC5566" w:rsidRDefault="00FC5566" w:rsidP="00FC5566">
            <w:pPr>
              <w:ind w:left="71"/>
              <w:rPr>
                <w:sz w:val="16"/>
                <w:szCs w:val="16"/>
              </w:rPr>
            </w:pPr>
            <w:r w:rsidRPr="00FC5566">
              <w:rPr>
                <w:sz w:val="16"/>
                <w:szCs w:val="16"/>
              </w:rPr>
              <w:t>Section G109.1, Elevation.</w:t>
            </w:r>
          </w:p>
        </w:tc>
        <w:tc>
          <w:tcPr>
            <w:tcW w:w="7099" w:type="dxa"/>
            <w:tcBorders>
              <w:top w:val="single" w:sz="6" w:space="0" w:color="000000"/>
              <w:left w:val="single" w:sz="6" w:space="0" w:color="000000"/>
              <w:bottom w:val="single" w:sz="6" w:space="0" w:color="000000"/>
              <w:right w:val="single" w:sz="6" w:space="0" w:color="000000"/>
            </w:tcBorders>
          </w:tcPr>
          <w:p w14:paraId="5EA00265" w14:textId="77777777" w:rsidR="00FC5566" w:rsidRPr="00FC5566" w:rsidRDefault="00FC5566" w:rsidP="00FC5566">
            <w:pPr>
              <w:rPr>
                <w:sz w:val="16"/>
                <w:szCs w:val="16"/>
              </w:rPr>
            </w:pPr>
          </w:p>
        </w:tc>
      </w:tr>
      <w:tr w:rsidR="00FC5566" w:rsidRPr="00FC5566" w14:paraId="474A5D7C"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0833C10C" w14:textId="77777777" w:rsidR="00FC5566" w:rsidRPr="00FC5566" w:rsidRDefault="00FC5566" w:rsidP="00FC5566">
            <w:pPr>
              <w:ind w:right="5"/>
              <w:jc w:val="center"/>
              <w:rPr>
                <w:spacing w:val="-2"/>
                <w:sz w:val="16"/>
                <w:szCs w:val="16"/>
              </w:rPr>
            </w:pPr>
            <w:r w:rsidRPr="00FC5566">
              <w:rPr>
                <w:spacing w:val="-2"/>
                <w:sz w:val="16"/>
                <w:szCs w:val="16"/>
              </w:rPr>
              <w:t>Repeal</w:t>
            </w:r>
          </w:p>
        </w:tc>
        <w:tc>
          <w:tcPr>
            <w:tcW w:w="2430" w:type="dxa"/>
            <w:tcBorders>
              <w:top w:val="single" w:sz="6" w:space="0" w:color="000000"/>
              <w:left w:val="single" w:sz="6" w:space="0" w:color="000000"/>
              <w:bottom w:val="single" w:sz="6" w:space="0" w:color="000000"/>
              <w:right w:val="single" w:sz="6" w:space="0" w:color="000000"/>
            </w:tcBorders>
          </w:tcPr>
          <w:p w14:paraId="44819019" w14:textId="77777777" w:rsidR="00FC5566" w:rsidRPr="00FC5566" w:rsidRDefault="00FC5566" w:rsidP="00FC5566">
            <w:pPr>
              <w:ind w:left="71"/>
              <w:rPr>
                <w:sz w:val="16"/>
                <w:szCs w:val="16"/>
              </w:rPr>
            </w:pPr>
            <w:r w:rsidRPr="00FC5566">
              <w:rPr>
                <w:sz w:val="16"/>
                <w:szCs w:val="16"/>
              </w:rPr>
              <w:t>Section G109.2, Foundations.</w:t>
            </w:r>
          </w:p>
        </w:tc>
        <w:tc>
          <w:tcPr>
            <w:tcW w:w="7099" w:type="dxa"/>
            <w:tcBorders>
              <w:top w:val="single" w:sz="6" w:space="0" w:color="000000"/>
              <w:left w:val="single" w:sz="6" w:space="0" w:color="000000"/>
              <w:bottom w:val="single" w:sz="6" w:space="0" w:color="000000"/>
              <w:right w:val="single" w:sz="6" w:space="0" w:color="000000"/>
            </w:tcBorders>
          </w:tcPr>
          <w:p w14:paraId="3981E566" w14:textId="77777777" w:rsidR="00FC5566" w:rsidRPr="00FC5566" w:rsidRDefault="00FC5566" w:rsidP="00FC5566">
            <w:pPr>
              <w:rPr>
                <w:sz w:val="16"/>
                <w:szCs w:val="16"/>
              </w:rPr>
            </w:pPr>
          </w:p>
        </w:tc>
      </w:tr>
      <w:tr w:rsidR="00FC5566" w:rsidRPr="00FC5566" w14:paraId="734F9EE2"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0AF13950" w14:textId="77777777" w:rsidR="00FC5566" w:rsidRPr="00FC5566" w:rsidRDefault="00FC5566" w:rsidP="00FC5566">
            <w:pPr>
              <w:ind w:right="5"/>
              <w:jc w:val="center"/>
              <w:rPr>
                <w:spacing w:val="-2"/>
                <w:sz w:val="16"/>
                <w:szCs w:val="16"/>
              </w:rPr>
            </w:pPr>
            <w:r w:rsidRPr="00FC5566">
              <w:rPr>
                <w:spacing w:val="-2"/>
                <w:sz w:val="16"/>
                <w:szCs w:val="16"/>
              </w:rPr>
              <w:t>Repeal</w:t>
            </w:r>
          </w:p>
        </w:tc>
        <w:tc>
          <w:tcPr>
            <w:tcW w:w="2430" w:type="dxa"/>
            <w:tcBorders>
              <w:top w:val="single" w:sz="6" w:space="0" w:color="000000"/>
              <w:left w:val="single" w:sz="6" w:space="0" w:color="000000"/>
              <w:bottom w:val="single" w:sz="6" w:space="0" w:color="000000"/>
              <w:right w:val="single" w:sz="6" w:space="0" w:color="000000"/>
            </w:tcBorders>
          </w:tcPr>
          <w:p w14:paraId="63306EAD" w14:textId="77777777" w:rsidR="00FC5566" w:rsidRPr="00FC5566" w:rsidRDefault="00FC5566" w:rsidP="00FC5566">
            <w:pPr>
              <w:ind w:left="71"/>
              <w:rPr>
                <w:sz w:val="16"/>
                <w:szCs w:val="16"/>
              </w:rPr>
            </w:pPr>
            <w:r w:rsidRPr="00FC5566">
              <w:rPr>
                <w:sz w:val="16"/>
                <w:szCs w:val="16"/>
              </w:rPr>
              <w:t>Section G109.3, Anchoring.</w:t>
            </w:r>
          </w:p>
        </w:tc>
        <w:tc>
          <w:tcPr>
            <w:tcW w:w="7099" w:type="dxa"/>
            <w:tcBorders>
              <w:top w:val="single" w:sz="6" w:space="0" w:color="000000"/>
              <w:left w:val="single" w:sz="6" w:space="0" w:color="000000"/>
              <w:bottom w:val="single" w:sz="6" w:space="0" w:color="000000"/>
              <w:right w:val="single" w:sz="6" w:space="0" w:color="000000"/>
            </w:tcBorders>
          </w:tcPr>
          <w:p w14:paraId="5412E107" w14:textId="77777777" w:rsidR="00FC5566" w:rsidRPr="00FC5566" w:rsidRDefault="00FC5566" w:rsidP="00FC5566">
            <w:pPr>
              <w:rPr>
                <w:sz w:val="16"/>
                <w:szCs w:val="16"/>
              </w:rPr>
            </w:pPr>
          </w:p>
        </w:tc>
      </w:tr>
      <w:tr w:rsidR="00FC5566" w:rsidRPr="00FC5566" w14:paraId="174F20C1" w14:textId="77777777" w:rsidTr="00B247D5">
        <w:trPr>
          <w:trHeight w:val="187"/>
        </w:trPr>
        <w:tc>
          <w:tcPr>
            <w:tcW w:w="1080" w:type="dxa"/>
            <w:tcBorders>
              <w:top w:val="single" w:sz="6" w:space="0" w:color="000000"/>
              <w:left w:val="single" w:sz="6" w:space="0" w:color="000000"/>
              <w:bottom w:val="single" w:sz="6" w:space="0" w:color="000000"/>
              <w:right w:val="single" w:sz="6" w:space="0" w:color="000000"/>
            </w:tcBorders>
          </w:tcPr>
          <w:p w14:paraId="508F4008" w14:textId="77777777" w:rsidR="00FC5566" w:rsidRPr="00FC5566" w:rsidRDefault="00FC5566" w:rsidP="00FC5566">
            <w:pPr>
              <w:ind w:right="5"/>
              <w:jc w:val="center"/>
              <w:rPr>
                <w:spacing w:val="-2"/>
                <w:sz w:val="16"/>
                <w:szCs w:val="16"/>
              </w:rPr>
            </w:pPr>
            <w:r w:rsidRPr="00FC5566">
              <w:rPr>
                <w:spacing w:val="-2"/>
                <w:sz w:val="16"/>
                <w:szCs w:val="16"/>
              </w:rPr>
              <w:t>Repeal</w:t>
            </w:r>
          </w:p>
        </w:tc>
        <w:tc>
          <w:tcPr>
            <w:tcW w:w="2430" w:type="dxa"/>
            <w:tcBorders>
              <w:top w:val="single" w:sz="6" w:space="0" w:color="000000"/>
              <w:left w:val="single" w:sz="6" w:space="0" w:color="000000"/>
              <w:bottom w:val="single" w:sz="6" w:space="0" w:color="000000"/>
              <w:right w:val="single" w:sz="6" w:space="0" w:color="000000"/>
            </w:tcBorders>
          </w:tcPr>
          <w:p w14:paraId="22985D88" w14:textId="77777777" w:rsidR="00FC5566" w:rsidRPr="00FC5566" w:rsidRDefault="00FC5566" w:rsidP="00FC5566">
            <w:pPr>
              <w:ind w:left="71"/>
              <w:rPr>
                <w:sz w:val="16"/>
                <w:szCs w:val="16"/>
              </w:rPr>
            </w:pPr>
            <w:r w:rsidRPr="00FC5566">
              <w:rPr>
                <w:sz w:val="16"/>
                <w:szCs w:val="16"/>
              </w:rPr>
              <w:t>Section G109.4, Protection of Mechanical Equipment and Outside</w:t>
            </w:r>
          </w:p>
          <w:p w14:paraId="4A48F017" w14:textId="77777777" w:rsidR="00FC5566" w:rsidRPr="00FC5566" w:rsidRDefault="00FC5566" w:rsidP="00FC5566">
            <w:pPr>
              <w:ind w:left="71"/>
              <w:rPr>
                <w:sz w:val="16"/>
                <w:szCs w:val="16"/>
              </w:rPr>
            </w:pPr>
            <w:r w:rsidRPr="00FC5566">
              <w:rPr>
                <w:sz w:val="16"/>
                <w:szCs w:val="16"/>
              </w:rPr>
              <w:t>Appliances.</w:t>
            </w:r>
          </w:p>
        </w:tc>
        <w:tc>
          <w:tcPr>
            <w:tcW w:w="7099" w:type="dxa"/>
            <w:tcBorders>
              <w:top w:val="single" w:sz="6" w:space="0" w:color="000000"/>
              <w:left w:val="single" w:sz="6" w:space="0" w:color="000000"/>
              <w:bottom w:val="single" w:sz="6" w:space="0" w:color="000000"/>
              <w:right w:val="single" w:sz="6" w:space="0" w:color="000000"/>
            </w:tcBorders>
          </w:tcPr>
          <w:p w14:paraId="6B2F7958" w14:textId="77777777" w:rsidR="00FC5566" w:rsidRPr="00FC5566" w:rsidRDefault="00FC5566" w:rsidP="00FC5566">
            <w:pPr>
              <w:rPr>
                <w:sz w:val="16"/>
                <w:szCs w:val="16"/>
              </w:rPr>
            </w:pPr>
          </w:p>
        </w:tc>
      </w:tr>
      <w:tr w:rsidR="00FC5566" w:rsidRPr="00FC5566" w14:paraId="5454B8D9"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51A84249" w14:textId="77777777" w:rsidR="00FC5566" w:rsidRPr="00FC5566" w:rsidRDefault="00FC5566" w:rsidP="00FC5566">
            <w:pPr>
              <w:ind w:right="5"/>
              <w:jc w:val="center"/>
              <w:rPr>
                <w:spacing w:val="-2"/>
                <w:sz w:val="16"/>
                <w:szCs w:val="16"/>
              </w:rPr>
            </w:pPr>
            <w:r w:rsidRPr="00FC5566">
              <w:rPr>
                <w:spacing w:val="-2"/>
                <w:sz w:val="16"/>
                <w:szCs w:val="16"/>
              </w:rPr>
              <w:t>Repeal</w:t>
            </w:r>
          </w:p>
        </w:tc>
        <w:tc>
          <w:tcPr>
            <w:tcW w:w="2430" w:type="dxa"/>
            <w:tcBorders>
              <w:top w:val="single" w:sz="6" w:space="0" w:color="000000"/>
              <w:left w:val="single" w:sz="6" w:space="0" w:color="000000"/>
              <w:bottom w:val="single" w:sz="6" w:space="0" w:color="000000"/>
              <w:right w:val="single" w:sz="6" w:space="0" w:color="000000"/>
            </w:tcBorders>
          </w:tcPr>
          <w:p w14:paraId="3F03D0DF" w14:textId="77777777" w:rsidR="00FC5566" w:rsidRPr="00FC5566" w:rsidRDefault="00FC5566" w:rsidP="00FC5566">
            <w:pPr>
              <w:ind w:left="71"/>
              <w:rPr>
                <w:sz w:val="16"/>
                <w:szCs w:val="16"/>
              </w:rPr>
            </w:pPr>
            <w:r w:rsidRPr="00FC5566">
              <w:rPr>
                <w:sz w:val="16"/>
                <w:szCs w:val="16"/>
              </w:rPr>
              <w:t>Section G109.5, Enclosures.</w:t>
            </w:r>
          </w:p>
        </w:tc>
        <w:tc>
          <w:tcPr>
            <w:tcW w:w="7099" w:type="dxa"/>
            <w:tcBorders>
              <w:top w:val="single" w:sz="6" w:space="0" w:color="000000"/>
              <w:left w:val="single" w:sz="6" w:space="0" w:color="000000"/>
              <w:bottom w:val="single" w:sz="6" w:space="0" w:color="000000"/>
              <w:right w:val="single" w:sz="6" w:space="0" w:color="000000"/>
            </w:tcBorders>
          </w:tcPr>
          <w:p w14:paraId="1070D980" w14:textId="77777777" w:rsidR="00FC5566" w:rsidRPr="00FC5566" w:rsidRDefault="00FC5566" w:rsidP="00FC5566">
            <w:pPr>
              <w:rPr>
                <w:sz w:val="16"/>
                <w:szCs w:val="16"/>
              </w:rPr>
            </w:pPr>
          </w:p>
        </w:tc>
      </w:tr>
      <w:tr w:rsidR="00FC5566" w:rsidRPr="00FC5566" w14:paraId="01114F07" w14:textId="77777777" w:rsidTr="00B247D5">
        <w:trPr>
          <w:trHeight w:val="187"/>
        </w:trPr>
        <w:tc>
          <w:tcPr>
            <w:tcW w:w="1080" w:type="dxa"/>
            <w:tcBorders>
              <w:top w:val="single" w:sz="6" w:space="0" w:color="000000"/>
              <w:left w:val="single" w:sz="6" w:space="0" w:color="000000"/>
              <w:bottom w:val="single" w:sz="6" w:space="0" w:color="000000"/>
              <w:right w:val="single" w:sz="6" w:space="0" w:color="000000"/>
            </w:tcBorders>
          </w:tcPr>
          <w:p w14:paraId="51444342" w14:textId="77777777" w:rsidR="00FC5566" w:rsidRPr="00FC5566" w:rsidRDefault="00FC5566" w:rsidP="00FC5566">
            <w:pPr>
              <w:ind w:right="5"/>
              <w:jc w:val="center"/>
              <w:rPr>
                <w:spacing w:val="-2"/>
                <w:sz w:val="16"/>
                <w:szCs w:val="16"/>
              </w:rPr>
            </w:pPr>
            <w:r w:rsidRPr="00FC5566">
              <w:rPr>
                <w:spacing w:val="-2"/>
                <w:sz w:val="16"/>
                <w:szCs w:val="16"/>
              </w:rPr>
              <w:t>Repeal</w:t>
            </w:r>
          </w:p>
        </w:tc>
        <w:tc>
          <w:tcPr>
            <w:tcW w:w="2430" w:type="dxa"/>
            <w:tcBorders>
              <w:top w:val="single" w:sz="6" w:space="0" w:color="000000"/>
              <w:left w:val="single" w:sz="6" w:space="0" w:color="000000"/>
              <w:bottom w:val="single" w:sz="6" w:space="0" w:color="000000"/>
              <w:right w:val="single" w:sz="6" w:space="0" w:color="000000"/>
            </w:tcBorders>
          </w:tcPr>
          <w:p w14:paraId="42D5206E" w14:textId="77777777" w:rsidR="00FC5566" w:rsidRPr="00FC5566" w:rsidRDefault="00FC5566" w:rsidP="00FC5566">
            <w:pPr>
              <w:ind w:left="71"/>
              <w:rPr>
                <w:sz w:val="16"/>
                <w:szCs w:val="16"/>
              </w:rPr>
            </w:pPr>
            <w:r w:rsidRPr="00FC5566">
              <w:rPr>
                <w:sz w:val="16"/>
                <w:szCs w:val="16"/>
              </w:rPr>
              <w:t>Section G 110, Recreational Vehicles.</w:t>
            </w:r>
          </w:p>
        </w:tc>
        <w:tc>
          <w:tcPr>
            <w:tcW w:w="7099" w:type="dxa"/>
            <w:tcBorders>
              <w:top w:val="single" w:sz="6" w:space="0" w:color="000000"/>
              <w:left w:val="single" w:sz="6" w:space="0" w:color="000000"/>
              <w:bottom w:val="single" w:sz="6" w:space="0" w:color="000000"/>
              <w:right w:val="single" w:sz="6" w:space="0" w:color="000000"/>
            </w:tcBorders>
          </w:tcPr>
          <w:p w14:paraId="0549F38E" w14:textId="77777777" w:rsidR="00FC5566" w:rsidRPr="00FC5566" w:rsidRDefault="00FC5566" w:rsidP="00FC5566">
            <w:pPr>
              <w:rPr>
                <w:sz w:val="16"/>
                <w:szCs w:val="16"/>
              </w:rPr>
            </w:pPr>
          </w:p>
        </w:tc>
      </w:tr>
      <w:tr w:rsidR="00FC5566" w:rsidRPr="00FC5566" w14:paraId="376A74BF" w14:textId="77777777" w:rsidTr="00B247D5">
        <w:trPr>
          <w:trHeight w:val="187"/>
        </w:trPr>
        <w:tc>
          <w:tcPr>
            <w:tcW w:w="1080" w:type="dxa"/>
            <w:tcBorders>
              <w:top w:val="single" w:sz="6" w:space="0" w:color="000000"/>
              <w:left w:val="single" w:sz="6" w:space="0" w:color="000000"/>
              <w:bottom w:val="single" w:sz="6" w:space="0" w:color="000000"/>
              <w:right w:val="single" w:sz="6" w:space="0" w:color="000000"/>
            </w:tcBorders>
          </w:tcPr>
          <w:p w14:paraId="10117B1D" w14:textId="77777777" w:rsidR="00FC5566" w:rsidRPr="00FC5566" w:rsidRDefault="00FC5566" w:rsidP="00FC5566">
            <w:pPr>
              <w:ind w:right="5"/>
              <w:jc w:val="center"/>
              <w:rPr>
                <w:spacing w:val="-2"/>
                <w:sz w:val="16"/>
                <w:szCs w:val="16"/>
              </w:rPr>
            </w:pPr>
            <w:r w:rsidRPr="00FC5566">
              <w:rPr>
                <w:spacing w:val="-2"/>
                <w:sz w:val="16"/>
                <w:szCs w:val="16"/>
              </w:rPr>
              <w:t>Repeal</w:t>
            </w:r>
          </w:p>
        </w:tc>
        <w:tc>
          <w:tcPr>
            <w:tcW w:w="2430" w:type="dxa"/>
            <w:tcBorders>
              <w:top w:val="single" w:sz="6" w:space="0" w:color="000000"/>
              <w:left w:val="single" w:sz="6" w:space="0" w:color="000000"/>
              <w:bottom w:val="single" w:sz="6" w:space="0" w:color="000000"/>
              <w:right w:val="single" w:sz="6" w:space="0" w:color="000000"/>
            </w:tcBorders>
          </w:tcPr>
          <w:p w14:paraId="09ACCA87" w14:textId="77777777" w:rsidR="00FC5566" w:rsidRPr="00FC5566" w:rsidRDefault="00FC5566" w:rsidP="00FC5566">
            <w:pPr>
              <w:ind w:left="71"/>
              <w:rPr>
                <w:sz w:val="16"/>
                <w:szCs w:val="16"/>
              </w:rPr>
            </w:pPr>
            <w:r w:rsidRPr="00FC5566">
              <w:rPr>
                <w:sz w:val="16"/>
                <w:szCs w:val="16"/>
              </w:rPr>
              <w:t>Section G110.1, Placement Prohibited.</w:t>
            </w:r>
          </w:p>
        </w:tc>
        <w:tc>
          <w:tcPr>
            <w:tcW w:w="7099" w:type="dxa"/>
            <w:tcBorders>
              <w:top w:val="single" w:sz="6" w:space="0" w:color="000000"/>
              <w:left w:val="single" w:sz="6" w:space="0" w:color="000000"/>
              <w:bottom w:val="single" w:sz="6" w:space="0" w:color="000000"/>
              <w:right w:val="single" w:sz="6" w:space="0" w:color="000000"/>
            </w:tcBorders>
          </w:tcPr>
          <w:p w14:paraId="44E2447E" w14:textId="77777777" w:rsidR="00FC5566" w:rsidRPr="00FC5566" w:rsidRDefault="00FC5566" w:rsidP="00FC5566">
            <w:pPr>
              <w:rPr>
                <w:sz w:val="16"/>
                <w:szCs w:val="16"/>
              </w:rPr>
            </w:pPr>
          </w:p>
        </w:tc>
      </w:tr>
      <w:tr w:rsidR="00FC5566" w:rsidRPr="00FC5566" w14:paraId="2FA5118D" w14:textId="77777777" w:rsidTr="00B247D5">
        <w:trPr>
          <w:trHeight w:val="187"/>
        </w:trPr>
        <w:tc>
          <w:tcPr>
            <w:tcW w:w="1080" w:type="dxa"/>
            <w:tcBorders>
              <w:top w:val="single" w:sz="6" w:space="0" w:color="000000"/>
              <w:left w:val="single" w:sz="6" w:space="0" w:color="000000"/>
              <w:bottom w:val="single" w:sz="6" w:space="0" w:color="000000"/>
              <w:right w:val="single" w:sz="6" w:space="0" w:color="000000"/>
            </w:tcBorders>
          </w:tcPr>
          <w:p w14:paraId="0A0D92D0" w14:textId="77777777" w:rsidR="00FC5566" w:rsidRPr="00FC5566" w:rsidRDefault="00FC5566" w:rsidP="00FC5566">
            <w:pPr>
              <w:ind w:right="5"/>
              <w:jc w:val="center"/>
              <w:rPr>
                <w:spacing w:val="-2"/>
                <w:sz w:val="16"/>
                <w:szCs w:val="16"/>
              </w:rPr>
            </w:pPr>
            <w:r w:rsidRPr="00FC5566">
              <w:rPr>
                <w:spacing w:val="-2"/>
                <w:sz w:val="16"/>
                <w:szCs w:val="16"/>
              </w:rPr>
              <w:t>Repeal</w:t>
            </w:r>
          </w:p>
        </w:tc>
        <w:tc>
          <w:tcPr>
            <w:tcW w:w="2430" w:type="dxa"/>
            <w:tcBorders>
              <w:top w:val="single" w:sz="6" w:space="0" w:color="000000"/>
              <w:left w:val="single" w:sz="6" w:space="0" w:color="000000"/>
              <w:bottom w:val="single" w:sz="6" w:space="0" w:color="000000"/>
              <w:right w:val="single" w:sz="6" w:space="0" w:color="000000"/>
            </w:tcBorders>
          </w:tcPr>
          <w:p w14:paraId="45C5FDB8" w14:textId="77777777" w:rsidR="00FC5566" w:rsidRPr="00FC5566" w:rsidRDefault="00FC5566" w:rsidP="00FC5566">
            <w:pPr>
              <w:ind w:left="71"/>
              <w:rPr>
                <w:sz w:val="16"/>
                <w:szCs w:val="16"/>
              </w:rPr>
            </w:pPr>
            <w:r w:rsidRPr="00FC5566">
              <w:rPr>
                <w:sz w:val="16"/>
                <w:szCs w:val="16"/>
              </w:rPr>
              <w:t>Section G110.2, Temporary Placement.</w:t>
            </w:r>
          </w:p>
        </w:tc>
        <w:tc>
          <w:tcPr>
            <w:tcW w:w="7099" w:type="dxa"/>
            <w:tcBorders>
              <w:top w:val="single" w:sz="6" w:space="0" w:color="000000"/>
              <w:left w:val="single" w:sz="6" w:space="0" w:color="000000"/>
              <w:bottom w:val="single" w:sz="6" w:space="0" w:color="000000"/>
              <w:right w:val="single" w:sz="6" w:space="0" w:color="000000"/>
            </w:tcBorders>
          </w:tcPr>
          <w:p w14:paraId="57A3529C" w14:textId="77777777" w:rsidR="00FC5566" w:rsidRPr="00FC5566" w:rsidRDefault="00FC5566" w:rsidP="00FC5566">
            <w:pPr>
              <w:rPr>
                <w:sz w:val="16"/>
                <w:szCs w:val="16"/>
              </w:rPr>
            </w:pPr>
          </w:p>
        </w:tc>
      </w:tr>
      <w:tr w:rsidR="00FC5566" w:rsidRPr="00FC5566" w14:paraId="06101502" w14:textId="77777777" w:rsidTr="00B247D5">
        <w:trPr>
          <w:trHeight w:val="374"/>
        </w:trPr>
        <w:tc>
          <w:tcPr>
            <w:tcW w:w="1080" w:type="dxa"/>
            <w:tcBorders>
              <w:top w:val="single" w:sz="6" w:space="0" w:color="000000"/>
              <w:left w:val="single" w:sz="6" w:space="0" w:color="000000"/>
              <w:bottom w:val="single" w:sz="6" w:space="0" w:color="000000"/>
              <w:right w:val="single" w:sz="6" w:space="0" w:color="000000"/>
            </w:tcBorders>
          </w:tcPr>
          <w:p w14:paraId="6A9F10C2" w14:textId="77777777" w:rsidR="00FC5566" w:rsidRPr="00FC5566" w:rsidRDefault="00FC5566" w:rsidP="00FC5566">
            <w:pPr>
              <w:ind w:right="5"/>
              <w:jc w:val="center"/>
              <w:rPr>
                <w:spacing w:val="-2"/>
                <w:sz w:val="16"/>
                <w:szCs w:val="16"/>
              </w:rPr>
            </w:pPr>
            <w:r w:rsidRPr="00FC5566">
              <w:rPr>
                <w:spacing w:val="-2"/>
                <w:sz w:val="16"/>
                <w:szCs w:val="16"/>
              </w:rPr>
              <w:t>Repeal</w:t>
            </w:r>
          </w:p>
        </w:tc>
        <w:tc>
          <w:tcPr>
            <w:tcW w:w="2430" w:type="dxa"/>
            <w:tcBorders>
              <w:top w:val="single" w:sz="6" w:space="0" w:color="000000"/>
              <w:left w:val="single" w:sz="6" w:space="0" w:color="000000"/>
              <w:bottom w:val="single" w:sz="6" w:space="0" w:color="000000"/>
              <w:right w:val="single" w:sz="6" w:space="0" w:color="000000"/>
            </w:tcBorders>
          </w:tcPr>
          <w:p w14:paraId="7352C7B4" w14:textId="77777777" w:rsidR="00FC5566" w:rsidRPr="00FC5566" w:rsidRDefault="00FC5566" w:rsidP="00FC5566">
            <w:pPr>
              <w:ind w:left="71"/>
              <w:rPr>
                <w:sz w:val="16"/>
                <w:szCs w:val="16"/>
              </w:rPr>
            </w:pPr>
            <w:r w:rsidRPr="00FC5566">
              <w:rPr>
                <w:sz w:val="16"/>
                <w:szCs w:val="16"/>
              </w:rPr>
              <w:t>Section G110.3, Permanent Placement.</w:t>
            </w:r>
          </w:p>
        </w:tc>
        <w:tc>
          <w:tcPr>
            <w:tcW w:w="7099" w:type="dxa"/>
            <w:tcBorders>
              <w:top w:val="single" w:sz="6" w:space="0" w:color="000000"/>
              <w:left w:val="single" w:sz="6" w:space="0" w:color="000000"/>
              <w:bottom w:val="single" w:sz="6" w:space="0" w:color="000000"/>
              <w:right w:val="single" w:sz="6" w:space="0" w:color="000000"/>
            </w:tcBorders>
          </w:tcPr>
          <w:p w14:paraId="49C42D71" w14:textId="77777777" w:rsidR="00FC5566" w:rsidRPr="00FC5566" w:rsidRDefault="00FC5566" w:rsidP="00FC5566">
            <w:pPr>
              <w:rPr>
                <w:sz w:val="16"/>
                <w:szCs w:val="16"/>
              </w:rPr>
            </w:pPr>
          </w:p>
        </w:tc>
      </w:tr>
      <w:tr w:rsidR="00FC5566" w:rsidRPr="00FC5566" w14:paraId="2B92025F"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32028FBF" w14:textId="77777777" w:rsidR="00FC5566" w:rsidRPr="00FC5566" w:rsidRDefault="00FC5566" w:rsidP="00FC5566">
            <w:pPr>
              <w:ind w:right="5"/>
              <w:jc w:val="center"/>
              <w:rPr>
                <w:spacing w:val="-2"/>
                <w:sz w:val="16"/>
                <w:szCs w:val="16"/>
              </w:rPr>
            </w:pPr>
            <w:r w:rsidRPr="00FC5566">
              <w:rPr>
                <w:spacing w:val="-2"/>
                <w:sz w:val="16"/>
                <w:szCs w:val="16"/>
              </w:rPr>
              <w:t>Repeal</w:t>
            </w:r>
          </w:p>
        </w:tc>
        <w:tc>
          <w:tcPr>
            <w:tcW w:w="2430" w:type="dxa"/>
            <w:tcBorders>
              <w:top w:val="single" w:sz="6" w:space="0" w:color="000000"/>
              <w:left w:val="single" w:sz="6" w:space="0" w:color="000000"/>
              <w:bottom w:val="single" w:sz="6" w:space="0" w:color="000000"/>
              <w:right w:val="single" w:sz="6" w:space="0" w:color="000000"/>
            </w:tcBorders>
          </w:tcPr>
          <w:p w14:paraId="275157B2" w14:textId="77777777" w:rsidR="00FC5566" w:rsidRPr="00FC5566" w:rsidRDefault="00FC5566" w:rsidP="00FC5566">
            <w:pPr>
              <w:ind w:left="71"/>
              <w:rPr>
                <w:sz w:val="16"/>
                <w:szCs w:val="16"/>
              </w:rPr>
            </w:pPr>
            <w:r w:rsidRPr="00FC5566">
              <w:rPr>
                <w:sz w:val="16"/>
                <w:szCs w:val="16"/>
              </w:rPr>
              <w:t>Section G111, Tanks.</w:t>
            </w:r>
          </w:p>
        </w:tc>
        <w:tc>
          <w:tcPr>
            <w:tcW w:w="7099" w:type="dxa"/>
            <w:tcBorders>
              <w:top w:val="single" w:sz="6" w:space="0" w:color="000000"/>
              <w:left w:val="single" w:sz="6" w:space="0" w:color="000000"/>
              <w:bottom w:val="single" w:sz="6" w:space="0" w:color="000000"/>
              <w:right w:val="single" w:sz="6" w:space="0" w:color="000000"/>
            </w:tcBorders>
          </w:tcPr>
          <w:p w14:paraId="769E222D" w14:textId="77777777" w:rsidR="00FC5566" w:rsidRPr="00FC5566" w:rsidRDefault="00FC5566" w:rsidP="00FC5566">
            <w:pPr>
              <w:rPr>
                <w:sz w:val="16"/>
                <w:szCs w:val="16"/>
              </w:rPr>
            </w:pPr>
          </w:p>
        </w:tc>
      </w:tr>
      <w:tr w:rsidR="00FC5566" w:rsidRPr="00FC5566" w14:paraId="63EE5FDD"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1B71D141" w14:textId="77777777" w:rsidR="00FC5566" w:rsidRPr="00FC5566" w:rsidRDefault="00FC5566" w:rsidP="00FC5566">
            <w:pPr>
              <w:ind w:right="5"/>
              <w:jc w:val="center"/>
              <w:rPr>
                <w:spacing w:val="-2"/>
                <w:sz w:val="16"/>
                <w:szCs w:val="16"/>
              </w:rPr>
            </w:pPr>
            <w:r w:rsidRPr="00FC5566">
              <w:rPr>
                <w:spacing w:val="-2"/>
                <w:sz w:val="16"/>
                <w:szCs w:val="16"/>
              </w:rPr>
              <w:t>Repeal</w:t>
            </w:r>
          </w:p>
        </w:tc>
        <w:tc>
          <w:tcPr>
            <w:tcW w:w="2430" w:type="dxa"/>
            <w:tcBorders>
              <w:top w:val="single" w:sz="6" w:space="0" w:color="000000"/>
              <w:left w:val="single" w:sz="6" w:space="0" w:color="000000"/>
              <w:bottom w:val="single" w:sz="6" w:space="0" w:color="000000"/>
              <w:right w:val="single" w:sz="6" w:space="0" w:color="000000"/>
            </w:tcBorders>
          </w:tcPr>
          <w:p w14:paraId="78755CD0" w14:textId="77777777" w:rsidR="00FC5566" w:rsidRPr="00FC5566" w:rsidRDefault="00FC5566" w:rsidP="00FC5566">
            <w:pPr>
              <w:ind w:left="71"/>
              <w:rPr>
                <w:sz w:val="16"/>
                <w:szCs w:val="16"/>
              </w:rPr>
            </w:pPr>
            <w:r w:rsidRPr="00FC5566">
              <w:rPr>
                <w:sz w:val="16"/>
                <w:szCs w:val="16"/>
              </w:rPr>
              <w:t>Section G111.1, Tanks.</w:t>
            </w:r>
          </w:p>
        </w:tc>
        <w:tc>
          <w:tcPr>
            <w:tcW w:w="7099" w:type="dxa"/>
            <w:tcBorders>
              <w:top w:val="single" w:sz="6" w:space="0" w:color="000000"/>
              <w:left w:val="single" w:sz="6" w:space="0" w:color="000000"/>
              <w:bottom w:val="single" w:sz="6" w:space="0" w:color="000000"/>
              <w:right w:val="single" w:sz="6" w:space="0" w:color="000000"/>
            </w:tcBorders>
          </w:tcPr>
          <w:p w14:paraId="49768C3A" w14:textId="77777777" w:rsidR="00FC5566" w:rsidRPr="00FC5566" w:rsidRDefault="00FC5566" w:rsidP="00FC5566">
            <w:pPr>
              <w:rPr>
                <w:sz w:val="16"/>
                <w:szCs w:val="16"/>
              </w:rPr>
            </w:pPr>
          </w:p>
        </w:tc>
      </w:tr>
      <w:tr w:rsidR="00FC5566" w:rsidRPr="00FC5566" w14:paraId="5BEEFD3C" w14:textId="77777777" w:rsidTr="00B247D5">
        <w:trPr>
          <w:trHeight w:val="187"/>
        </w:trPr>
        <w:tc>
          <w:tcPr>
            <w:tcW w:w="1080" w:type="dxa"/>
            <w:tcBorders>
              <w:top w:val="single" w:sz="6" w:space="0" w:color="000000"/>
              <w:left w:val="single" w:sz="6" w:space="0" w:color="000000"/>
              <w:bottom w:val="single" w:sz="6" w:space="0" w:color="000000"/>
              <w:right w:val="single" w:sz="6" w:space="0" w:color="000000"/>
            </w:tcBorders>
          </w:tcPr>
          <w:p w14:paraId="4AE09679"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24F97D18" w14:textId="77777777" w:rsidR="00FC5566" w:rsidRPr="00FC5566" w:rsidRDefault="00FC5566" w:rsidP="00FC5566">
            <w:pPr>
              <w:ind w:left="71"/>
              <w:rPr>
                <w:sz w:val="16"/>
                <w:szCs w:val="16"/>
              </w:rPr>
            </w:pPr>
            <w:r w:rsidRPr="00FC5566">
              <w:rPr>
                <w:sz w:val="16"/>
                <w:szCs w:val="16"/>
              </w:rPr>
              <w:t>Section G112.1, Garages and Accessory Structures.</w:t>
            </w:r>
          </w:p>
        </w:tc>
        <w:tc>
          <w:tcPr>
            <w:tcW w:w="7099" w:type="dxa"/>
            <w:tcBorders>
              <w:top w:val="single" w:sz="6" w:space="0" w:color="000000"/>
              <w:left w:val="single" w:sz="6" w:space="0" w:color="000000"/>
              <w:bottom w:val="single" w:sz="6" w:space="0" w:color="000000"/>
              <w:right w:val="single" w:sz="6" w:space="0" w:color="000000"/>
            </w:tcBorders>
          </w:tcPr>
          <w:p w14:paraId="1240D318" w14:textId="77777777" w:rsidR="00FC5566" w:rsidRPr="00FC5566" w:rsidRDefault="00FC5566" w:rsidP="00FC5566">
            <w:pPr>
              <w:ind w:left="85"/>
              <w:rPr>
                <w:sz w:val="16"/>
                <w:szCs w:val="16"/>
              </w:rPr>
            </w:pPr>
            <w:r w:rsidRPr="00FC5566">
              <w:rPr>
                <w:sz w:val="16"/>
                <w:szCs w:val="16"/>
              </w:rPr>
              <w:t>Garages and accessory structures shall be designed and constructed in accordance with </w:t>
            </w:r>
            <w:r w:rsidRPr="00FC5566">
              <w:rPr>
                <w:color w:val="000000"/>
                <w:sz w:val="16"/>
                <w:szCs w:val="16"/>
              </w:rPr>
              <w:t>ASCE</w:t>
            </w:r>
            <w:r w:rsidRPr="00FC5566">
              <w:rPr>
                <w:sz w:val="16"/>
                <w:szCs w:val="16"/>
              </w:rPr>
              <w:t> 24.</w:t>
            </w:r>
          </w:p>
        </w:tc>
      </w:tr>
      <w:tr w:rsidR="00FC5566" w:rsidRPr="00FC5566" w14:paraId="79B593D5"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7A75C581" w14:textId="77777777" w:rsidR="00FC5566" w:rsidRPr="00FC5566" w:rsidRDefault="00FC5566" w:rsidP="00FC5566">
            <w:pPr>
              <w:ind w:right="5"/>
              <w:jc w:val="center"/>
              <w:rPr>
                <w:spacing w:val="-2"/>
                <w:sz w:val="16"/>
                <w:szCs w:val="16"/>
              </w:rPr>
            </w:pPr>
            <w:r w:rsidRPr="00FC5566">
              <w:rPr>
                <w:spacing w:val="-2"/>
                <w:sz w:val="16"/>
                <w:szCs w:val="16"/>
              </w:rPr>
              <w:t>Repeal</w:t>
            </w:r>
          </w:p>
        </w:tc>
        <w:tc>
          <w:tcPr>
            <w:tcW w:w="2430" w:type="dxa"/>
            <w:tcBorders>
              <w:top w:val="single" w:sz="6" w:space="0" w:color="000000"/>
              <w:left w:val="single" w:sz="6" w:space="0" w:color="000000"/>
              <w:bottom w:val="single" w:sz="6" w:space="0" w:color="000000"/>
              <w:right w:val="single" w:sz="6" w:space="0" w:color="000000"/>
            </w:tcBorders>
          </w:tcPr>
          <w:p w14:paraId="1326D67C" w14:textId="77777777" w:rsidR="00FC5566" w:rsidRPr="00FC5566" w:rsidRDefault="00FC5566" w:rsidP="00FC5566">
            <w:pPr>
              <w:ind w:left="71"/>
              <w:rPr>
                <w:sz w:val="16"/>
                <w:szCs w:val="16"/>
              </w:rPr>
            </w:pPr>
            <w:r w:rsidRPr="00FC5566">
              <w:rPr>
                <w:sz w:val="16"/>
                <w:szCs w:val="16"/>
              </w:rPr>
              <w:t>Section G112.2, Fences.</w:t>
            </w:r>
          </w:p>
        </w:tc>
        <w:tc>
          <w:tcPr>
            <w:tcW w:w="7099" w:type="dxa"/>
            <w:tcBorders>
              <w:top w:val="single" w:sz="6" w:space="0" w:color="000000"/>
              <w:left w:val="single" w:sz="6" w:space="0" w:color="000000"/>
              <w:bottom w:val="single" w:sz="6" w:space="0" w:color="000000"/>
              <w:right w:val="single" w:sz="6" w:space="0" w:color="000000"/>
            </w:tcBorders>
          </w:tcPr>
          <w:p w14:paraId="53FF06D2" w14:textId="77777777" w:rsidR="00FC5566" w:rsidRPr="00FC5566" w:rsidRDefault="00FC5566" w:rsidP="00FC5566">
            <w:pPr>
              <w:ind w:left="85"/>
              <w:rPr>
                <w:sz w:val="16"/>
                <w:szCs w:val="16"/>
              </w:rPr>
            </w:pPr>
          </w:p>
        </w:tc>
      </w:tr>
      <w:tr w:rsidR="00FC5566" w:rsidRPr="00FC5566" w14:paraId="6E32DC93"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45F541A6" w14:textId="77777777" w:rsidR="00FC5566" w:rsidRPr="00FC5566" w:rsidRDefault="00FC5566" w:rsidP="00FC5566">
            <w:pPr>
              <w:ind w:right="5"/>
              <w:jc w:val="center"/>
              <w:rPr>
                <w:spacing w:val="-2"/>
                <w:sz w:val="16"/>
                <w:szCs w:val="16"/>
              </w:rPr>
            </w:pPr>
            <w:r w:rsidRPr="00FC5566">
              <w:rPr>
                <w:spacing w:val="-2"/>
                <w:sz w:val="16"/>
                <w:szCs w:val="16"/>
              </w:rPr>
              <w:t>Repeal</w:t>
            </w:r>
          </w:p>
        </w:tc>
        <w:tc>
          <w:tcPr>
            <w:tcW w:w="2430" w:type="dxa"/>
            <w:tcBorders>
              <w:top w:val="single" w:sz="6" w:space="0" w:color="000000"/>
              <w:left w:val="single" w:sz="6" w:space="0" w:color="000000"/>
              <w:bottom w:val="single" w:sz="6" w:space="0" w:color="000000"/>
              <w:right w:val="single" w:sz="6" w:space="0" w:color="000000"/>
            </w:tcBorders>
          </w:tcPr>
          <w:p w14:paraId="6CE44D1A" w14:textId="77777777" w:rsidR="00FC5566" w:rsidRPr="00FC5566" w:rsidRDefault="00FC5566" w:rsidP="00FC5566">
            <w:pPr>
              <w:ind w:left="71"/>
              <w:rPr>
                <w:sz w:val="16"/>
                <w:szCs w:val="16"/>
              </w:rPr>
            </w:pPr>
            <w:r w:rsidRPr="00FC5566">
              <w:rPr>
                <w:sz w:val="16"/>
                <w:szCs w:val="16"/>
              </w:rPr>
              <w:t>Section G112.3, Oil Derricks.</w:t>
            </w:r>
          </w:p>
        </w:tc>
        <w:tc>
          <w:tcPr>
            <w:tcW w:w="7099" w:type="dxa"/>
            <w:tcBorders>
              <w:top w:val="single" w:sz="6" w:space="0" w:color="000000"/>
              <w:left w:val="single" w:sz="6" w:space="0" w:color="000000"/>
              <w:bottom w:val="single" w:sz="6" w:space="0" w:color="000000"/>
              <w:right w:val="single" w:sz="6" w:space="0" w:color="000000"/>
            </w:tcBorders>
          </w:tcPr>
          <w:p w14:paraId="0D6EC972" w14:textId="77777777" w:rsidR="00FC5566" w:rsidRPr="00FC5566" w:rsidRDefault="00FC5566" w:rsidP="00FC5566">
            <w:pPr>
              <w:ind w:left="85"/>
              <w:rPr>
                <w:sz w:val="16"/>
                <w:szCs w:val="16"/>
              </w:rPr>
            </w:pPr>
          </w:p>
        </w:tc>
      </w:tr>
      <w:tr w:rsidR="00FC5566" w:rsidRPr="00FC5566" w14:paraId="06D6D9F2" w14:textId="77777777" w:rsidTr="00B247D5">
        <w:trPr>
          <w:trHeight w:val="187"/>
        </w:trPr>
        <w:tc>
          <w:tcPr>
            <w:tcW w:w="1080" w:type="dxa"/>
            <w:tcBorders>
              <w:top w:val="single" w:sz="6" w:space="0" w:color="000000"/>
              <w:left w:val="single" w:sz="6" w:space="0" w:color="000000"/>
              <w:bottom w:val="single" w:sz="6" w:space="0" w:color="000000"/>
              <w:right w:val="single" w:sz="6" w:space="0" w:color="000000"/>
            </w:tcBorders>
          </w:tcPr>
          <w:p w14:paraId="3044DC27" w14:textId="77777777" w:rsidR="00FC5566" w:rsidRPr="00FC5566" w:rsidRDefault="00FC5566" w:rsidP="00FC5566">
            <w:pPr>
              <w:ind w:right="5"/>
              <w:jc w:val="center"/>
              <w:rPr>
                <w:spacing w:val="-2"/>
                <w:sz w:val="16"/>
                <w:szCs w:val="16"/>
              </w:rPr>
            </w:pPr>
            <w:r w:rsidRPr="00FC5566">
              <w:rPr>
                <w:spacing w:val="-2"/>
                <w:sz w:val="16"/>
                <w:szCs w:val="16"/>
              </w:rPr>
              <w:t>Repeal</w:t>
            </w:r>
          </w:p>
        </w:tc>
        <w:tc>
          <w:tcPr>
            <w:tcW w:w="2430" w:type="dxa"/>
            <w:tcBorders>
              <w:top w:val="single" w:sz="6" w:space="0" w:color="000000"/>
              <w:left w:val="single" w:sz="6" w:space="0" w:color="000000"/>
              <w:bottom w:val="single" w:sz="6" w:space="0" w:color="000000"/>
              <w:right w:val="single" w:sz="6" w:space="0" w:color="000000"/>
            </w:tcBorders>
          </w:tcPr>
          <w:p w14:paraId="5CBE9B9C" w14:textId="77777777" w:rsidR="00FC5566" w:rsidRPr="00FC5566" w:rsidRDefault="00FC5566" w:rsidP="00FC5566">
            <w:pPr>
              <w:ind w:left="71"/>
              <w:rPr>
                <w:sz w:val="16"/>
                <w:szCs w:val="16"/>
              </w:rPr>
            </w:pPr>
            <w:r w:rsidRPr="00FC5566">
              <w:rPr>
                <w:sz w:val="16"/>
                <w:szCs w:val="16"/>
              </w:rPr>
              <w:t>Section G112.4, Retaining Walls, Sidewalks and Driveways.</w:t>
            </w:r>
          </w:p>
        </w:tc>
        <w:tc>
          <w:tcPr>
            <w:tcW w:w="7099" w:type="dxa"/>
            <w:tcBorders>
              <w:top w:val="single" w:sz="6" w:space="0" w:color="000000"/>
              <w:left w:val="single" w:sz="6" w:space="0" w:color="000000"/>
              <w:bottom w:val="single" w:sz="6" w:space="0" w:color="000000"/>
              <w:right w:val="single" w:sz="6" w:space="0" w:color="000000"/>
            </w:tcBorders>
          </w:tcPr>
          <w:p w14:paraId="1764888A" w14:textId="77777777" w:rsidR="00FC5566" w:rsidRPr="00FC5566" w:rsidRDefault="00FC5566" w:rsidP="00FC5566">
            <w:pPr>
              <w:rPr>
                <w:sz w:val="16"/>
                <w:szCs w:val="16"/>
              </w:rPr>
            </w:pPr>
          </w:p>
        </w:tc>
      </w:tr>
      <w:tr w:rsidR="00FC5566" w:rsidRPr="00FC5566" w14:paraId="6746F15E"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7B73DB26" w14:textId="77777777" w:rsidR="00FC5566" w:rsidRPr="00FC5566" w:rsidRDefault="00FC5566" w:rsidP="00FC5566">
            <w:pPr>
              <w:ind w:right="5"/>
              <w:jc w:val="center"/>
              <w:rPr>
                <w:spacing w:val="-2"/>
                <w:sz w:val="16"/>
                <w:szCs w:val="16"/>
              </w:rPr>
            </w:pPr>
            <w:r w:rsidRPr="00FC5566">
              <w:rPr>
                <w:spacing w:val="-2"/>
                <w:sz w:val="16"/>
                <w:szCs w:val="16"/>
              </w:rPr>
              <w:t>Repeal</w:t>
            </w:r>
          </w:p>
        </w:tc>
        <w:tc>
          <w:tcPr>
            <w:tcW w:w="2430" w:type="dxa"/>
            <w:tcBorders>
              <w:top w:val="single" w:sz="6" w:space="0" w:color="000000"/>
              <w:left w:val="single" w:sz="6" w:space="0" w:color="000000"/>
              <w:bottom w:val="single" w:sz="6" w:space="0" w:color="000000"/>
              <w:right w:val="single" w:sz="6" w:space="0" w:color="000000"/>
            </w:tcBorders>
          </w:tcPr>
          <w:p w14:paraId="26AB3086" w14:textId="77777777" w:rsidR="00FC5566" w:rsidRPr="00FC5566" w:rsidRDefault="00FC5566" w:rsidP="00FC5566">
            <w:pPr>
              <w:ind w:left="71"/>
              <w:rPr>
                <w:sz w:val="16"/>
                <w:szCs w:val="16"/>
              </w:rPr>
            </w:pPr>
            <w:r w:rsidRPr="00FC5566">
              <w:rPr>
                <w:sz w:val="16"/>
                <w:szCs w:val="16"/>
              </w:rPr>
              <w:t>Section G112.5, Swimming Pools.</w:t>
            </w:r>
          </w:p>
        </w:tc>
        <w:tc>
          <w:tcPr>
            <w:tcW w:w="7099" w:type="dxa"/>
            <w:tcBorders>
              <w:top w:val="single" w:sz="6" w:space="0" w:color="000000"/>
              <w:left w:val="single" w:sz="6" w:space="0" w:color="000000"/>
              <w:bottom w:val="single" w:sz="6" w:space="0" w:color="000000"/>
              <w:right w:val="single" w:sz="6" w:space="0" w:color="000000"/>
            </w:tcBorders>
          </w:tcPr>
          <w:p w14:paraId="107157EE" w14:textId="77777777" w:rsidR="00FC5566" w:rsidRPr="00FC5566" w:rsidRDefault="00FC5566" w:rsidP="00FC5566">
            <w:pPr>
              <w:rPr>
                <w:sz w:val="16"/>
                <w:szCs w:val="16"/>
              </w:rPr>
            </w:pPr>
          </w:p>
        </w:tc>
      </w:tr>
      <w:tr w:rsidR="00FC5566" w:rsidRPr="00FC5566" w14:paraId="77F9225D" w14:textId="77777777" w:rsidTr="00B247D5">
        <w:trPr>
          <w:trHeight w:val="187"/>
        </w:trPr>
        <w:tc>
          <w:tcPr>
            <w:tcW w:w="1080" w:type="dxa"/>
            <w:tcBorders>
              <w:top w:val="single" w:sz="6" w:space="0" w:color="000000"/>
              <w:left w:val="single" w:sz="6" w:space="0" w:color="000000"/>
              <w:bottom w:val="single" w:sz="6" w:space="0" w:color="000000"/>
              <w:right w:val="single" w:sz="6" w:space="0" w:color="000000"/>
            </w:tcBorders>
          </w:tcPr>
          <w:p w14:paraId="27A68DEC" w14:textId="77777777" w:rsidR="00FC5566" w:rsidRPr="00FC5566" w:rsidRDefault="00FC5566" w:rsidP="00FC5566">
            <w:pPr>
              <w:ind w:right="5"/>
              <w:jc w:val="center"/>
              <w:rPr>
                <w:spacing w:val="-2"/>
                <w:sz w:val="16"/>
                <w:szCs w:val="16"/>
              </w:rPr>
            </w:pPr>
            <w:r w:rsidRPr="00FC5566">
              <w:rPr>
                <w:spacing w:val="-2"/>
                <w:sz w:val="16"/>
                <w:szCs w:val="16"/>
              </w:rPr>
              <w:lastRenderedPageBreak/>
              <w:t>Repeal</w:t>
            </w:r>
          </w:p>
        </w:tc>
        <w:tc>
          <w:tcPr>
            <w:tcW w:w="2430" w:type="dxa"/>
            <w:tcBorders>
              <w:top w:val="single" w:sz="6" w:space="0" w:color="000000"/>
              <w:left w:val="single" w:sz="6" w:space="0" w:color="000000"/>
              <w:bottom w:val="single" w:sz="6" w:space="0" w:color="000000"/>
              <w:right w:val="single" w:sz="6" w:space="0" w:color="000000"/>
            </w:tcBorders>
          </w:tcPr>
          <w:p w14:paraId="3B9F6A5B" w14:textId="77777777" w:rsidR="00FC5566" w:rsidRPr="00FC5566" w:rsidRDefault="00FC5566" w:rsidP="00FC5566">
            <w:pPr>
              <w:ind w:left="71"/>
              <w:rPr>
                <w:sz w:val="16"/>
                <w:szCs w:val="16"/>
              </w:rPr>
            </w:pPr>
            <w:r w:rsidRPr="00FC5566">
              <w:rPr>
                <w:sz w:val="16"/>
                <w:szCs w:val="16"/>
              </w:rPr>
              <w:t>Section G112.6, Decks, Porches, and Patios.</w:t>
            </w:r>
          </w:p>
        </w:tc>
        <w:tc>
          <w:tcPr>
            <w:tcW w:w="7099" w:type="dxa"/>
            <w:tcBorders>
              <w:top w:val="single" w:sz="6" w:space="0" w:color="000000"/>
              <w:left w:val="single" w:sz="6" w:space="0" w:color="000000"/>
              <w:bottom w:val="single" w:sz="6" w:space="0" w:color="000000"/>
              <w:right w:val="single" w:sz="6" w:space="0" w:color="000000"/>
            </w:tcBorders>
          </w:tcPr>
          <w:p w14:paraId="6DBFF3CE" w14:textId="77777777" w:rsidR="00FC5566" w:rsidRPr="00FC5566" w:rsidRDefault="00FC5566" w:rsidP="00FC5566">
            <w:pPr>
              <w:rPr>
                <w:sz w:val="16"/>
                <w:szCs w:val="16"/>
              </w:rPr>
            </w:pPr>
          </w:p>
        </w:tc>
      </w:tr>
      <w:tr w:rsidR="00FC5566" w:rsidRPr="00FC5566" w14:paraId="3760343A" w14:textId="77777777" w:rsidTr="00B247D5">
        <w:trPr>
          <w:trHeight w:val="187"/>
        </w:trPr>
        <w:tc>
          <w:tcPr>
            <w:tcW w:w="1080" w:type="dxa"/>
            <w:tcBorders>
              <w:top w:val="single" w:sz="6" w:space="0" w:color="000000"/>
              <w:left w:val="single" w:sz="6" w:space="0" w:color="000000"/>
              <w:bottom w:val="single" w:sz="6" w:space="0" w:color="000000"/>
              <w:right w:val="single" w:sz="6" w:space="0" w:color="000000"/>
            </w:tcBorders>
          </w:tcPr>
          <w:p w14:paraId="2BA845CB" w14:textId="77777777" w:rsidR="00FC5566" w:rsidRPr="00FC5566" w:rsidRDefault="00FC5566" w:rsidP="00FC5566">
            <w:pPr>
              <w:ind w:right="5"/>
              <w:jc w:val="center"/>
              <w:rPr>
                <w:spacing w:val="-2"/>
                <w:sz w:val="16"/>
                <w:szCs w:val="16"/>
              </w:rPr>
            </w:pPr>
            <w:r w:rsidRPr="00FC5566">
              <w:rPr>
                <w:spacing w:val="-2"/>
                <w:sz w:val="16"/>
                <w:szCs w:val="16"/>
              </w:rPr>
              <w:t>Repeal</w:t>
            </w:r>
          </w:p>
        </w:tc>
        <w:tc>
          <w:tcPr>
            <w:tcW w:w="2430" w:type="dxa"/>
            <w:tcBorders>
              <w:top w:val="single" w:sz="6" w:space="0" w:color="000000"/>
              <w:left w:val="single" w:sz="6" w:space="0" w:color="000000"/>
              <w:bottom w:val="single" w:sz="6" w:space="0" w:color="000000"/>
              <w:right w:val="single" w:sz="6" w:space="0" w:color="000000"/>
            </w:tcBorders>
          </w:tcPr>
          <w:p w14:paraId="718A47E5" w14:textId="77777777" w:rsidR="00FC5566" w:rsidRPr="00FC5566" w:rsidRDefault="00FC5566" w:rsidP="00FC5566">
            <w:pPr>
              <w:ind w:left="71" w:right="88"/>
              <w:rPr>
                <w:sz w:val="16"/>
                <w:szCs w:val="16"/>
              </w:rPr>
            </w:pPr>
            <w:r w:rsidRPr="00FC5566">
              <w:rPr>
                <w:sz w:val="16"/>
                <w:szCs w:val="16"/>
              </w:rPr>
              <w:t>Section G112.7, Nonstructural Concrete Slabs in Coastal High-Hazard Areas and Coastal A Zones.</w:t>
            </w:r>
          </w:p>
        </w:tc>
        <w:tc>
          <w:tcPr>
            <w:tcW w:w="7099" w:type="dxa"/>
            <w:tcBorders>
              <w:top w:val="single" w:sz="6" w:space="0" w:color="000000"/>
              <w:left w:val="single" w:sz="6" w:space="0" w:color="000000"/>
              <w:bottom w:val="single" w:sz="6" w:space="0" w:color="000000"/>
              <w:right w:val="single" w:sz="6" w:space="0" w:color="000000"/>
            </w:tcBorders>
          </w:tcPr>
          <w:p w14:paraId="60F52383" w14:textId="77777777" w:rsidR="00FC5566" w:rsidRPr="00FC5566" w:rsidRDefault="00FC5566" w:rsidP="00FC5566">
            <w:pPr>
              <w:rPr>
                <w:sz w:val="16"/>
                <w:szCs w:val="16"/>
              </w:rPr>
            </w:pPr>
          </w:p>
        </w:tc>
      </w:tr>
      <w:tr w:rsidR="00FC5566" w:rsidRPr="00FC5566" w14:paraId="7DFBF8E5" w14:textId="77777777" w:rsidTr="00B247D5">
        <w:trPr>
          <w:trHeight w:val="187"/>
        </w:trPr>
        <w:tc>
          <w:tcPr>
            <w:tcW w:w="1080" w:type="dxa"/>
            <w:tcBorders>
              <w:top w:val="single" w:sz="6" w:space="0" w:color="000000"/>
              <w:left w:val="single" w:sz="6" w:space="0" w:color="000000"/>
              <w:bottom w:val="single" w:sz="6" w:space="0" w:color="000000"/>
              <w:right w:val="single" w:sz="6" w:space="0" w:color="000000"/>
            </w:tcBorders>
          </w:tcPr>
          <w:p w14:paraId="00C07488" w14:textId="77777777" w:rsidR="00FC5566" w:rsidRPr="00FC5566" w:rsidRDefault="00FC5566" w:rsidP="00FC5566">
            <w:pPr>
              <w:ind w:right="5"/>
              <w:jc w:val="center"/>
              <w:rPr>
                <w:spacing w:val="-2"/>
                <w:sz w:val="16"/>
                <w:szCs w:val="16"/>
              </w:rPr>
            </w:pPr>
            <w:r w:rsidRPr="00FC5566">
              <w:rPr>
                <w:spacing w:val="-2"/>
                <w:sz w:val="16"/>
                <w:szCs w:val="16"/>
              </w:rPr>
              <w:t>Repeal</w:t>
            </w:r>
          </w:p>
        </w:tc>
        <w:tc>
          <w:tcPr>
            <w:tcW w:w="2430" w:type="dxa"/>
            <w:tcBorders>
              <w:top w:val="single" w:sz="6" w:space="0" w:color="000000"/>
              <w:left w:val="single" w:sz="6" w:space="0" w:color="000000"/>
              <w:bottom w:val="single" w:sz="6" w:space="0" w:color="000000"/>
              <w:right w:val="single" w:sz="6" w:space="0" w:color="000000"/>
            </w:tcBorders>
          </w:tcPr>
          <w:p w14:paraId="7243489D" w14:textId="77777777" w:rsidR="00FC5566" w:rsidRPr="00FC5566" w:rsidRDefault="00FC5566" w:rsidP="00FC5566">
            <w:pPr>
              <w:ind w:left="71"/>
              <w:rPr>
                <w:sz w:val="16"/>
                <w:szCs w:val="16"/>
              </w:rPr>
            </w:pPr>
            <w:r w:rsidRPr="00FC5566">
              <w:rPr>
                <w:sz w:val="16"/>
                <w:szCs w:val="16"/>
              </w:rPr>
              <w:t>Section G112.8, Roads and Watercourse Crossings in Regulated Floodways.</w:t>
            </w:r>
          </w:p>
        </w:tc>
        <w:tc>
          <w:tcPr>
            <w:tcW w:w="7099" w:type="dxa"/>
            <w:tcBorders>
              <w:top w:val="single" w:sz="6" w:space="0" w:color="000000"/>
              <w:left w:val="single" w:sz="6" w:space="0" w:color="000000"/>
              <w:bottom w:val="single" w:sz="6" w:space="0" w:color="000000"/>
              <w:right w:val="single" w:sz="6" w:space="0" w:color="000000"/>
            </w:tcBorders>
          </w:tcPr>
          <w:p w14:paraId="1A45AC9E" w14:textId="77777777" w:rsidR="00FC5566" w:rsidRPr="00FC5566" w:rsidRDefault="00FC5566" w:rsidP="00FC5566">
            <w:pPr>
              <w:rPr>
                <w:sz w:val="16"/>
                <w:szCs w:val="16"/>
              </w:rPr>
            </w:pPr>
          </w:p>
        </w:tc>
      </w:tr>
      <w:tr w:rsidR="00FC5566" w:rsidRPr="00FC5566" w14:paraId="3B676F35" w14:textId="77777777" w:rsidTr="00B247D5">
        <w:trPr>
          <w:trHeight w:val="187"/>
        </w:trPr>
        <w:tc>
          <w:tcPr>
            <w:tcW w:w="1080" w:type="dxa"/>
            <w:tcBorders>
              <w:top w:val="single" w:sz="6" w:space="0" w:color="000000"/>
              <w:left w:val="single" w:sz="6" w:space="0" w:color="000000"/>
              <w:bottom w:val="single" w:sz="6" w:space="0" w:color="000000"/>
              <w:right w:val="single" w:sz="6" w:space="0" w:color="000000"/>
            </w:tcBorders>
          </w:tcPr>
          <w:p w14:paraId="46885EAE"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78A50BDB" w14:textId="77777777" w:rsidR="00FC5566" w:rsidRPr="00FC5566" w:rsidRDefault="00FC5566" w:rsidP="00FC5566">
            <w:pPr>
              <w:ind w:left="71"/>
              <w:rPr>
                <w:sz w:val="16"/>
                <w:szCs w:val="16"/>
              </w:rPr>
            </w:pPr>
            <w:r w:rsidRPr="00FC5566">
              <w:rPr>
                <w:sz w:val="16"/>
                <w:szCs w:val="16"/>
              </w:rPr>
              <w:t>Section G114.1, Utility and Miscellaneous Group U.</w:t>
            </w:r>
          </w:p>
        </w:tc>
        <w:tc>
          <w:tcPr>
            <w:tcW w:w="7099" w:type="dxa"/>
            <w:tcBorders>
              <w:top w:val="single" w:sz="6" w:space="0" w:color="000000"/>
              <w:left w:val="single" w:sz="6" w:space="0" w:color="000000"/>
              <w:bottom w:val="single" w:sz="6" w:space="0" w:color="000000"/>
              <w:right w:val="single" w:sz="6" w:space="0" w:color="000000"/>
            </w:tcBorders>
          </w:tcPr>
          <w:p w14:paraId="6EC4B7CF" w14:textId="77777777" w:rsidR="00FC5566" w:rsidRPr="00FC5566" w:rsidRDefault="00FC5566" w:rsidP="00FC5566">
            <w:pPr>
              <w:ind w:left="78"/>
              <w:rPr>
                <w:sz w:val="16"/>
                <w:szCs w:val="16"/>
              </w:rPr>
            </w:pPr>
            <w:r w:rsidRPr="00FC5566">
              <w:rPr>
                <w:sz w:val="16"/>
                <w:szCs w:val="16"/>
              </w:rPr>
              <w:t>Utility and miscellaneous Group U includes buildings that are accessory in character and miscellaneous structures not classified in any specific occupancy in this code, including, but not limited to, agricultural buildings, aircraft hangars (accessory to a one- or two-family residence), barns, carports, grain silos (accessory to a residential occupancy), greenhouses, livestock shelters, private garages, sheds, and</w:t>
            </w:r>
          </w:p>
          <w:p w14:paraId="0BCC65BB" w14:textId="77777777" w:rsidR="00FC5566" w:rsidRPr="00FC5566" w:rsidRDefault="00FC5566" w:rsidP="00FC5566">
            <w:pPr>
              <w:ind w:left="78"/>
              <w:rPr>
                <w:sz w:val="16"/>
                <w:szCs w:val="16"/>
              </w:rPr>
            </w:pPr>
            <w:r w:rsidRPr="00FC5566">
              <w:rPr>
                <w:sz w:val="16"/>
                <w:szCs w:val="16"/>
              </w:rPr>
              <w:t>stables.</w:t>
            </w:r>
          </w:p>
        </w:tc>
      </w:tr>
    </w:tbl>
    <w:p w14:paraId="0A22078B"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both"/>
        <w:outlineLvl w:val="3"/>
        <w:rPr>
          <w:kern w:val="2"/>
        </w:rPr>
        <w:sectPr w:rsidR="00FC5566" w:rsidRPr="00FC5566" w:rsidSect="00FC5566">
          <w:type w:val="continuous"/>
          <w:pgSz w:w="12240" w:h="15840"/>
          <w:pgMar w:top="720" w:right="864" w:bottom="317" w:left="864" w:header="576" w:footer="432" w:gutter="0"/>
          <w:cols w:space="720"/>
          <w:docGrid w:linePitch="360"/>
        </w:sectPr>
      </w:pPr>
    </w:p>
    <w:p w14:paraId="56881751"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both"/>
        <w:outlineLvl w:val="3"/>
        <w:rPr>
          <w:kern w:val="2"/>
        </w:rPr>
      </w:pPr>
    </w:p>
    <w:p w14:paraId="3DF364A1"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color w:val="000000"/>
          <w:kern w:val="2"/>
          <w:sz w:val="18"/>
        </w:rPr>
      </w:pPr>
      <w:r w:rsidRPr="00FC5566">
        <w:rPr>
          <w:color w:val="000000"/>
          <w:kern w:val="2"/>
          <w:sz w:val="18"/>
        </w:rPr>
        <w:t>AUTHORITY NOTE:</w:t>
      </w:r>
      <w:r w:rsidRPr="00FC5566">
        <w:rPr>
          <w:color w:val="000000"/>
          <w:kern w:val="2"/>
          <w:sz w:val="18"/>
        </w:rPr>
        <w:tab/>
      </w:r>
      <w:r w:rsidRPr="00FC5566">
        <w:rPr>
          <w:kern w:val="2"/>
          <w:sz w:val="18"/>
        </w:rPr>
        <w:t>Promulgated in accordance with R.S. 37:3727-3750.</w:t>
      </w:r>
      <w:r w:rsidRPr="00FC5566">
        <w:rPr>
          <w:color w:val="000000"/>
          <w:kern w:val="2"/>
          <w:sz w:val="18"/>
        </w:rPr>
        <w:t xml:space="preserve"> </w:t>
      </w:r>
    </w:p>
    <w:p w14:paraId="3D684509"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rFonts w:ascii="Calibri" w:hAnsi="Calibri" w:cs="Calibri"/>
          <w:kern w:val="2"/>
          <w:sz w:val="18"/>
        </w:rPr>
      </w:pPr>
      <w:r w:rsidRPr="00FC5566">
        <w:rPr>
          <w:kern w:val="2"/>
          <w:sz w:val="18"/>
        </w:rPr>
        <w:t>HISTORICAL NOTE:</w:t>
      </w:r>
      <w:r w:rsidRPr="00FC5566">
        <w:rPr>
          <w:kern w:val="2"/>
          <w:sz w:val="18"/>
        </w:rPr>
        <w:tab/>
        <w:t xml:space="preserve">Promulgated by the Department of Public Safety and Corrections, State Uniform Construction Code Council, LR 33:291 (February 2007), amended LR 34:93 (January 2008), LR 34:883 (May 2008), LR 34:2205 (October 2008), LR 35:1904 (September 2009), LR 36:2574 (November 2010), effective January 1, 2011, LR 37:601 (February 2011), LR 37:913 (March 2011), repromulgated LR 37:2187 (July 2011), repromulgated LR 37:2726 (September 2011), LR 37:3065 (October 2011), LR 38:1994 (August 2012), amended by the Department of Public Safety and Corrections, Uniform Construction Code Council, LR 39:1825 (July 2013), LR 39:2512 (September 2013), LR 40:2609 (December 2014), amended by the Department of Public Safety and Corrections, </w:t>
      </w:r>
      <w:r w:rsidRPr="00FC5566">
        <w:rPr>
          <w:kern w:val="2"/>
          <w:sz w:val="18"/>
        </w:rPr>
        <w:br w:type="column"/>
      </w:r>
      <w:r w:rsidRPr="00FC5566">
        <w:rPr>
          <w:kern w:val="2"/>
          <w:sz w:val="18"/>
        </w:rPr>
        <w:t>Office of State Fire Marshal, LR 41:2380 (November 2015), amended by the Department of Public Safety and Corrections, Office of the State Fire Marshal, Uniform Construction Code Council, LR 44:75 (January 2018), repromulgated LR 45:912 (July 2019), amended LR 45:1786 (December 2019), LR 48:2578 (October 2022, LR 49:1141 (June 2023), effective August 1, 2023, repromulgated LR 49:1448 (August 2023), LR 50:398 (March 2024), LR 50:403 (March 2024), amended by the Office of the Governor, Uniform Construction Code Commission LR 52:</w:t>
      </w:r>
    </w:p>
    <w:p w14:paraId="642D4E39"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§105.</w:t>
      </w:r>
      <w:bookmarkStart w:id="644" w:name="_Hlk213228518"/>
      <w:r w:rsidRPr="00FC5566">
        <w:rPr>
          <w:b/>
          <w:kern w:val="2"/>
        </w:rPr>
        <w:tab/>
        <w:t>International Existing Building Code</w:t>
      </w:r>
      <w:bookmarkEnd w:id="644"/>
      <w:r w:rsidRPr="00FC5566">
        <w:rPr>
          <w:b/>
          <w:kern w:val="2"/>
        </w:rPr>
        <w:t xml:space="preserve"> </w:t>
      </w:r>
    </w:p>
    <w:p w14:paraId="391EC663"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i/>
          <w:iCs/>
          <w:kern w:val="2"/>
        </w:rPr>
        <w:tab/>
        <w:t xml:space="preserve">International Existing Building Code </w:t>
      </w:r>
      <w:r w:rsidRPr="00FC5566">
        <w:rPr>
          <w:kern w:val="2"/>
        </w:rPr>
        <w:t xml:space="preserve">(IEBC), 2024 Edition, not including Chapter 1, Administration. The applicable </w:t>
      </w:r>
      <w:bookmarkStart w:id="645" w:name="_Hlk213239644"/>
      <w:r w:rsidRPr="00FC5566">
        <w:rPr>
          <w:kern w:val="2"/>
        </w:rPr>
        <w:t>standards referenced in that code are included for regulation of construction within this state</w:t>
      </w:r>
      <w:bookmarkEnd w:id="645"/>
      <w:r w:rsidRPr="00FC5566">
        <w:rPr>
          <w:kern w:val="2"/>
        </w:rPr>
        <w:t xml:space="preserve">. Furthermore, IEBC shall be amended as follows and shall only apply to the International Existing Building Code. </w:t>
      </w:r>
    </w:p>
    <w:p w14:paraId="6CAD8A18"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p w14:paraId="5897BB8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sectPr w:rsidR="00FC5566" w:rsidRPr="00FC5566" w:rsidSect="00FC5566">
          <w:type w:val="continuous"/>
          <w:pgSz w:w="12240" w:h="15840"/>
          <w:pgMar w:top="720" w:right="864" w:bottom="317" w:left="864" w:header="576" w:footer="432" w:gutter="0"/>
          <w:cols w:num="2" w:space="720"/>
          <w:docGrid w:linePitch="360"/>
        </w:sectPr>
      </w:pPr>
    </w:p>
    <w:tbl>
      <w:tblPr>
        <w:tblW w:w="10620"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80"/>
        <w:gridCol w:w="2430"/>
        <w:gridCol w:w="7110"/>
      </w:tblGrid>
      <w:tr w:rsidR="00FC5566" w:rsidRPr="00FC5566" w14:paraId="2C3BE89A" w14:textId="77777777" w:rsidTr="00B247D5">
        <w:trPr>
          <w:trHeight w:val="259"/>
        </w:trPr>
        <w:tc>
          <w:tcPr>
            <w:tcW w:w="1080" w:type="dxa"/>
          </w:tcPr>
          <w:p w14:paraId="5001C072"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430" w:type="dxa"/>
          </w:tcPr>
          <w:p w14:paraId="6E40BB2A" w14:textId="77777777" w:rsidR="00FC5566" w:rsidRPr="00FC5566" w:rsidRDefault="00FC5566" w:rsidP="00FC5566">
            <w:pPr>
              <w:widowControl w:val="0"/>
              <w:autoSpaceDE w:val="0"/>
              <w:autoSpaceDN w:val="0"/>
              <w:ind w:left="53"/>
              <w:rPr>
                <w:sz w:val="16"/>
                <w:szCs w:val="16"/>
              </w:rPr>
            </w:pPr>
            <w:r w:rsidRPr="00FC5566">
              <w:rPr>
                <w:sz w:val="16"/>
                <w:szCs w:val="16"/>
              </w:rPr>
              <w:t>Chapter 2, Definitions.</w:t>
            </w:r>
          </w:p>
        </w:tc>
        <w:tc>
          <w:tcPr>
            <w:tcW w:w="7110" w:type="dxa"/>
          </w:tcPr>
          <w:p w14:paraId="44592DB9" w14:textId="77777777" w:rsidR="00FC5566" w:rsidRPr="00FC5566" w:rsidRDefault="00FC5566" w:rsidP="00FC5566">
            <w:pPr>
              <w:widowControl w:val="0"/>
              <w:autoSpaceDE w:val="0"/>
              <w:autoSpaceDN w:val="0"/>
              <w:ind w:left="108"/>
              <w:rPr>
                <w:sz w:val="16"/>
                <w:szCs w:val="16"/>
              </w:rPr>
            </w:pPr>
            <w:r w:rsidRPr="00FC5566">
              <w:rPr>
                <w:sz w:val="16"/>
                <w:szCs w:val="16"/>
              </w:rPr>
              <w:t xml:space="preserve"> </w:t>
            </w:r>
          </w:p>
        </w:tc>
      </w:tr>
      <w:tr w:rsidR="00FC5566" w:rsidRPr="00FC5566" w14:paraId="4FD22585" w14:textId="77777777" w:rsidTr="00B247D5">
        <w:trPr>
          <w:trHeight w:val="259"/>
        </w:trPr>
        <w:tc>
          <w:tcPr>
            <w:tcW w:w="1080" w:type="dxa"/>
          </w:tcPr>
          <w:p w14:paraId="11571FFC" w14:textId="77777777" w:rsidR="00FC5566" w:rsidRPr="00FC5566" w:rsidRDefault="00FC5566" w:rsidP="00FC5566">
            <w:pPr>
              <w:widowControl w:val="0"/>
              <w:autoSpaceDE w:val="0"/>
              <w:autoSpaceDN w:val="0"/>
              <w:jc w:val="center"/>
              <w:rPr>
                <w:sz w:val="16"/>
                <w:szCs w:val="16"/>
              </w:rPr>
            </w:pPr>
            <w:r w:rsidRPr="00FC5566">
              <w:rPr>
                <w:spacing w:val="-2"/>
                <w:sz w:val="16"/>
                <w:szCs w:val="16"/>
              </w:rPr>
              <w:t>Amend</w:t>
            </w:r>
          </w:p>
        </w:tc>
        <w:tc>
          <w:tcPr>
            <w:tcW w:w="2430" w:type="dxa"/>
          </w:tcPr>
          <w:p w14:paraId="5672B753" w14:textId="77777777" w:rsidR="00FC5566" w:rsidRPr="00FC5566" w:rsidRDefault="00FC5566" w:rsidP="00FC5566">
            <w:pPr>
              <w:widowControl w:val="0"/>
              <w:autoSpaceDE w:val="0"/>
              <w:autoSpaceDN w:val="0"/>
              <w:ind w:left="53"/>
              <w:rPr>
                <w:sz w:val="16"/>
                <w:szCs w:val="16"/>
              </w:rPr>
            </w:pPr>
            <w:r w:rsidRPr="00FC5566">
              <w:rPr>
                <w:sz w:val="16"/>
                <w:szCs w:val="16"/>
              </w:rPr>
              <w:t>Section 201.5, General.</w:t>
            </w:r>
          </w:p>
        </w:tc>
        <w:tc>
          <w:tcPr>
            <w:tcW w:w="7110" w:type="dxa"/>
          </w:tcPr>
          <w:p w14:paraId="09EFCE83" w14:textId="77777777" w:rsidR="00FC5566" w:rsidRPr="00FC5566" w:rsidRDefault="00FC5566" w:rsidP="00FC5566">
            <w:pPr>
              <w:widowControl w:val="0"/>
              <w:autoSpaceDE w:val="0"/>
              <w:autoSpaceDN w:val="0"/>
              <w:ind w:left="108"/>
              <w:rPr>
                <w:sz w:val="16"/>
                <w:szCs w:val="16"/>
              </w:rPr>
            </w:pPr>
          </w:p>
        </w:tc>
      </w:tr>
      <w:tr w:rsidR="00FC5566" w:rsidRPr="00FC5566" w14:paraId="725F0D45" w14:textId="77777777" w:rsidTr="00B247D5">
        <w:trPr>
          <w:trHeight w:val="184"/>
        </w:trPr>
        <w:tc>
          <w:tcPr>
            <w:tcW w:w="1080" w:type="dxa"/>
          </w:tcPr>
          <w:p w14:paraId="4BF6466B"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Adopt</w:t>
            </w:r>
          </w:p>
        </w:tc>
        <w:tc>
          <w:tcPr>
            <w:tcW w:w="2430" w:type="dxa"/>
          </w:tcPr>
          <w:p w14:paraId="41F84E50" w14:textId="77777777" w:rsidR="00FC5566" w:rsidRPr="00FC5566" w:rsidRDefault="00FC5566" w:rsidP="00FC5566">
            <w:pPr>
              <w:widowControl w:val="0"/>
              <w:autoSpaceDE w:val="0"/>
              <w:autoSpaceDN w:val="0"/>
              <w:ind w:left="53"/>
              <w:rPr>
                <w:sz w:val="16"/>
                <w:szCs w:val="16"/>
              </w:rPr>
            </w:pPr>
            <w:r w:rsidRPr="00FC5566">
              <w:rPr>
                <w:sz w:val="16"/>
                <w:szCs w:val="16"/>
              </w:rPr>
              <w:t>Section 201.5, Reference Standards.</w:t>
            </w:r>
          </w:p>
        </w:tc>
        <w:tc>
          <w:tcPr>
            <w:tcW w:w="7110" w:type="dxa"/>
          </w:tcPr>
          <w:p w14:paraId="6DE12BED" w14:textId="77777777" w:rsidR="00FC5566" w:rsidRPr="00FC5566" w:rsidRDefault="00FC5566" w:rsidP="00FC5566">
            <w:pPr>
              <w:widowControl w:val="0"/>
              <w:autoSpaceDE w:val="0"/>
              <w:autoSpaceDN w:val="0"/>
              <w:ind w:left="108"/>
              <w:rPr>
                <w:sz w:val="16"/>
                <w:szCs w:val="16"/>
              </w:rPr>
            </w:pPr>
            <w:r w:rsidRPr="00FC5566">
              <w:rPr>
                <w:sz w:val="16"/>
                <w:szCs w:val="16"/>
              </w:rPr>
              <w:t>The applicable standards referenced in this code are included for regulation of construction within this state.</w:t>
            </w:r>
          </w:p>
        </w:tc>
      </w:tr>
      <w:tr w:rsidR="00FC5566" w:rsidRPr="00FC5566" w14:paraId="642F7F2B" w14:textId="77777777" w:rsidTr="00B247D5">
        <w:trPr>
          <w:trHeight w:val="184"/>
        </w:trPr>
        <w:tc>
          <w:tcPr>
            <w:tcW w:w="1080" w:type="dxa"/>
          </w:tcPr>
          <w:p w14:paraId="438CF8BE"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Adopt</w:t>
            </w:r>
          </w:p>
        </w:tc>
        <w:tc>
          <w:tcPr>
            <w:tcW w:w="2430" w:type="dxa"/>
          </w:tcPr>
          <w:p w14:paraId="122F616D" w14:textId="77777777" w:rsidR="00FC5566" w:rsidRPr="00FC5566" w:rsidRDefault="00FC5566" w:rsidP="00FC5566">
            <w:pPr>
              <w:widowControl w:val="0"/>
              <w:autoSpaceDE w:val="0"/>
              <w:autoSpaceDN w:val="0"/>
              <w:ind w:left="53"/>
              <w:rPr>
                <w:sz w:val="16"/>
                <w:szCs w:val="16"/>
              </w:rPr>
            </w:pPr>
            <w:r w:rsidRPr="00FC5566">
              <w:rPr>
                <w:sz w:val="16"/>
                <w:szCs w:val="16"/>
              </w:rPr>
              <w:t>Section 201.6, Scope.</w:t>
            </w:r>
          </w:p>
        </w:tc>
        <w:tc>
          <w:tcPr>
            <w:tcW w:w="7110" w:type="dxa"/>
          </w:tcPr>
          <w:p w14:paraId="3EB94241" w14:textId="77777777" w:rsidR="00FC5566" w:rsidRPr="00FC5566" w:rsidRDefault="00FC5566" w:rsidP="00FC5566">
            <w:pPr>
              <w:widowControl w:val="0"/>
              <w:autoSpaceDE w:val="0"/>
              <w:autoSpaceDN w:val="0"/>
              <w:ind w:left="108"/>
              <w:rPr>
                <w:sz w:val="16"/>
                <w:szCs w:val="16"/>
              </w:rPr>
            </w:pPr>
            <w:r w:rsidRPr="00FC5566">
              <w:rPr>
                <w:sz w:val="16"/>
                <w:szCs w:val="16"/>
              </w:rPr>
              <w:t>The provisions of this code shall apply to the repair, alteration, change of occupancy, addition to and relocation of existing buildings.</w:t>
            </w:r>
          </w:p>
        </w:tc>
      </w:tr>
      <w:tr w:rsidR="00FC5566" w:rsidRPr="00FC5566" w14:paraId="05E2745F" w14:textId="77777777" w:rsidTr="00B247D5">
        <w:trPr>
          <w:trHeight w:val="184"/>
        </w:trPr>
        <w:tc>
          <w:tcPr>
            <w:tcW w:w="1080" w:type="dxa"/>
          </w:tcPr>
          <w:p w14:paraId="0D2E805F"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430" w:type="dxa"/>
          </w:tcPr>
          <w:p w14:paraId="4BFF77A1" w14:textId="77777777" w:rsidR="00FC5566" w:rsidRPr="00FC5566" w:rsidRDefault="00FC5566" w:rsidP="00FC5566">
            <w:pPr>
              <w:widowControl w:val="0"/>
              <w:autoSpaceDE w:val="0"/>
              <w:autoSpaceDN w:val="0"/>
              <w:ind w:left="53"/>
              <w:rPr>
                <w:sz w:val="16"/>
                <w:szCs w:val="16"/>
              </w:rPr>
            </w:pPr>
            <w:r w:rsidRPr="00FC5566">
              <w:rPr>
                <w:sz w:val="16"/>
                <w:szCs w:val="16"/>
              </w:rPr>
              <w:t>Chapter 5, Prescriptive Compliance Method.</w:t>
            </w:r>
          </w:p>
        </w:tc>
        <w:tc>
          <w:tcPr>
            <w:tcW w:w="7110" w:type="dxa"/>
          </w:tcPr>
          <w:p w14:paraId="229D4165" w14:textId="77777777" w:rsidR="00FC5566" w:rsidRPr="00FC5566" w:rsidRDefault="00FC5566" w:rsidP="00FC5566">
            <w:pPr>
              <w:widowControl w:val="0"/>
              <w:autoSpaceDE w:val="0"/>
              <w:autoSpaceDN w:val="0"/>
              <w:ind w:left="108"/>
              <w:rPr>
                <w:sz w:val="16"/>
                <w:szCs w:val="16"/>
              </w:rPr>
            </w:pPr>
          </w:p>
        </w:tc>
      </w:tr>
      <w:tr w:rsidR="00FC5566" w:rsidRPr="00FC5566" w14:paraId="777817B4" w14:textId="77777777" w:rsidTr="00B247D5">
        <w:trPr>
          <w:trHeight w:val="184"/>
        </w:trPr>
        <w:tc>
          <w:tcPr>
            <w:tcW w:w="1080" w:type="dxa"/>
          </w:tcPr>
          <w:p w14:paraId="5B970839"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Repeal</w:t>
            </w:r>
          </w:p>
        </w:tc>
        <w:tc>
          <w:tcPr>
            <w:tcW w:w="2430" w:type="dxa"/>
          </w:tcPr>
          <w:p w14:paraId="4C2356E3" w14:textId="77777777" w:rsidR="00FC5566" w:rsidRPr="00FC5566" w:rsidRDefault="00FC5566" w:rsidP="00FC5566">
            <w:pPr>
              <w:widowControl w:val="0"/>
              <w:autoSpaceDE w:val="0"/>
              <w:autoSpaceDN w:val="0"/>
              <w:ind w:left="53"/>
              <w:rPr>
                <w:sz w:val="16"/>
                <w:szCs w:val="16"/>
              </w:rPr>
            </w:pPr>
            <w:r w:rsidRPr="00FC5566">
              <w:rPr>
                <w:sz w:val="16"/>
                <w:szCs w:val="16"/>
              </w:rPr>
              <w:t>Section 502.6, Enhanced Classroom Acoustics.</w:t>
            </w:r>
          </w:p>
        </w:tc>
        <w:tc>
          <w:tcPr>
            <w:tcW w:w="7110" w:type="dxa"/>
          </w:tcPr>
          <w:p w14:paraId="02C916B0" w14:textId="77777777" w:rsidR="00FC5566" w:rsidRPr="00FC5566" w:rsidRDefault="00FC5566" w:rsidP="00FC5566">
            <w:pPr>
              <w:widowControl w:val="0"/>
              <w:autoSpaceDE w:val="0"/>
              <w:autoSpaceDN w:val="0"/>
              <w:ind w:left="108"/>
              <w:rPr>
                <w:sz w:val="16"/>
                <w:szCs w:val="16"/>
              </w:rPr>
            </w:pPr>
          </w:p>
        </w:tc>
      </w:tr>
      <w:tr w:rsidR="00FC5566" w:rsidRPr="00FC5566" w14:paraId="241A3D8F" w14:textId="77777777" w:rsidTr="00B247D5">
        <w:trPr>
          <w:trHeight w:val="184"/>
        </w:trPr>
        <w:tc>
          <w:tcPr>
            <w:tcW w:w="1080" w:type="dxa"/>
          </w:tcPr>
          <w:p w14:paraId="55325651" w14:textId="77777777" w:rsidR="00FC5566" w:rsidRPr="00FC5566" w:rsidRDefault="00FC5566" w:rsidP="00FC5566">
            <w:pPr>
              <w:widowControl w:val="0"/>
              <w:autoSpaceDE w:val="0"/>
              <w:autoSpaceDN w:val="0"/>
              <w:jc w:val="center"/>
              <w:rPr>
                <w:sz w:val="16"/>
                <w:szCs w:val="16"/>
              </w:rPr>
            </w:pPr>
            <w:r w:rsidRPr="00FC5566">
              <w:rPr>
                <w:spacing w:val="-2"/>
                <w:sz w:val="16"/>
                <w:szCs w:val="16"/>
              </w:rPr>
              <w:t>Repeal</w:t>
            </w:r>
          </w:p>
        </w:tc>
        <w:tc>
          <w:tcPr>
            <w:tcW w:w="2430" w:type="dxa"/>
          </w:tcPr>
          <w:p w14:paraId="072650FF" w14:textId="77777777" w:rsidR="00FC5566" w:rsidRPr="00FC5566" w:rsidRDefault="00FC5566" w:rsidP="00FC5566">
            <w:pPr>
              <w:widowControl w:val="0"/>
              <w:autoSpaceDE w:val="0"/>
              <w:autoSpaceDN w:val="0"/>
              <w:ind w:left="53"/>
              <w:rPr>
                <w:sz w:val="16"/>
                <w:szCs w:val="16"/>
              </w:rPr>
            </w:pPr>
            <w:r w:rsidRPr="00FC5566">
              <w:rPr>
                <w:sz w:val="16"/>
                <w:szCs w:val="16"/>
              </w:rPr>
              <w:t>Section 503.18, Enhanced Classroom Acoustics.</w:t>
            </w:r>
          </w:p>
        </w:tc>
        <w:tc>
          <w:tcPr>
            <w:tcW w:w="7110" w:type="dxa"/>
          </w:tcPr>
          <w:p w14:paraId="63FE0BDE" w14:textId="77777777" w:rsidR="00FC5566" w:rsidRPr="00FC5566" w:rsidRDefault="00FC5566" w:rsidP="00FC5566">
            <w:pPr>
              <w:widowControl w:val="0"/>
              <w:autoSpaceDE w:val="0"/>
              <w:autoSpaceDN w:val="0"/>
              <w:ind w:left="108"/>
              <w:rPr>
                <w:sz w:val="16"/>
                <w:szCs w:val="16"/>
              </w:rPr>
            </w:pPr>
          </w:p>
        </w:tc>
      </w:tr>
      <w:tr w:rsidR="00FC5566" w:rsidRPr="00FC5566" w14:paraId="568BBEAD" w14:textId="77777777" w:rsidTr="00B247D5">
        <w:trPr>
          <w:trHeight w:val="181"/>
        </w:trPr>
        <w:tc>
          <w:tcPr>
            <w:tcW w:w="1080" w:type="dxa"/>
          </w:tcPr>
          <w:p w14:paraId="1DB85EBC" w14:textId="77777777" w:rsidR="00FC5566" w:rsidRPr="00FC5566" w:rsidRDefault="00FC5566" w:rsidP="00FC5566">
            <w:pPr>
              <w:widowControl w:val="0"/>
              <w:autoSpaceDE w:val="0"/>
              <w:autoSpaceDN w:val="0"/>
              <w:jc w:val="center"/>
              <w:rPr>
                <w:sz w:val="16"/>
                <w:szCs w:val="16"/>
              </w:rPr>
            </w:pPr>
            <w:r w:rsidRPr="00FC5566">
              <w:rPr>
                <w:spacing w:val="-2"/>
                <w:sz w:val="16"/>
                <w:szCs w:val="16"/>
              </w:rPr>
              <w:t>Repeal</w:t>
            </w:r>
          </w:p>
        </w:tc>
        <w:tc>
          <w:tcPr>
            <w:tcW w:w="2430" w:type="dxa"/>
          </w:tcPr>
          <w:p w14:paraId="45170639" w14:textId="77777777" w:rsidR="00FC5566" w:rsidRPr="00FC5566" w:rsidRDefault="00FC5566" w:rsidP="00FC5566">
            <w:pPr>
              <w:widowControl w:val="0"/>
              <w:autoSpaceDE w:val="0"/>
              <w:autoSpaceDN w:val="0"/>
              <w:ind w:left="53"/>
              <w:rPr>
                <w:sz w:val="16"/>
                <w:szCs w:val="16"/>
              </w:rPr>
            </w:pPr>
            <w:r w:rsidRPr="00FC5566">
              <w:rPr>
                <w:sz w:val="16"/>
                <w:szCs w:val="16"/>
              </w:rPr>
              <w:t>Section 506.6, Enhanced Classroom Acoustics.</w:t>
            </w:r>
          </w:p>
        </w:tc>
        <w:tc>
          <w:tcPr>
            <w:tcW w:w="7110" w:type="dxa"/>
          </w:tcPr>
          <w:p w14:paraId="1F568DD4" w14:textId="77777777" w:rsidR="00FC5566" w:rsidRPr="00FC5566" w:rsidRDefault="00FC5566" w:rsidP="00FC5566">
            <w:pPr>
              <w:widowControl w:val="0"/>
              <w:autoSpaceDE w:val="0"/>
              <w:autoSpaceDN w:val="0"/>
              <w:ind w:left="108"/>
              <w:rPr>
                <w:sz w:val="16"/>
                <w:szCs w:val="16"/>
              </w:rPr>
            </w:pPr>
          </w:p>
        </w:tc>
      </w:tr>
      <w:tr w:rsidR="00FC5566" w:rsidRPr="00FC5566" w14:paraId="4A1DF982" w14:textId="77777777" w:rsidTr="00B247D5">
        <w:trPr>
          <w:trHeight w:val="259"/>
        </w:trPr>
        <w:tc>
          <w:tcPr>
            <w:tcW w:w="1080" w:type="dxa"/>
          </w:tcPr>
          <w:p w14:paraId="4A1EE9AF"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430" w:type="dxa"/>
          </w:tcPr>
          <w:p w14:paraId="1EF7BB90" w14:textId="77777777" w:rsidR="00FC5566" w:rsidRPr="00FC5566" w:rsidRDefault="00FC5566" w:rsidP="00FC5566">
            <w:pPr>
              <w:widowControl w:val="0"/>
              <w:autoSpaceDE w:val="0"/>
              <w:autoSpaceDN w:val="0"/>
              <w:ind w:left="53"/>
              <w:rPr>
                <w:sz w:val="16"/>
                <w:szCs w:val="16"/>
              </w:rPr>
            </w:pPr>
            <w:r w:rsidRPr="00FC5566">
              <w:rPr>
                <w:sz w:val="16"/>
                <w:szCs w:val="16"/>
              </w:rPr>
              <w:t>Chapter 9, Alterations-Level 3.</w:t>
            </w:r>
          </w:p>
        </w:tc>
        <w:tc>
          <w:tcPr>
            <w:tcW w:w="7110" w:type="dxa"/>
          </w:tcPr>
          <w:p w14:paraId="20E346C0" w14:textId="77777777" w:rsidR="00FC5566" w:rsidRPr="00FC5566" w:rsidRDefault="00FC5566" w:rsidP="00FC5566">
            <w:pPr>
              <w:widowControl w:val="0"/>
              <w:autoSpaceDE w:val="0"/>
              <w:autoSpaceDN w:val="0"/>
              <w:ind w:left="108"/>
              <w:rPr>
                <w:sz w:val="16"/>
                <w:szCs w:val="16"/>
              </w:rPr>
            </w:pPr>
          </w:p>
        </w:tc>
      </w:tr>
      <w:tr w:rsidR="00FC5566" w:rsidRPr="00FC5566" w14:paraId="705690F4" w14:textId="77777777" w:rsidTr="00B247D5">
        <w:trPr>
          <w:trHeight w:val="184"/>
        </w:trPr>
        <w:tc>
          <w:tcPr>
            <w:tcW w:w="1080" w:type="dxa"/>
          </w:tcPr>
          <w:p w14:paraId="7AF9CE2F" w14:textId="77777777" w:rsidR="00FC5566" w:rsidRPr="00FC5566" w:rsidRDefault="00FC5566" w:rsidP="00FC5566">
            <w:pPr>
              <w:widowControl w:val="0"/>
              <w:autoSpaceDE w:val="0"/>
              <w:autoSpaceDN w:val="0"/>
              <w:jc w:val="center"/>
              <w:rPr>
                <w:sz w:val="16"/>
                <w:szCs w:val="16"/>
              </w:rPr>
            </w:pPr>
            <w:r w:rsidRPr="00FC5566">
              <w:rPr>
                <w:spacing w:val="-2"/>
                <w:sz w:val="16"/>
                <w:szCs w:val="16"/>
              </w:rPr>
              <w:t>Repeal</w:t>
            </w:r>
          </w:p>
        </w:tc>
        <w:tc>
          <w:tcPr>
            <w:tcW w:w="2430" w:type="dxa"/>
          </w:tcPr>
          <w:p w14:paraId="5C67D8BC" w14:textId="77777777" w:rsidR="00FC5566" w:rsidRPr="00FC5566" w:rsidRDefault="00FC5566" w:rsidP="00FC5566">
            <w:pPr>
              <w:widowControl w:val="0"/>
              <w:autoSpaceDE w:val="0"/>
              <w:autoSpaceDN w:val="0"/>
              <w:ind w:left="53"/>
              <w:rPr>
                <w:sz w:val="16"/>
                <w:szCs w:val="16"/>
              </w:rPr>
            </w:pPr>
            <w:r w:rsidRPr="00FC5566">
              <w:rPr>
                <w:sz w:val="16"/>
                <w:szCs w:val="16"/>
              </w:rPr>
              <w:t>Section 903.4, Enhanced Classroom Acoustics.</w:t>
            </w:r>
          </w:p>
        </w:tc>
        <w:tc>
          <w:tcPr>
            <w:tcW w:w="7110" w:type="dxa"/>
          </w:tcPr>
          <w:p w14:paraId="16F28149" w14:textId="77777777" w:rsidR="00FC5566" w:rsidRPr="00FC5566" w:rsidRDefault="00FC5566" w:rsidP="00FC5566">
            <w:pPr>
              <w:widowControl w:val="0"/>
              <w:autoSpaceDE w:val="0"/>
              <w:autoSpaceDN w:val="0"/>
              <w:ind w:left="108"/>
              <w:rPr>
                <w:sz w:val="16"/>
                <w:szCs w:val="16"/>
              </w:rPr>
            </w:pPr>
          </w:p>
        </w:tc>
      </w:tr>
      <w:tr w:rsidR="00FC5566" w:rsidRPr="00FC5566" w14:paraId="1E53D35F" w14:textId="77777777" w:rsidTr="00B247D5">
        <w:trPr>
          <w:trHeight w:val="259"/>
        </w:trPr>
        <w:tc>
          <w:tcPr>
            <w:tcW w:w="1080" w:type="dxa"/>
          </w:tcPr>
          <w:p w14:paraId="4403CCC3"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430" w:type="dxa"/>
          </w:tcPr>
          <w:p w14:paraId="60D332E0" w14:textId="77777777" w:rsidR="00FC5566" w:rsidRPr="00FC5566" w:rsidRDefault="00FC5566" w:rsidP="00FC5566">
            <w:pPr>
              <w:widowControl w:val="0"/>
              <w:autoSpaceDE w:val="0"/>
              <w:autoSpaceDN w:val="0"/>
              <w:ind w:left="53"/>
              <w:rPr>
                <w:sz w:val="16"/>
                <w:szCs w:val="16"/>
              </w:rPr>
            </w:pPr>
            <w:r w:rsidRPr="00FC5566">
              <w:rPr>
                <w:sz w:val="16"/>
                <w:szCs w:val="16"/>
              </w:rPr>
              <w:t>Chapter 10, Change of Occupancy.</w:t>
            </w:r>
          </w:p>
        </w:tc>
        <w:tc>
          <w:tcPr>
            <w:tcW w:w="7110" w:type="dxa"/>
          </w:tcPr>
          <w:p w14:paraId="215393A5" w14:textId="77777777" w:rsidR="00FC5566" w:rsidRPr="00FC5566" w:rsidRDefault="00FC5566" w:rsidP="00FC5566">
            <w:pPr>
              <w:widowControl w:val="0"/>
              <w:autoSpaceDE w:val="0"/>
              <w:autoSpaceDN w:val="0"/>
              <w:ind w:left="108"/>
              <w:rPr>
                <w:sz w:val="16"/>
                <w:szCs w:val="16"/>
              </w:rPr>
            </w:pPr>
          </w:p>
        </w:tc>
      </w:tr>
      <w:tr w:rsidR="00FC5566" w:rsidRPr="00FC5566" w14:paraId="0B4FFFE4" w14:textId="77777777" w:rsidTr="00B247D5">
        <w:trPr>
          <w:trHeight w:val="184"/>
        </w:trPr>
        <w:tc>
          <w:tcPr>
            <w:tcW w:w="1080" w:type="dxa"/>
          </w:tcPr>
          <w:p w14:paraId="10E0A05B" w14:textId="77777777" w:rsidR="00FC5566" w:rsidRPr="00FC5566" w:rsidRDefault="00FC5566" w:rsidP="00FC5566">
            <w:pPr>
              <w:widowControl w:val="0"/>
              <w:autoSpaceDE w:val="0"/>
              <w:autoSpaceDN w:val="0"/>
              <w:jc w:val="center"/>
              <w:rPr>
                <w:sz w:val="16"/>
                <w:szCs w:val="16"/>
              </w:rPr>
            </w:pPr>
            <w:r w:rsidRPr="00FC5566">
              <w:rPr>
                <w:spacing w:val="-2"/>
                <w:sz w:val="16"/>
                <w:szCs w:val="16"/>
              </w:rPr>
              <w:t>Repeal</w:t>
            </w:r>
          </w:p>
        </w:tc>
        <w:tc>
          <w:tcPr>
            <w:tcW w:w="2430" w:type="dxa"/>
          </w:tcPr>
          <w:p w14:paraId="1474896B" w14:textId="77777777" w:rsidR="00FC5566" w:rsidRPr="00FC5566" w:rsidRDefault="00FC5566" w:rsidP="00FC5566">
            <w:pPr>
              <w:widowControl w:val="0"/>
              <w:autoSpaceDE w:val="0"/>
              <w:autoSpaceDN w:val="0"/>
              <w:ind w:left="53"/>
              <w:rPr>
                <w:sz w:val="16"/>
                <w:szCs w:val="16"/>
              </w:rPr>
            </w:pPr>
            <w:r w:rsidRPr="00FC5566">
              <w:rPr>
                <w:sz w:val="16"/>
                <w:szCs w:val="16"/>
              </w:rPr>
              <w:t>Section 1011.4, Enhanced Classroom Acoustics.</w:t>
            </w:r>
          </w:p>
        </w:tc>
        <w:tc>
          <w:tcPr>
            <w:tcW w:w="7110" w:type="dxa"/>
          </w:tcPr>
          <w:p w14:paraId="55C896DA" w14:textId="77777777" w:rsidR="00FC5566" w:rsidRPr="00FC5566" w:rsidRDefault="00FC5566" w:rsidP="00FC5566">
            <w:pPr>
              <w:widowControl w:val="0"/>
              <w:autoSpaceDE w:val="0"/>
              <w:autoSpaceDN w:val="0"/>
              <w:ind w:left="108"/>
              <w:rPr>
                <w:sz w:val="16"/>
                <w:szCs w:val="16"/>
              </w:rPr>
            </w:pPr>
          </w:p>
        </w:tc>
      </w:tr>
      <w:tr w:rsidR="00FC5566" w:rsidRPr="00FC5566" w14:paraId="351C128C" w14:textId="77777777" w:rsidTr="00B247D5">
        <w:trPr>
          <w:trHeight w:val="259"/>
        </w:trPr>
        <w:tc>
          <w:tcPr>
            <w:tcW w:w="1080" w:type="dxa"/>
          </w:tcPr>
          <w:p w14:paraId="17188760"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430" w:type="dxa"/>
          </w:tcPr>
          <w:p w14:paraId="230E3489" w14:textId="77777777" w:rsidR="00FC5566" w:rsidRPr="00FC5566" w:rsidRDefault="00FC5566" w:rsidP="00FC5566">
            <w:pPr>
              <w:widowControl w:val="0"/>
              <w:autoSpaceDE w:val="0"/>
              <w:autoSpaceDN w:val="0"/>
              <w:ind w:left="53"/>
              <w:rPr>
                <w:sz w:val="16"/>
                <w:szCs w:val="16"/>
              </w:rPr>
            </w:pPr>
            <w:r w:rsidRPr="00FC5566">
              <w:rPr>
                <w:sz w:val="16"/>
                <w:szCs w:val="16"/>
              </w:rPr>
              <w:t>Chapter 11, Additions.</w:t>
            </w:r>
          </w:p>
        </w:tc>
        <w:tc>
          <w:tcPr>
            <w:tcW w:w="7110" w:type="dxa"/>
          </w:tcPr>
          <w:p w14:paraId="73022A42" w14:textId="77777777" w:rsidR="00FC5566" w:rsidRPr="00FC5566" w:rsidRDefault="00FC5566" w:rsidP="00FC5566">
            <w:pPr>
              <w:widowControl w:val="0"/>
              <w:autoSpaceDE w:val="0"/>
              <w:autoSpaceDN w:val="0"/>
              <w:ind w:left="108"/>
              <w:rPr>
                <w:sz w:val="16"/>
                <w:szCs w:val="16"/>
              </w:rPr>
            </w:pPr>
          </w:p>
        </w:tc>
      </w:tr>
      <w:tr w:rsidR="00FC5566" w:rsidRPr="00FC5566" w14:paraId="371BE1C7" w14:textId="77777777" w:rsidTr="00B247D5">
        <w:trPr>
          <w:trHeight w:val="184"/>
        </w:trPr>
        <w:tc>
          <w:tcPr>
            <w:tcW w:w="1080" w:type="dxa"/>
          </w:tcPr>
          <w:p w14:paraId="11006658" w14:textId="77777777" w:rsidR="00FC5566" w:rsidRPr="00FC5566" w:rsidRDefault="00FC5566" w:rsidP="00FC5566">
            <w:pPr>
              <w:widowControl w:val="0"/>
              <w:autoSpaceDE w:val="0"/>
              <w:autoSpaceDN w:val="0"/>
              <w:jc w:val="center"/>
              <w:rPr>
                <w:sz w:val="16"/>
                <w:szCs w:val="16"/>
              </w:rPr>
            </w:pPr>
            <w:r w:rsidRPr="00FC5566">
              <w:rPr>
                <w:spacing w:val="-2"/>
                <w:sz w:val="16"/>
                <w:szCs w:val="16"/>
              </w:rPr>
              <w:t>Repeal</w:t>
            </w:r>
          </w:p>
        </w:tc>
        <w:tc>
          <w:tcPr>
            <w:tcW w:w="2430" w:type="dxa"/>
          </w:tcPr>
          <w:p w14:paraId="5762FD82" w14:textId="77777777" w:rsidR="00FC5566" w:rsidRPr="00FC5566" w:rsidRDefault="00FC5566" w:rsidP="00FC5566">
            <w:pPr>
              <w:widowControl w:val="0"/>
              <w:autoSpaceDE w:val="0"/>
              <w:autoSpaceDN w:val="0"/>
              <w:ind w:left="53"/>
              <w:rPr>
                <w:sz w:val="16"/>
                <w:szCs w:val="16"/>
              </w:rPr>
            </w:pPr>
            <w:r w:rsidRPr="00FC5566">
              <w:rPr>
                <w:sz w:val="16"/>
                <w:szCs w:val="16"/>
              </w:rPr>
              <w:t>Section 1101.6, Enhanced Classroom Acoustics.</w:t>
            </w:r>
          </w:p>
        </w:tc>
        <w:tc>
          <w:tcPr>
            <w:tcW w:w="7110" w:type="dxa"/>
          </w:tcPr>
          <w:p w14:paraId="0BA43F45" w14:textId="77777777" w:rsidR="00FC5566" w:rsidRPr="00FC5566" w:rsidRDefault="00FC5566" w:rsidP="00FC5566">
            <w:pPr>
              <w:widowControl w:val="0"/>
              <w:autoSpaceDE w:val="0"/>
              <w:autoSpaceDN w:val="0"/>
              <w:ind w:left="108"/>
              <w:rPr>
                <w:sz w:val="16"/>
                <w:szCs w:val="16"/>
              </w:rPr>
            </w:pPr>
          </w:p>
        </w:tc>
      </w:tr>
      <w:tr w:rsidR="00FC5566" w:rsidRPr="00FC5566" w14:paraId="48F0153F" w14:textId="77777777" w:rsidTr="00B247D5">
        <w:trPr>
          <w:trHeight w:val="184"/>
        </w:trPr>
        <w:tc>
          <w:tcPr>
            <w:tcW w:w="1080" w:type="dxa"/>
          </w:tcPr>
          <w:p w14:paraId="43B17379"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430" w:type="dxa"/>
          </w:tcPr>
          <w:p w14:paraId="09A7BD2E" w14:textId="77777777" w:rsidR="00FC5566" w:rsidRPr="00FC5566" w:rsidRDefault="00FC5566" w:rsidP="00FC5566">
            <w:pPr>
              <w:widowControl w:val="0"/>
              <w:autoSpaceDE w:val="0"/>
              <w:autoSpaceDN w:val="0"/>
              <w:ind w:left="53"/>
              <w:rPr>
                <w:sz w:val="16"/>
                <w:szCs w:val="16"/>
              </w:rPr>
            </w:pPr>
            <w:r w:rsidRPr="00FC5566">
              <w:rPr>
                <w:sz w:val="16"/>
                <w:szCs w:val="16"/>
              </w:rPr>
              <w:t>Chapter 15, Construction Safeguards.</w:t>
            </w:r>
          </w:p>
        </w:tc>
        <w:tc>
          <w:tcPr>
            <w:tcW w:w="7110" w:type="dxa"/>
          </w:tcPr>
          <w:p w14:paraId="0311477C" w14:textId="77777777" w:rsidR="00FC5566" w:rsidRPr="00FC5566" w:rsidRDefault="00FC5566" w:rsidP="00FC5566">
            <w:pPr>
              <w:widowControl w:val="0"/>
              <w:autoSpaceDE w:val="0"/>
              <w:autoSpaceDN w:val="0"/>
              <w:ind w:left="108"/>
              <w:rPr>
                <w:sz w:val="16"/>
                <w:szCs w:val="16"/>
              </w:rPr>
            </w:pPr>
          </w:p>
        </w:tc>
      </w:tr>
      <w:tr w:rsidR="00FC5566" w:rsidRPr="00FC5566" w14:paraId="5ED37F2A" w14:textId="77777777" w:rsidTr="00B247D5">
        <w:trPr>
          <w:trHeight w:val="360"/>
        </w:trPr>
        <w:tc>
          <w:tcPr>
            <w:tcW w:w="1080" w:type="dxa"/>
          </w:tcPr>
          <w:p w14:paraId="3D6BEA61"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Repeal</w:t>
            </w:r>
          </w:p>
        </w:tc>
        <w:tc>
          <w:tcPr>
            <w:tcW w:w="2430" w:type="dxa"/>
          </w:tcPr>
          <w:p w14:paraId="700B6992" w14:textId="77777777" w:rsidR="00FC5566" w:rsidRPr="00FC5566" w:rsidRDefault="00FC5566" w:rsidP="00FC5566">
            <w:pPr>
              <w:widowControl w:val="0"/>
              <w:autoSpaceDE w:val="0"/>
              <w:autoSpaceDN w:val="0"/>
              <w:ind w:left="53"/>
              <w:rPr>
                <w:sz w:val="16"/>
                <w:szCs w:val="16"/>
              </w:rPr>
            </w:pPr>
            <w:r w:rsidRPr="00FC5566">
              <w:rPr>
                <w:sz w:val="16"/>
                <w:szCs w:val="16"/>
              </w:rPr>
              <w:t>Section 1502, Owner’s Responsibility for Fire Protection.</w:t>
            </w:r>
          </w:p>
        </w:tc>
        <w:tc>
          <w:tcPr>
            <w:tcW w:w="7110" w:type="dxa"/>
          </w:tcPr>
          <w:p w14:paraId="00DDFA2F" w14:textId="77777777" w:rsidR="00FC5566" w:rsidRPr="00FC5566" w:rsidRDefault="00FC5566" w:rsidP="00FC5566">
            <w:pPr>
              <w:widowControl w:val="0"/>
              <w:autoSpaceDE w:val="0"/>
              <w:autoSpaceDN w:val="0"/>
              <w:ind w:left="108"/>
              <w:rPr>
                <w:sz w:val="16"/>
                <w:szCs w:val="16"/>
              </w:rPr>
            </w:pPr>
          </w:p>
        </w:tc>
      </w:tr>
      <w:tr w:rsidR="00FC5566" w:rsidRPr="00FC5566" w14:paraId="20ADE838" w14:textId="77777777" w:rsidTr="00B247D5">
        <w:trPr>
          <w:trHeight w:val="360"/>
        </w:trPr>
        <w:tc>
          <w:tcPr>
            <w:tcW w:w="1080" w:type="dxa"/>
          </w:tcPr>
          <w:p w14:paraId="72C260E6"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Adopt</w:t>
            </w:r>
          </w:p>
        </w:tc>
        <w:tc>
          <w:tcPr>
            <w:tcW w:w="2430" w:type="dxa"/>
          </w:tcPr>
          <w:p w14:paraId="260C396A" w14:textId="77777777" w:rsidR="00FC5566" w:rsidRPr="00FC5566" w:rsidRDefault="00FC5566" w:rsidP="00FC5566">
            <w:pPr>
              <w:widowControl w:val="0"/>
              <w:autoSpaceDE w:val="0"/>
              <w:autoSpaceDN w:val="0"/>
              <w:ind w:left="53"/>
              <w:rPr>
                <w:sz w:val="16"/>
                <w:szCs w:val="16"/>
              </w:rPr>
            </w:pPr>
            <w:r w:rsidRPr="00FC5566">
              <w:rPr>
                <w:sz w:val="16"/>
                <w:szCs w:val="16"/>
              </w:rPr>
              <w:t>Section 1502, Construction Safeguards.</w:t>
            </w:r>
          </w:p>
        </w:tc>
        <w:tc>
          <w:tcPr>
            <w:tcW w:w="7110" w:type="dxa"/>
          </w:tcPr>
          <w:p w14:paraId="3E0353AD" w14:textId="77777777" w:rsidR="00FC5566" w:rsidRPr="00FC5566" w:rsidRDefault="00FC5566" w:rsidP="00FC5566">
            <w:pPr>
              <w:widowControl w:val="0"/>
              <w:autoSpaceDE w:val="0"/>
              <w:autoSpaceDN w:val="0"/>
              <w:ind w:left="108"/>
              <w:rPr>
                <w:sz w:val="16"/>
                <w:szCs w:val="16"/>
              </w:rPr>
            </w:pPr>
          </w:p>
        </w:tc>
      </w:tr>
      <w:tr w:rsidR="00FC5566" w:rsidRPr="00FC5566" w14:paraId="29F582A2" w14:textId="77777777" w:rsidTr="00B247D5">
        <w:trPr>
          <w:trHeight w:val="1182"/>
        </w:trPr>
        <w:tc>
          <w:tcPr>
            <w:tcW w:w="1080" w:type="dxa"/>
          </w:tcPr>
          <w:p w14:paraId="4AB2740D"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Adopt</w:t>
            </w:r>
          </w:p>
        </w:tc>
        <w:tc>
          <w:tcPr>
            <w:tcW w:w="2430" w:type="dxa"/>
          </w:tcPr>
          <w:p w14:paraId="3B1AEA0B" w14:textId="77777777" w:rsidR="00FC5566" w:rsidRPr="00FC5566" w:rsidRDefault="00FC5566" w:rsidP="00FC5566">
            <w:pPr>
              <w:ind w:left="53"/>
              <w:rPr>
                <w:sz w:val="16"/>
                <w:szCs w:val="16"/>
              </w:rPr>
            </w:pPr>
            <w:r w:rsidRPr="00FC5566">
              <w:rPr>
                <w:sz w:val="16"/>
                <w:szCs w:val="16"/>
              </w:rPr>
              <w:t>Section 1502.1, Alterations, Repairs and Additions.</w:t>
            </w:r>
          </w:p>
          <w:p w14:paraId="1291813D" w14:textId="77777777" w:rsidR="00FC5566" w:rsidRPr="00FC5566" w:rsidRDefault="00FC5566" w:rsidP="00FC5566">
            <w:pPr>
              <w:widowControl w:val="0"/>
              <w:autoSpaceDE w:val="0"/>
              <w:autoSpaceDN w:val="0"/>
              <w:ind w:left="53"/>
              <w:rPr>
                <w:sz w:val="16"/>
                <w:szCs w:val="16"/>
              </w:rPr>
            </w:pPr>
          </w:p>
        </w:tc>
        <w:tc>
          <w:tcPr>
            <w:tcW w:w="7110" w:type="dxa"/>
          </w:tcPr>
          <w:p w14:paraId="7317C172" w14:textId="77777777" w:rsidR="00FC5566" w:rsidRPr="00FC5566" w:rsidRDefault="00FC5566" w:rsidP="00FC5566">
            <w:pPr>
              <w:ind w:left="88"/>
              <w:rPr>
                <w:sz w:val="16"/>
                <w:szCs w:val="16"/>
              </w:rPr>
            </w:pPr>
            <w:r w:rsidRPr="00FC5566">
              <w:rPr>
                <w:sz w:val="16"/>
                <w:szCs w:val="16"/>
              </w:rPr>
              <w:t xml:space="preserve">Required exits, existing structural elements, fire protection devices and sanitary safeguards shall be maintained at all times during alterations, repairs or additions to any building or structure.  </w:t>
            </w:r>
          </w:p>
          <w:p w14:paraId="71652CC5" w14:textId="77777777" w:rsidR="00FC5566" w:rsidRPr="00FC5566" w:rsidRDefault="00FC5566" w:rsidP="00FC5566">
            <w:pPr>
              <w:ind w:left="88"/>
              <w:rPr>
                <w:b/>
                <w:bCs/>
                <w:sz w:val="16"/>
                <w:szCs w:val="16"/>
              </w:rPr>
            </w:pPr>
            <w:r w:rsidRPr="00FC5566">
              <w:rPr>
                <w:b/>
                <w:bCs/>
                <w:sz w:val="16"/>
                <w:szCs w:val="16"/>
              </w:rPr>
              <w:t>Exceptions:</w:t>
            </w:r>
          </w:p>
          <w:p w14:paraId="5173733B" w14:textId="77777777" w:rsidR="00FC5566" w:rsidRPr="00FC5566" w:rsidRDefault="00FC5566" w:rsidP="00FC5566">
            <w:pPr>
              <w:ind w:left="90"/>
              <w:rPr>
                <w:sz w:val="16"/>
                <w:szCs w:val="16"/>
              </w:rPr>
            </w:pPr>
            <w:r w:rsidRPr="00FC5566">
              <w:rPr>
                <w:sz w:val="16"/>
                <w:szCs w:val="16"/>
              </w:rPr>
              <w:t>1. Where such required elements or devices are being altered or repaired, adequate substitute provisions shall be made.</w:t>
            </w:r>
          </w:p>
          <w:p w14:paraId="55188D67" w14:textId="77777777" w:rsidR="00FC5566" w:rsidRPr="00FC5566" w:rsidRDefault="00FC5566" w:rsidP="00FC5566">
            <w:pPr>
              <w:widowControl w:val="0"/>
              <w:autoSpaceDE w:val="0"/>
              <w:autoSpaceDN w:val="0"/>
              <w:ind w:left="108"/>
              <w:rPr>
                <w:sz w:val="16"/>
                <w:szCs w:val="16"/>
              </w:rPr>
            </w:pPr>
            <w:r w:rsidRPr="00FC5566">
              <w:rPr>
                <w:sz w:val="16"/>
                <w:szCs w:val="16"/>
              </w:rPr>
              <w:t>2. Maintenance of such elements and devices is not required where the existing building is not occupied.</w:t>
            </w:r>
          </w:p>
        </w:tc>
      </w:tr>
      <w:tr w:rsidR="00FC5566" w:rsidRPr="00FC5566" w14:paraId="6390696C" w14:textId="77777777" w:rsidTr="00B247D5">
        <w:trPr>
          <w:trHeight w:val="360"/>
        </w:trPr>
        <w:tc>
          <w:tcPr>
            <w:tcW w:w="1080" w:type="dxa"/>
          </w:tcPr>
          <w:p w14:paraId="4AA14F00"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Adopt</w:t>
            </w:r>
          </w:p>
        </w:tc>
        <w:tc>
          <w:tcPr>
            <w:tcW w:w="2430" w:type="dxa"/>
          </w:tcPr>
          <w:p w14:paraId="29609E26" w14:textId="77777777" w:rsidR="00FC5566" w:rsidRPr="00FC5566" w:rsidRDefault="00FC5566" w:rsidP="00FC5566">
            <w:pPr>
              <w:ind w:left="53"/>
              <w:rPr>
                <w:sz w:val="16"/>
                <w:szCs w:val="16"/>
              </w:rPr>
            </w:pPr>
            <w:r w:rsidRPr="00FC5566">
              <w:rPr>
                <w:sz w:val="16"/>
                <w:szCs w:val="16"/>
              </w:rPr>
              <w:t>Section 1502.2, Manner of Removal.</w:t>
            </w:r>
          </w:p>
        </w:tc>
        <w:tc>
          <w:tcPr>
            <w:tcW w:w="7110" w:type="dxa"/>
          </w:tcPr>
          <w:p w14:paraId="7A9FE7E6" w14:textId="77777777" w:rsidR="00FC5566" w:rsidRPr="00FC5566" w:rsidRDefault="00FC5566" w:rsidP="00FC5566">
            <w:pPr>
              <w:widowControl w:val="0"/>
              <w:autoSpaceDE w:val="0"/>
              <w:autoSpaceDN w:val="0"/>
              <w:ind w:left="108"/>
              <w:rPr>
                <w:sz w:val="16"/>
                <w:szCs w:val="16"/>
              </w:rPr>
            </w:pPr>
            <w:r w:rsidRPr="00FC5566">
              <w:rPr>
                <w:sz w:val="16"/>
                <w:szCs w:val="16"/>
              </w:rPr>
              <w:t>Waste materials shall be removed in a manner that prevents injury or damage to persons, adjoining properties and public rights-of-way.</w:t>
            </w:r>
          </w:p>
        </w:tc>
      </w:tr>
      <w:tr w:rsidR="00FC5566" w:rsidRPr="00FC5566" w14:paraId="381BDCEC" w14:textId="77777777" w:rsidTr="00B247D5">
        <w:trPr>
          <w:trHeight w:val="360"/>
        </w:trPr>
        <w:tc>
          <w:tcPr>
            <w:tcW w:w="1080" w:type="dxa"/>
          </w:tcPr>
          <w:p w14:paraId="362952A4"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Adopt</w:t>
            </w:r>
          </w:p>
        </w:tc>
        <w:tc>
          <w:tcPr>
            <w:tcW w:w="2430" w:type="dxa"/>
          </w:tcPr>
          <w:p w14:paraId="6A542176" w14:textId="77777777" w:rsidR="00FC5566" w:rsidRPr="00FC5566" w:rsidRDefault="00FC5566" w:rsidP="00FC5566">
            <w:pPr>
              <w:ind w:left="53"/>
              <w:rPr>
                <w:sz w:val="16"/>
                <w:szCs w:val="16"/>
              </w:rPr>
            </w:pPr>
            <w:r w:rsidRPr="00FC5566">
              <w:rPr>
                <w:sz w:val="16"/>
                <w:szCs w:val="16"/>
              </w:rPr>
              <w:t>Section 1502.3, Fire Safety During Construction.</w:t>
            </w:r>
          </w:p>
        </w:tc>
        <w:tc>
          <w:tcPr>
            <w:tcW w:w="7110" w:type="dxa"/>
          </w:tcPr>
          <w:p w14:paraId="38949B70" w14:textId="77777777" w:rsidR="00FC5566" w:rsidRPr="00FC5566" w:rsidRDefault="00FC5566" w:rsidP="00FC5566">
            <w:pPr>
              <w:widowControl w:val="0"/>
              <w:autoSpaceDE w:val="0"/>
              <w:autoSpaceDN w:val="0"/>
              <w:ind w:left="108"/>
              <w:rPr>
                <w:sz w:val="16"/>
                <w:szCs w:val="16"/>
              </w:rPr>
            </w:pPr>
            <w:r w:rsidRPr="00FC5566">
              <w:rPr>
                <w:sz w:val="16"/>
                <w:szCs w:val="16"/>
              </w:rPr>
              <w:t>Fire safety during construction shall comply with the applicable requirements of this code and the applicable provisions of </w:t>
            </w:r>
            <w:r w:rsidRPr="00FC5566">
              <w:rPr>
                <w:color w:val="000000"/>
                <w:sz w:val="16"/>
                <w:szCs w:val="16"/>
              </w:rPr>
              <w:t>Chapter 33 </w:t>
            </w:r>
            <w:r w:rsidRPr="00FC5566">
              <w:rPr>
                <w:sz w:val="16"/>
                <w:szCs w:val="16"/>
              </w:rPr>
              <w:t>of the </w:t>
            </w:r>
            <w:r w:rsidRPr="00FC5566">
              <w:rPr>
                <w:i/>
                <w:iCs/>
                <w:sz w:val="16"/>
                <w:szCs w:val="16"/>
              </w:rPr>
              <w:t>International Fire Code</w:t>
            </w:r>
            <w:r w:rsidRPr="00FC5566">
              <w:rPr>
                <w:sz w:val="16"/>
                <w:szCs w:val="16"/>
              </w:rPr>
              <w:t>.</w:t>
            </w:r>
          </w:p>
        </w:tc>
      </w:tr>
    </w:tbl>
    <w:p w14:paraId="1FF71D48"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both"/>
        <w:outlineLvl w:val="3"/>
        <w:rPr>
          <w:kern w:val="2"/>
        </w:rPr>
        <w:sectPr w:rsidR="00FC5566" w:rsidRPr="00FC5566" w:rsidSect="00FC5566">
          <w:type w:val="continuous"/>
          <w:pgSz w:w="12240" w:h="15840"/>
          <w:pgMar w:top="720" w:right="864" w:bottom="317" w:left="864" w:header="576" w:footer="432" w:gutter="0"/>
          <w:cols w:space="720"/>
          <w:docGrid w:linePitch="360"/>
        </w:sectPr>
      </w:pPr>
    </w:p>
    <w:p w14:paraId="662B1AF0"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both"/>
        <w:outlineLvl w:val="3"/>
        <w:rPr>
          <w:kern w:val="2"/>
        </w:rPr>
      </w:pPr>
    </w:p>
    <w:p w14:paraId="1EB5437A"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 xml:space="preserve">Promulgated in accordance with R.S. 37:3727-3750. </w:t>
      </w:r>
    </w:p>
    <w:p w14:paraId="2AEA7471" w14:textId="357C1691"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bCs/>
          <w:kern w:val="2"/>
          <w:sz w:val="18"/>
        </w:rPr>
      </w:pPr>
      <w:r w:rsidRPr="00FC5566">
        <w:rPr>
          <w:kern w:val="2"/>
          <w:sz w:val="18"/>
        </w:rPr>
        <w:t>HISTORICAL NOTE:</w:t>
      </w:r>
      <w:r w:rsidRPr="00FC5566">
        <w:rPr>
          <w:kern w:val="2"/>
          <w:sz w:val="18"/>
        </w:rPr>
        <w:tab/>
        <w:t xml:space="preserve">Promulgated by the Department of Public Safety and Corrections, State Uniform Construction Code Council, LR 33:291 (February 2007), amended LR 34:93 (January 2008), LR 34:883 (May 2008), LR 34:2205 (October 2008), LR 35:1904 (September 2009), LR 36:2574 (November 2010), effective January 1, 2011, LR 37:601 (February 2011), LR 37:913 (March 2011), repromulgated LR 37:2187 (July 2011), repromulgated LR 37:2726 (September 2011), LR 37:3065 (October 2011), LR 38:1994 (August 2012), amended by the Department of Public Safety and Corrections, Uniform Construction Code Council, LR 39:1825 (July 2013), LR 39:2512 (September 2013), LR 40:2609 (December 2014), amended by the Department of Public Safety and Corrections, Office of State Fire Marshal, LR 41: 2383 (November 2015), amended by the Department of Public Safety and Corrections, Office of the State Fire Marshal, Uniform Construction Code Council, LR 44:79 (January 2018), repromulgated LR 45:916 (July 2019), </w:t>
      </w:r>
      <w:r w:rsidR="00090F58">
        <w:rPr>
          <w:kern w:val="2"/>
          <w:sz w:val="18"/>
        </w:rPr>
        <w:br w:type="column"/>
      </w:r>
      <w:r w:rsidRPr="00FC5566">
        <w:rPr>
          <w:kern w:val="2"/>
          <w:sz w:val="18"/>
        </w:rPr>
        <w:t>amended LR 48:2582 (October 2022), LR 50:404 (March 2024), amended by the Office of the Governor, Uniform Construction Code Commission LR 52:</w:t>
      </w:r>
    </w:p>
    <w:p w14:paraId="7F81D3B6"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§107.</w:t>
      </w:r>
      <w:r w:rsidRPr="00FC5566">
        <w:rPr>
          <w:b/>
          <w:kern w:val="2"/>
        </w:rPr>
        <w:tab/>
        <w:t xml:space="preserve">International Residential Code </w:t>
      </w:r>
    </w:p>
    <w:p w14:paraId="32A3E3F4" w14:textId="1848ED50"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r>
      <w:r w:rsidRPr="00FC5566">
        <w:rPr>
          <w:i/>
          <w:iCs/>
          <w:kern w:val="2"/>
        </w:rPr>
        <w:t>International Residential Code</w:t>
      </w:r>
      <w:r w:rsidRPr="00FC5566">
        <w:rPr>
          <w:kern w:val="2"/>
        </w:rPr>
        <w:t xml:space="preserve"> (IRC), 2024 Edition, not including Part I, Administrative, and Part VIII, Electrical. The applicable standards referenced in that code are included for regulation of construction within this state. The enforcement of such standards shall be mandatory with respect to new construction, reconstruction, additions to homes, and extensive alterations. 2024 International Residential Code, Appendix AQ, Tiny Houses, with inspections on site and/or in the manufacturing plant as required by the LUCCC regulations. Appendix J, Existing Buildings and Structures, may be adopted and enforced only at the option of a parish, municipality, or regional planning commission. Furthermore, IRC shall be amended as follows and shall only apply to the International Residential Code.</w:t>
      </w:r>
    </w:p>
    <w:p w14:paraId="546CE4C7"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p w14:paraId="709177A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sectPr w:rsidR="00FC5566" w:rsidRPr="00FC5566" w:rsidSect="00FC5566">
          <w:type w:val="continuous"/>
          <w:pgSz w:w="12240" w:h="15840"/>
          <w:pgMar w:top="720" w:right="864" w:bottom="317" w:left="864" w:header="576" w:footer="432" w:gutter="0"/>
          <w:cols w:num="2" w:space="720"/>
          <w:docGrid w:linePitch="360"/>
        </w:sectPr>
      </w:pPr>
    </w:p>
    <w:tbl>
      <w:tblPr>
        <w:tblW w:w="10530"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80"/>
        <w:gridCol w:w="2430"/>
        <w:gridCol w:w="7020"/>
      </w:tblGrid>
      <w:tr w:rsidR="00FC5566" w:rsidRPr="00FC5566" w14:paraId="5832F1A6" w14:textId="77777777" w:rsidTr="00B247D5">
        <w:trPr>
          <w:trHeight w:val="259"/>
        </w:trPr>
        <w:tc>
          <w:tcPr>
            <w:tcW w:w="1080" w:type="dxa"/>
          </w:tcPr>
          <w:p w14:paraId="17A898A4"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430" w:type="dxa"/>
          </w:tcPr>
          <w:p w14:paraId="39F48400" w14:textId="77777777" w:rsidR="00FC5566" w:rsidRPr="00FC5566" w:rsidRDefault="00FC5566" w:rsidP="00FC5566">
            <w:pPr>
              <w:widowControl w:val="0"/>
              <w:autoSpaceDE w:val="0"/>
              <w:autoSpaceDN w:val="0"/>
              <w:ind w:left="107"/>
              <w:rPr>
                <w:sz w:val="16"/>
                <w:szCs w:val="16"/>
              </w:rPr>
            </w:pPr>
            <w:r w:rsidRPr="00FC5566">
              <w:rPr>
                <w:sz w:val="16"/>
                <w:szCs w:val="16"/>
              </w:rPr>
              <w:t>Chapter 3, Building Planning.</w:t>
            </w:r>
          </w:p>
        </w:tc>
        <w:tc>
          <w:tcPr>
            <w:tcW w:w="7020" w:type="dxa"/>
          </w:tcPr>
          <w:p w14:paraId="7478C538" w14:textId="77777777" w:rsidR="00FC5566" w:rsidRPr="00FC5566" w:rsidRDefault="00FC5566" w:rsidP="00FC5566">
            <w:pPr>
              <w:widowControl w:val="0"/>
              <w:autoSpaceDE w:val="0"/>
              <w:autoSpaceDN w:val="0"/>
              <w:rPr>
                <w:sz w:val="16"/>
                <w:szCs w:val="16"/>
              </w:rPr>
            </w:pPr>
          </w:p>
        </w:tc>
      </w:tr>
      <w:tr w:rsidR="00FC5566" w:rsidRPr="00FC5566" w14:paraId="64DAAB02" w14:textId="77777777" w:rsidTr="00B247D5">
        <w:trPr>
          <w:trHeight w:val="259"/>
        </w:trPr>
        <w:tc>
          <w:tcPr>
            <w:tcW w:w="1080" w:type="dxa"/>
          </w:tcPr>
          <w:p w14:paraId="356D5455" w14:textId="77777777" w:rsidR="00FC5566" w:rsidRPr="00FC5566" w:rsidRDefault="00FC5566" w:rsidP="00FC5566">
            <w:pPr>
              <w:widowControl w:val="0"/>
              <w:autoSpaceDE w:val="0"/>
              <w:autoSpaceDN w:val="0"/>
              <w:jc w:val="center"/>
              <w:rPr>
                <w:sz w:val="16"/>
                <w:szCs w:val="16"/>
              </w:rPr>
            </w:pPr>
            <w:r w:rsidRPr="00FC5566">
              <w:rPr>
                <w:spacing w:val="-2"/>
                <w:sz w:val="16"/>
                <w:szCs w:val="16"/>
              </w:rPr>
              <w:t>Amend</w:t>
            </w:r>
          </w:p>
        </w:tc>
        <w:tc>
          <w:tcPr>
            <w:tcW w:w="2430" w:type="dxa"/>
          </w:tcPr>
          <w:p w14:paraId="3E49115A" w14:textId="77777777" w:rsidR="00FC5566" w:rsidRPr="00FC5566" w:rsidRDefault="00FC5566" w:rsidP="00FC5566">
            <w:pPr>
              <w:widowControl w:val="0"/>
              <w:autoSpaceDE w:val="0"/>
              <w:autoSpaceDN w:val="0"/>
              <w:ind w:left="107"/>
              <w:rPr>
                <w:sz w:val="16"/>
                <w:szCs w:val="16"/>
              </w:rPr>
            </w:pPr>
            <w:r w:rsidRPr="00FC5566">
              <w:rPr>
                <w:sz w:val="16"/>
                <w:szCs w:val="16"/>
              </w:rPr>
              <w:t>Section</w:t>
            </w:r>
            <w:r w:rsidRPr="00FC5566">
              <w:rPr>
                <w:spacing w:val="-7"/>
                <w:sz w:val="16"/>
                <w:szCs w:val="16"/>
              </w:rPr>
              <w:t xml:space="preserve"> </w:t>
            </w:r>
            <w:r w:rsidRPr="00FC5566">
              <w:rPr>
                <w:sz w:val="16"/>
                <w:szCs w:val="16"/>
              </w:rPr>
              <w:t>R302.1,</w:t>
            </w:r>
            <w:r w:rsidRPr="00FC5566">
              <w:rPr>
                <w:spacing w:val="-7"/>
                <w:sz w:val="16"/>
                <w:szCs w:val="16"/>
              </w:rPr>
              <w:t xml:space="preserve"> </w:t>
            </w:r>
            <w:r w:rsidRPr="00FC5566">
              <w:rPr>
                <w:spacing w:val="-2"/>
                <w:sz w:val="16"/>
                <w:szCs w:val="16"/>
              </w:rPr>
              <w:t>Exterior</w:t>
            </w:r>
            <w:r w:rsidRPr="00FC5566">
              <w:rPr>
                <w:sz w:val="16"/>
                <w:szCs w:val="16"/>
              </w:rPr>
              <w:t xml:space="preserve"> </w:t>
            </w:r>
            <w:r w:rsidRPr="00FC5566">
              <w:rPr>
                <w:spacing w:val="-2"/>
                <w:sz w:val="16"/>
                <w:szCs w:val="16"/>
              </w:rPr>
              <w:t>Walls.</w:t>
            </w:r>
          </w:p>
        </w:tc>
        <w:tc>
          <w:tcPr>
            <w:tcW w:w="7020" w:type="dxa"/>
          </w:tcPr>
          <w:p w14:paraId="142B86AF" w14:textId="77777777" w:rsidR="00FC5566" w:rsidRPr="00FC5566" w:rsidRDefault="00FC5566" w:rsidP="00FC5566">
            <w:pPr>
              <w:widowControl w:val="0"/>
              <w:autoSpaceDE w:val="0"/>
              <w:autoSpaceDN w:val="0"/>
              <w:rPr>
                <w:sz w:val="16"/>
                <w:szCs w:val="16"/>
              </w:rPr>
            </w:pPr>
          </w:p>
        </w:tc>
      </w:tr>
      <w:tr w:rsidR="00FC5566" w:rsidRPr="00FC5566" w14:paraId="0F2250E9" w14:textId="77777777" w:rsidTr="00B247D5">
        <w:trPr>
          <w:trHeight w:val="259"/>
        </w:trPr>
        <w:tc>
          <w:tcPr>
            <w:tcW w:w="1080" w:type="dxa"/>
          </w:tcPr>
          <w:p w14:paraId="33DF57D9" w14:textId="77777777" w:rsidR="00FC5566" w:rsidRPr="00FC5566" w:rsidRDefault="00FC5566" w:rsidP="00FC5566">
            <w:pPr>
              <w:widowControl w:val="0"/>
              <w:autoSpaceDE w:val="0"/>
              <w:autoSpaceDN w:val="0"/>
              <w:jc w:val="center"/>
              <w:rPr>
                <w:sz w:val="16"/>
                <w:szCs w:val="16"/>
              </w:rPr>
            </w:pPr>
            <w:r w:rsidRPr="00FC5566">
              <w:rPr>
                <w:spacing w:val="-2"/>
                <w:sz w:val="16"/>
                <w:szCs w:val="16"/>
              </w:rPr>
              <w:t>Amend</w:t>
            </w:r>
          </w:p>
        </w:tc>
        <w:tc>
          <w:tcPr>
            <w:tcW w:w="2430" w:type="dxa"/>
          </w:tcPr>
          <w:p w14:paraId="1A39FDCB" w14:textId="77777777" w:rsidR="00FC5566" w:rsidRPr="00FC5566" w:rsidRDefault="00FC5566" w:rsidP="00FC5566">
            <w:pPr>
              <w:widowControl w:val="0"/>
              <w:autoSpaceDE w:val="0"/>
              <w:autoSpaceDN w:val="0"/>
              <w:ind w:left="107"/>
              <w:rPr>
                <w:sz w:val="16"/>
                <w:szCs w:val="16"/>
              </w:rPr>
            </w:pPr>
            <w:r w:rsidRPr="00FC5566">
              <w:rPr>
                <w:spacing w:val="-2"/>
                <w:sz w:val="16"/>
                <w:szCs w:val="16"/>
              </w:rPr>
              <w:t>Exceptions:</w:t>
            </w:r>
          </w:p>
        </w:tc>
        <w:tc>
          <w:tcPr>
            <w:tcW w:w="7020" w:type="dxa"/>
          </w:tcPr>
          <w:p w14:paraId="3DCA260B" w14:textId="77777777" w:rsidR="00FC5566" w:rsidRPr="00FC5566" w:rsidRDefault="00FC5566" w:rsidP="00FC5566">
            <w:pPr>
              <w:widowControl w:val="0"/>
              <w:autoSpaceDE w:val="0"/>
              <w:autoSpaceDN w:val="0"/>
              <w:ind w:left="107"/>
              <w:rPr>
                <w:sz w:val="16"/>
                <w:szCs w:val="16"/>
              </w:rPr>
            </w:pPr>
          </w:p>
        </w:tc>
      </w:tr>
      <w:tr w:rsidR="00FC5566" w:rsidRPr="00FC5566" w14:paraId="2231B25F" w14:textId="77777777" w:rsidTr="00B247D5">
        <w:trPr>
          <w:trHeight w:val="187"/>
        </w:trPr>
        <w:tc>
          <w:tcPr>
            <w:tcW w:w="1080" w:type="dxa"/>
          </w:tcPr>
          <w:p w14:paraId="3286B71D" w14:textId="77777777" w:rsidR="00FC5566" w:rsidRPr="00FC5566" w:rsidRDefault="00FC5566" w:rsidP="00FC5566">
            <w:pPr>
              <w:widowControl w:val="0"/>
              <w:autoSpaceDE w:val="0"/>
              <w:autoSpaceDN w:val="0"/>
              <w:jc w:val="center"/>
              <w:rPr>
                <w:sz w:val="16"/>
                <w:szCs w:val="16"/>
              </w:rPr>
            </w:pPr>
            <w:r w:rsidRPr="00FC5566">
              <w:rPr>
                <w:spacing w:val="-2"/>
                <w:sz w:val="16"/>
                <w:szCs w:val="16"/>
              </w:rPr>
              <w:t>Adopt</w:t>
            </w:r>
          </w:p>
        </w:tc>
        <w:tc>
          <w:tcPr>
            <w:tcW w:w="2430" w:type="dxa"/>
          </w:tcPr>
          <w:p w14:paraId="752B9D69" w14:textId="77777777" w:rsidR="00FC5566" w:rsidRPr="00FC5566" w:rsidRDefault="00FC5566" w:rsidP="00FC5566">
            <w:pPr>
              <w:widowControl w:val="0"/>
              <w:autoSpaceDE w:val="0"/>
              <w:autoSpaceDN w:val="0"/>
              <w:ind w:left="107"/>
              <w:rPr>
                <w:sz w:val="16"/>
                <w:szCs w:val="16"/>
              </w:rPr>
            </w:pPr>
            <w:r w:rsidRPr="00FC5566">
              <w:rPr>
                <w:sz w:val="16"/>
                <w:szCs w:val="16"/>
              </w:rPr>
              <w:t>Item</w:t>
            </w:r>
            <w:r w:rsidRPr="00FC5566">
              <w:rPr>
                <w:spacing w:val="-6"/>
                <w:sz w:val="16"/>
                <w:szCs w:val="16"/>
              </w:rPr>
              <w:t xml:space="preserve"> </w:t>
            </w:r>
            <w:r w:rsidRPr="00FC5566">
              <w:rPr>
                <w:spacing w:val="-4"/>
                <w:sz w:val="16"/>
                <w:szCs w:val="16"/>
              </w:rPr>
              <w:t>(6.)</w:t>
            </w:r>
          </w:p>
        </w:tc>
        <w:tc>
          <w:tcPr>
            <w:tcW w:w="7020" w:type="dxa"/>
          </w:tcPr>
          <w:p w14:paraId="2542C918" w14:textId="77777777" w:rsidR="00FC5566" w:rsidRPr="00FC5566" w:rsidRDefault="00FC5566" w:rsidP="00FC5566">
            <w:pPr>
              <w:widowControl w:val="0"/>
              <w:autoSpaceDE w:val="0"/>
              <w:autoSpaceDN w:val="0"/>
              <w:ind w:left="107" w:right="88"/>
              <w:rPr>
                <w:rFonts w:eastAsia="Aptos"/>
                <w:color w:val="424242"/>
                <w:kern w:val="2"/>
                <w:sz w:val="16"/>
                <w:szCs w:val="16"/>
              </w:rPr>
            </w:pPr>
            <w:r w:rsidRPr="00FC5566">
              <w:rPr>
                <w:sz w:val="16"/>
                <w:szCs w:val="16"/>
              </w:rPr>
              <w:t xml:space="preserve">6. </w:t>
            </w:r>
            <w:r w:rsidRPr="00FC5566">
              <w:rPr>
                <w:rFonts w:eastAsia="Aptos"/>
                <w:color w:val="424242"/>
                <w:kern w:val="2"/>
                <w:sz w:val="16"/>
                <w:szCs w:val="16"/>
              </w:rPr>
              <w:t xml:space="preserve">On lots that are 50 feet or less in width and that contain a one- or two-family dwelling or townhouse that was in existence prior to October 1, 2005, the following are permitted for substantial improvement: </w:t>
            </w:r>
          </w:p>
          <w:p w14:paraId="0E29729E" w14:textId="77777777" w:rsidR="00FC5566" w:rsidRPr="00FC5566" w:rsidRDefault="00FC5566" w:rsidP="00FC5566">
            <w:pPr>
              <w:widowControl w:val="0"/>
              <w:autoSpaceDE w:val="0"/>
              <w:autoSpaceDN w:val="0"/>
              <w:ind w:left="86" w:right="88" w:firstLine="1"/>
              <w:rPr>
                <w:rFonts w:eastAsia="Aptos"/>
                <w:color w:val="424242"/>
                <w:kern w:val="2"/>
                <w:sz w:val="16"/>
                <w:szCs w:val="16"/>
              </w:rPr>
            </w:pPr>
            <w:r w:rsidRPr="00FC5566">
              <w:rPr>
                <w:rFonts w:eastAsia="Aptos"/>
                <w:color w:val="424242"/>
                <w:kern w:val="2"/>
                <w:sz w:val="16"/>
                <w:szCs w:val="16"/>
              </w:rPr>
              <w:t>6.1.  A projection 2 feet from the property line with a 1-hour minimum fire-resistance rating on the underside;</w:t>
            </w:r>
          </w:p>
          <w:p w14:paraId="671EC328" w14:textId="77777777" w:rsidR="00FC5566" w:rsidRPr="00FC5566" w:rsidRDefault="00FC5566" w:rsidP="00FC5566">
            <w:pPr>
              <w:widowControl w:val="0"/>
              <w:autoSpaceDE w:val="0"/>
              <w:autoSpaceDN w:val="0"/>
              <w:ind w:left="86" w:right="88" w:firstLine="1"/>
              <w:rPr>
                <w:sz w:val="16"/>
                <w:szCs w:val="16"/>
              </w:rPr>
            </w:pPr>
            <w:r w:rsidRPr="00FC5566">
              <w:rPr>
                <w:rFonts w:eastAsia="Aptos"/>
                <w:color w:val="424242"/>
                <w:kern w:val="2"/>
                <w:sz w:val="16"/>
                <w:szCs w:val="16"/>
              </w:rPr>
              <w:t>6.2.  A wall 3 feet or more from the property with a 0-hour minimum fire-resistance rating.</w:t>
            </w:r>
          </w:p>
        </w:tc>
      </w:tr>
      <w:tr w:rsidR="00FC5566" w:rsidRPr="00FC5566" w14:paraId="14F55B05" w14:textId="77777777" w:rsidTr="00B247D5">
        <w:trPr>
          <w:trHeight w:val="187"/>
        </w:trPr>
        <w:tc>
          <w:tcPr>
            <w:tcW w:w="1080" w:type="dxa"/>
            <w:tcBorders>
              <w:top w:val="single" w:sz="6" w:space="0" w:color="000000"/>
              <w:left w:val="single" w:sz="6" w:space="0" w:color="000000"/>
              <w:bottom w:val="single" w:sz="6" w:space="0" w:color="000000"/>
              <w:right w:val="single" w:sz="6" w:space="0" w:color="000000"/>
            </w:tcBorders>
          </w:tcPr>
          <w:p w14:paraId="67949C02"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4B31ED17" w14:textId="77777777" w:rsidR="00FC5566" w:rsidRPr="00FC5566" w:rsidRDefault="00FC5566" w:rsidP="00FC5566">
            <w:pPr>
              <w:widowControl w:val="0"/>
              <w:autoSpaceDE w:val="0"/>
              <w:autoSpaceDN w:val="0"/>
              <w:ind w:left="107"/>
              <w:rPr>
                <w:sz w:val="16"/>
                <w:szCs w:val="16"/>
              </w:rPr>
            </w:pPr>
            <w:r w:rsidRPr="00FC5566">
              <w:rPr>
                <w:sz w:val="16"/>
                <w:szCs w:val="16"/>
              </w:rPr>
              <w:t>Section R306.1, General.</w:t>
            </w:r>
          </w:p>
        </w:tc>
        <w:tc>
          <w:tcPr>
            <w:tcW w:w="7020" w:type="dxa"/>
            <w:tcBorders>
              <w:top w:val="single" w:sz="6" w:space="0" w:color="000000"/>
              <w:left w:val="single" w:sz="6" w:space="0" w:color="000000"/>
              <w:bottom w:val="single" w:sz="6" w:space="0" w:color="000000"/>
              <w:right w:val="single" w:sz="6" w:space="0" w:color="000000"/>
            </w:tcBorders>
          </w:tcPr>
          <w:p w14:paraId="55616891" w14:textId="77777777" w:rsidR="00FC5566" w:rsidRPr="00FC5566" w:rsidRDefault="00FC5566" w:rsidP="00FC5566">
            <w:pPr>
              <w:widowControl w:val="0"/>
              <w:autoSpaceDE w:val="0"/>
              <w:autoSpaceDN w:val="0"/>
              <w:ind w:left="107" w:right="89"/>
              <w:rPr>
                <w:sz w:val="16"/>
                <w:szCs w:val="16"/>
              </w:rPr>
            </w:pPr>
            <w:r w:rsidRPr="00FC5566">
              <w:rPr>
                <w:rFonts w:eastAsia="Aptos"/>
                <w:color w:val="424242"/>
                <w:kern w:val="2"/>
                <w:sz w:val="16"/>
                <w:szCs w:val="16"/>
              </w:rPr>
              <w:t>Buildings and structures constructed in whole or in part in flood hazard areas established in </w:t>
            </w:r>
            <w:r w:rsidRPr="00FC5566">
              <w:rPr>
                <w:rFonts w:eastAsia="Aptos"/>
                <w:kern w:val="2"/>
                <w:sz w:val="16"/>
                <w:szCs w:val="16"/>
              </w:rPr>
              <w:t>Table R301.2</w:t>
            </w:r>
            <w:r w:rsidRPr="00FC5566">
              <w:rPr>
                <w:rFonts w:eastAsia="Aptos"/>
                <w:color w:val="424242"/>
                <w:kern w:val="2"/>
                <w:sz w:val="16"/>
                <w:szCs w:val="16"/>
              </w:rPr>
              <w:t>, and substantial improvement and repair of substantial damage of buildings and structures </w:t>
            </w:r>
            <w:r w:rsidRPr="00FC5566">
              <w:rPr>
                <w:rFonts w:eastAsia="Aptos"/>
                <w:color w:val="000000"/>
                <w:kern w:val="2"/>
                <w:sz w:val="16"/>
                <w:szCs w:val="16"/>
              </w:rPr>
              <w:t>located in whole or in part </w:t>
            </w:r>
            <w:r w:rsidRPr="00FC5566">
              <w:rPr>
                <w:rFonts w:eastAsia="Aptos"/>
                <w:color w:val="424242"/>
                <w:kern w:val="2"/>
                <w:sz w:val="16"/>
                <w:szCs w:val="16"/>
              </w:rPr>
              <w:t>in flood hazard areas, shall be designed and constructed in accordance with the provisions contained in this section. Buildings and structures that are located in more than one flood hazard area</w:t>
            </w:r>
            <w:r w:rsidRPr="00FC5566">
              <w:rPr>
                <w:rFonts w:eastAsia="Aptos"/>
                <w:color w:val="000000"/>
                <w:kern w:val="2"/>
                <w:sz w:val="16"/>
                <w:szCs w:val="16"/>
              </w:rPr>
              <w:t>, including A Zones, Coastal A Zones and V Zones, </w:t>
            </w:r>
            <w:r w:rsidRPr="00FC5566">
              <w:rPr>
                <w:rFonts w:eastAsia="Aptos"/>
                <w:color w:val="424242"/>
                <w:kern w:val="2"/>
                <w:sz w:val="16"/>
                <w:szCs w:val="16"/>
              </w:rPr>
              <w:t>shall comply with the provisions associated with the most restrictive flood hazard area. Buildings and structures located in whole or in part in identified floodways shall be designed and constructed in accordance with </w:t>
            </w:r>
            <w:r w:rsidRPr="00FC5566">
              <w:rPr>
                <w:rFonts w:eastAsia="Aptos"/>
                <w:color w:val="0B5940"/>
                <w:kern w:val="2"/>
                <w:sz w:val="16"/>
                <w:szCs w:val="16"/>
                <w:u w:val="single"/>
              </w:rPr>
              <w:t>ASCE</w:t>
            </w:r>
            <w:r w:rsidRPr="00FC5566">
              <w:rPr>
                <w:rFonts w:eastAsia="Aptos"/>
                <w:color w:val="424242"/>
                <w:kern w:val="2"/>
                <w:sz w:val="16"/>
                <w:szCs w:val="16"/>
              </w:rPr>
              <w:t xml:space="preserve"> 24. </w:t>
            </w:r>
            <w:r w:rsidRPr="00FC5566">
              <w:rPr>
                <w:rFonts w:eastAsia="Aptos"/>
                <w:kern w:val="2"/>
                <w:sz w:val="16"/>
                <w:szCs w:val="16"/>
              </w:rPr>
              <w:t>The local jurisdictions, utilizing flood plain managers, shall have the authority to adopt higher freeboard amounts as needed (CRS, etc.) but shall not have the authority to adopt freeboard amounts less than those required in ASCE-24</w:t>
            </w:r>
            <w:r w:rsidRPr="00FC5566">
              <w:rPr>
                <w:rFonts w:eastAsia="Aptos"/>
                <w:color w:val="424242"/>
                <w:kern w:val="2"/>
                <w:sz w:val="16"/>
                <w:szCs w:val="16"/>
              </w:rPr>
              <w:t>.</w:t>
            </w:r>
          </w:p>
        </w:tc>
      </w:tr>
      <w:tr w:rsidR="00FC5566" w:rsidRPr="00FC5566" w14:paraId="22CD1F16" w14:textId="77777777" w:rsidTr="00B247D5">
        <w:trPr>
          <w:trHeight w:val="187"/>
        </w:trPr>
        <w:tc>
          <w:tcPr>
            <w:tcW w:w="1080" w:type="dxa"/>
          </w:tcPr>
          <w:p w14:paraId="23B18837" w14:textId="77777777" w:rsidR="00FC5566" w:rsidRPr="00FC5566" w:rsidRDefault="00FC5566" w:rsidP="00FC5566">
            <w:pPr>
              <w:widowControl w:val="0"/>
              <w:autoSpaceDE w:val="0"/>
              <w:autoSpaceDN w:val="0"/>
              <w:jc w:val="center"/>
              <w:rPr>
                <w:sz w:val="16"/>
                <w:szCs w:val="16"/>
              </w:rPr>
            </w:pPr>
            <w:r w:rsidRPr="00FC5566">
              <w:rPr>
                <w:spacing w:val="-2"/>
                <w:sz w:val="16"/>
                <w:szCs w:val="16"/>
              </w:rPr>
              <w:t>Amend</w:t>
            </w:r>
          </w:p>
        </w:tc>
        <w:tc>
          <w:tcPr>
            <w:tcW w:w="2430" w:type="dxa"/>
          </w:tcPr>
          <w:p w14:paraId="6CC35EB3" w14:textId="77777777" w:rsidR="00FC5566" w:rsidRPr="00FC5566" w:rsidRDefault="00FC5566" w:rsidP="00FC5566">
            <w:pPr>
              <w:widowControl w:val="0"/>
              <w:autoSpaceDE w:val="0"/>
              <w:autoSpaceDN w:val="0"/>
              <w:ind w:left="106"/>
              <w:rPr>
                <w:sz w:val="16"/>
                <w:szCs w:val="16"/>
              </w:rPr>
            </w:pPr>
            <w:r w:rsidRPr="00FC5566">
              <w:rPr>
                <w:sz w:val="16"/>
                <w:szCs w:val="16"/>
              </w:rPr>
              <w:t>Section R309.1,</w:t>
            </w:r>
            <w:r w:rsidRPr="00FC5566">
              <w:rPr>
                <w:spacing w:val="40"/>
                <w:sz w:val="16"/>
                <w:szCs w:val="16"/>
              </w:rPr>
              <w:t xml:space="preserve"> </w:t>
            </w:r>
            <w:r w:rsidRPr="00FC5566">
              <w:rPr>
                <w:sz w:val="16"/>
                <w:szCs w:val="16"/>
              </w:rPr>
              <w:t>Townhouse</w:t>
            </w:r>
            <w:r w:rsidRPr="00FC5566">
              <w:rPr>
                <w:spacing w:val="-5"/>
                <w:sz w:val="16"/>
                <w:szCs w:val="16"/>
              </w:rPr>
              <w:t xml:space="preserve"> </w:t>
            </w:r>
            <w:r w:rsidRPr="00FC5566">
              <w:rPr>
                <w:sz w:val="16"/>
                <w:szCs w:val="16"/>
              </w:rPr>
              <w:t>Automatic Fire Sprinkler System.</w:t>
            </w:r>
          </w:p>
        </w:tc>
        <w:tc>
          <w:tcPr>
            <w:tcW w:w="7020" w:type="dxa"/>
          </w:tcPr>
          <w:p w14:paraId="1E14E620" w14:textId="77777777" w:rsidR="00FC5566" w:rsidRPr="00FC5566" w:rsidRDefault="00FC5566" w:rsidP="00FC5566">
            <w:pPr>
              <w:widowControl w:val="0"/>
              <w:autoSpaceDE w:val="0"/>
              <w:autoSpaceDN w:val="0"/>
              <w:ind w:left="107"/>
              <w:rPr>
                <w:sz w:val="16"/>
                <w:szCs w:val="16"/>
              </w:rPr>
            </w:pPr>
            <w:r w:rsidRPr="00FC5566">
              <w:rPr>
                <w:sz w:val="16"/>
                <w:szCs w:val="16"/>
              </w:rPr>
              <w:t>The commission</w:t>
            </w:r>
            <w:r w:rsidRPr="00FC5566">
              <w:rPr>
                <w:spacing w:val="-2"/>
                <w:sz w:val="16"/>
                <w:szCs w:val="16"/>
              </w:rPr>
              <w:t xml:space="preserve"> </w:t>
            </w:r>
            <w:r w:rsidRPr="00FC5566">
              <w:rPr>
                <w:sz w:val="16"/>
                <w:szCs w:val="16"/>
              </w:rPr>
              <w:t>shall</w:t>
            </w:r>
            <w:r w:rsidRPr="00FC5566">
              <w:rPr>
                <w:spacing w:val="-2"/>
                <w:sz w:val="16"/>
                <w:szCs w:val="16"/>
              </w:rPr>
              <w:t xml:space="preserve"> </w:t>
            </w:r>
            <w:r w:rsidRPr="00FC5566">
              <w:rPr>
                <w:sz w:val="16"/>
                <w:szCs w:val="16"/>
              </w:rPr>
              <w:t>not adopt or</w:t>
            </w:r>
            <w:r w:rsidRPr="00FC5566">
              <w:rPr>
                <w:spacing w:val="-2"/>
                <w:sz w:val="16"/>
                <w:szCs w:val="16"/>
              </w:rPr>
              <w:t xml:space="preserve"> </w:t>
            </w:r>
            <w:r w:rsidRPr="00FC5566">
              <w:rPr>
                <w:sz w:val="16"/>
                <w:szCs w:val="16"/>
              </w:rPr>
              <w:t>enforce</w:t>
            </w:r>
            <w:r w:rsidRPr="00FC5566">
              <w:rPr>
                <w:spacing w:val="-3"/>
                <w:sz w:val="16"/>
                <w:szCs w:val="16"/>
              </w:rPr>
              <w:t xml:space="preserve"> </w:t>
            </w:r>
            <w:r w:rsidRPr="00FC5566">
              <w:rPr>
                <w:sz w:val="16"/>
                <w:szCs w:val="16"/>
              </w:rPr>
              <w:t>any</w:t>
            </w:r>
            <w:r w:rsidRPr="00FC5566">
              <w:rPr>
                <w:spacing w:val="-4"/>
                <w:sz w:val="16"/>
                <w:szCs w:val="16"/>
              </w:rPr>
              <w:t xml:space="preserve"> </w:t>
            </w:r>
            <w:r w:rsidRPr="00FC5566">
              <w:rPr>
                <w:sz w:val="16"/>
                <w:szCs w:val="16"/>
              </w:rPr>
              <w:t>part of</w:t>
            </w:r>
            <w:r w:rsidRPr="00FC5566">
              <w:rPr>
                <w:spacing w:val="-2"/>
                <w:sz w:val="16"/>
                <w:szCs w:val="16"/>
              </w:rPr>
              <w:t xml:space="preserve"> </w:t>
            </w:r>
            <w:r w:rsidRPr="00FC5566">
              <w:rPr>
                <w:sz w:val="16"/>
                <w:szCs w:val="16"/>
              </w:rPr>
              <w:t>the International</w:t>
            </w:r>
            <w:r w:rsidRPr="00FC5566">
              <w:rPr>
                <w:spacing w:val="-2"/>
                <w:sz w:val="16"/>
                <w:szCs w:val="16"/>
              </w:rPr>
              <w:t xml:space="preserve"> </w:t>
            </w:r>
            <w:r w:rsidRPr="00FC5566">
              <w:rPr>
                <w:sz w:val="16"/>
                <w:szCs w:val="16"/>
              </w:rPr>
              <w:t>Residential</w:t>
            </w:r>
            <w:r w:rsidRPr="00FC5566">
              <w:rPr>
                <w:spacing w:val="-2"/>
                <w:sz w:val="16"/>
                <w:szCs w:val="16"/>
              </w:rPr>
              <w:t xml:space="preserve"> </w:t>
            </w:r>
            <w:r w:rsidRPr="00FC5566">
              <w:rPr>
                <w:sz w:val="16"/>
                <w:szCs w:val="16"/>
              </w:rPr>
              <w:t>Code</w:t>
            </w:r>
            <w:r w:rsidRPr="00FC5566">
              <w:rPr>
                <w:spacing w:val="-3"/>
                <w:sz w:val="16"/>
                <w:szCs w:val="16"/>
              </w:rPr>
              <w:t xml:space="preserve"> </w:t>
            </w:r>
            <w:r w:rsidRPr="00FC5566">
              <w:rPr>
                <w:sz w:val="16"/>
                <w:szCs w:val="16"/>
              </w:rPr>
              <w:t>or</w:t>
            </w:r>
            <w:r w:rsidRPr="00FC5566">
              <w:rPr>
                <w:spacing w:val="-2"/>
                <w:sz w:val="16"/>
                <w:szCs w:val="16"/>
              </w:rPr>
              <w:t xml:space="preserve"> </w:t>
            </w:r>
            <w:r w:rsidRPr="00FC5566">
              <w:rPr>
                <w:sz w:val="16"/>
                <w:szCs w:val="16"/>
              </w:rPr>
              <w:t>any</w:t>
            </w:r>
            <w:r w:rsidRPr="00FC5566">
              <w:rPr>
                <w:spacing w:val="-4"/>
                <w:sz w:val="16"/>
                <w:szCs w:val="16"/>
              </w:rPr>
              <w:t xml:space="preserve"> </w:t>
            </w:r>
            <w:r w:rsidRPr="00FC5566">
              <w:rPr>
                <w:sz w:val="16"/>
                <w:szCs w:val="16"/>
              </w:rPr>
              <w:t>other</w:t>
            </w:r>
            <w:r w:rsidRPr="00FC5566">
              <w:rPr>
                <w:spacing w:val="-2"/>
                <w:sz w:val="16"/>
                <w:szCs w:val="16"/>
              </w:rPr>
              <w:t xml:space="preserve"> </w:t>
            </w:r>
            <w:r w:rsidRPr="00FC5566">
              <w:rPr>
                <w:sz w:val="16"/>
                <w:szCs w:val="16"/>
              </w:rPr>
              <w:t>code</w:t>
            </w:r>
            <w:r w:rsidRPr="00FC5566">
              <w:rPr>
                <w:spacing w:val="40"/>
                <w:sz w:val="16"/>
                <w:szCs w:val="16"/>
              </w:rPr>
              <w:t xml:space="preserve"> </w:t>
            </w:r>
            <w:r w:rsidRPr="00FC5566">
              <w:rPr>
                <w:sz w:val="16"/>
                <w:szCs w:val="16"/>
              </w:rPr>
              <w:t>or regulation that requires a fire protection sprinkler system in one- or two-family dwellings. Further,</w:t>
            </w:r>
            <w:r w:rsidRPr="00FC5566">
              <w:rPr>
                <w:spacing w:val="40"/>
                <w:sz w:val="16"/>
                <w:szCs w:val="16"/>
              </w:rPr>
              <w:t xml:space="preserve"> </w:t>
            </w:r>
            <w:r w:rsidRPr="00FC5566">
              <w:rPr>
                <w:sz w:val="16"/>
                <w:szCs w:val="16"/>
              </w:rPr>
              <w:t>no municipality or parish shall adopt or enforce an ordinance or other regulation requiring a fire</w:t>
            </w:r>
            <w:r w:rsidRPr="00FC5566">
              <w:rPr>
                <w:spacing w:val="40"/>
                <w:sz w:val="16"/>
                <w:szCs w:val="16"/>
              </w:rPr>
              <w:t xml:space="preserve"> </w:t>
            </w:r>
            <w:r w:rsidRPr="00FC5566">
              <w:rPr>
                <w:sz w:val="16"/>
                <w:szCs w:val="16"/>
              </w:rPr>
              <w:t>protection sprinkler system in one- or two-family dwellings.</w:t>
            </w:r>
          </w:p>
        </w:tc>
      </w:tr>
      <w:tr w:rsidR="00FC5566" w:rsidRPr="00FC5566" w14:paraId="167494DB" w14:textId="77777777" w:rsidTr="00B247D5">
        <w:trPr>
          <w:trHeight w:val="187"/>
        </w:trPr>
        <w:tc>
          <w:tcPr>
            <w:tcW w:w="1080" w:type="dxa"/>
          </w:tcPr>
          <w:p w14:paraId="322E5115" w14:textId="77777777" w:rsidR="00FC5566" w:rsidRPr="00FC5566" w:rsidRDefault="00FC5566" w:rsidP="00FC5566">
            <w:pPr>
              <w:widowControl w:val="0"/>
              <w:autoSpaceDE w:val="0"/>
              <w:autoSpaceDN w:val="0"/>
              <w:jc w:val="center"/>
              <w:rPr>
                <w:sz w:val="16"/>
                <w:szCs w:val="16"/>
              </w:rPr>
            </w:pPr>
            <w:r w:rsidRPr="00FC5566">
              <w:rPr>
                <w:spacing w:val="-2"/>
                <w:sz w:val="16"/>
                <w:szCs w:val="16"/>
              </w:rPr>
              <w:t>Adopt</w:t>
            </w:r>
          </w:p>
        </w:tc>
        <w:tc>
          <w:tcPr>
            <w:tcW w:w="2430" w:type="dxa"/>
          </w:tcPr>
          <w:p w14:paraId="35E94E0C" w14:textId="77777777" w:rsidR="00FC5566" w:rsidRPr="00FC5566" w:rsidRDefault="00FC5566" w:rsidP="00FC5566">
            <w:pPr>
              <w:widowControl w:val="0"/>
              <w:autoSpaceDE w:val="0"/>
              <w:autoSpaceDN w:val="0"/>
              <w:ind w:left="106"/>
              <w:rPr>
                <w:sz w:val="16"/>
                <w:szCs w:val="16"/>
              </w:rPr>
            </w:pPr>
            <w:r w:rsidRPr="00FC5566">
              <w:rPr>
                <w:spacing w:val="-2"/>
                <w:sz w:val="16"/>
                <w:szCs w:val="16"/>
              </w:rPr>
              <w:t>Exception</w:t>
            </w:r>
          </w:p>
        </w:tc>
        <w:tc>
          <w:tcPr>
            <w:tcW w:w="7020" w:type="dxa"/>
          </w:tcPr>
          <w:p w14:paraId="5263FDC5" w14:textId="77777777" w:rsidR="00FC5566" w:rsidRPr="00FC5566" w:rsidRDefault="00FC5566" w:rsidP="00FC5566">
            <w:pPr>
              <w:widowControl w:val="0"/>
              <w:autoSpaceDE w:val="0"/>
              <w:autoSpaceDN w:val="0"/>
              <w:ind w:left="107"/>
              <w:rPr>
                <w:b/>
                <w:bCs/>
                <w:sz w:val="16"/>
                <w:szCs w:val="16"/>
              </w:rPr>
            </w:pPr>
            <w:r w:rsidRPr="00FC5566">
              <w:rPr>
                <w:b/>
                <w:bCs/>
                <w:sz w:val="16"/>
                <w:szCs w:val="16"/>
              </w:rPr>
              <w:t>Exception:</w:t>
            </w:r>
          </w:p>
          <w:p w14:paraId="610B5F7B" w14:textId="77777777" w:rsidR="00FC5566" w:rsidRPr="00FC5566" w:rsidRDefault="00FC5566" w:rsidP="00FC5566">
            <w:pPr>
              <w:widowControl w:val="0"/>
              <w:autoSpaceDE w:val="0"/>
              <w:autoSpaceDN w:val="0"/>
              <w:ind w:left="107"/>
              <w:rPr>
                <w:sz w:val="16"/>
                <w:szCs w:val="16"/>
              </w:rPr>
            </w:pPr>
            <w:r w:rsidRPr="00FC5566">
              <w:rPr>
                <w:sz w:val="16"/>
                <w:szCs w:val="16"/>
              </w:rPr>
              <w:t>If</w:t>
            </w:r>
            <w:r w:rsidRPr="00FC5566">
              <w:rPr>
                <w:spacing w:val="-4"/>
                <w:sz w:val="16"/>
                <w:szCs w:val="16"/>
              </w:rPr>
              <w:t xml:space="preserve"> </w:t>
            </w:r>
            <w:r w:rsidRPr="00FC5566">
              <w:rPr>
                <w:sz w:val="16"/>
                <w:szCs w:val="16"/>
              </w:rPr>
              <w:t>an</w:t>
            </w:r>
            <w:r w:rsidRPr="00FC5566">
              <w:rPr>
                <w:spacing w:val="-3"/>
                <w:sz w:val="16"/>
                <w:szCs w:val="16"/>
              </w:rPr>
              <w:t xml:space="preserve"> </w:t>
            </w:r>
            <w:r w:rsidRPr="00FC5566">
              <w:rPr>
                <w:sz w:val="16"/>
                <w:szCs w:val="16"/>
              </w:rPr>
              <w:t>owner</w:t>
            </w:r>
            <w:r w:rsidRPr="00FC5566">
              <w:rPr>
                <w:spacing w:val="-4"/>
                <w:sz w:val="16"/>
                <w:szCs w:val="16"/>
              </w:rPr>
              <w:t xml:space="preserve"> </w:t>
            </w:r>
            <w:r w:rsidRPr="00FC5566">
              <w:rPr>
                <w:sz w:val="16"/>
                <w:szCs w:val="16"/>
              </w:rPr>
              <w:t>voluntarily</w:t>
            </w:r>
            <w:r w:rsidRPr="00FC5566">
              <w:rPr>
                <w:spacing w:val="-7"/>
                <w:sz w:val="16"/>
                <w:szCs w:val="16"/>
              </w:rPr>
              <w:t xml:space="preserve"> </w:t>
            </w:r>
            <w:r w:rsidRPr="00FC5566">
              <w:rPr>
                <w:sz w:val="16"/>
                <w:szCs w:val="16"/>
              </w:rPr>
              <w:t>chooses</w:t>
            </w:r>
            <w:r w:rsidRPr="00FC5566">
              <w:rPr>
                <w:spacing w:val="-3"/>
                <w:sz w:val="16"/>
                <w:szCs w:val="16"/>
              </w:rPr>
              <w:t xml:space="preserve"> </w:t>
            </w:r>
            <w:r w:rsidRPr="00FC5566">
              <w:rPr>
                <w:sz w:val="16"/>
                <w:szCs w:val="16"/>
              </w:rPr>
              <w:t>to</w:t>
            </w:r>
            <w:r w:rsidRPr="00FC5566">
              <w:rPr>
                <w:spacing w:val="-5"/>
                <w:sz w:val="16"/>
                <w:szCs w:val="16"/>
              </w:rPr>
              <w:t xml:space="preserve"> </w:t>
            </w:r>
            <w:r w:rsidRPr="00FC5566">
              <w:rPr>
                <w:sz w:val="16"/>
                <w:szCs w:val="16"/>
              </w:rPr>
              <w:t>install</w:t>
            </w:r>
            <w:r w:rsidRPr="00FC5566">
              <w:rPr>
                <w:spacing w:val="-4"/>
                <w:sz w:val="16"/>
                <w:szCs w:val="16"/>
              </w:rPr>
              <w:t xml:space="preserve"> </w:t>
            </w:r>
            <w:r w:rsidRPr="00FC5566">
              <w:rPr>
                <w:sz w:val="16"/>
                <w:szCs w:val="16"/>
              </w:rPr>
              <w:t>an</w:t>
            </w:r>
            <w:r w:rsidRPr="00FC5566">
              <w:rPr>
                <w:spacing w:val="-3"/>
                <w:sz w:val="16"/>
                <w:szCs w:val="16"/>
              </w:rPr>
              <w:t xml:space="preserve"> </w:t>
            </w:r>
            <w:r w:rsidRPr="00FC5566">
              <w:rPr>
                <w:sz w:val="16"/>
                <w:szCs w:val="16"/>
              </w:rPr>
              <w:t>automatic</w:t>
            </w:r>
            <w:r w:rsidRPr="00FC5566">
              <w:rPr>
                <w:spacing w:val="-3"/>
                <w:sz w:val="16"/>
                <w:szCs w:val="16"/>
              </w:rPr>
              <w:t xml:space="preserve"> </w:t>
            </w:r>
            <w:r w:rsidRPr="00FC5566">
              <w:rPr>
                <w:sz w:val="16"/>
                <w:szCs w:val="16"/>
              </w:rPr>
              <w:t>residential</w:t>
            </w:r>
            <w:r w:rsidRPr="00FC5566">
              <w:rPr>
                <w:spacing w:val="-4"/>
                <w:sz w:val="16"/>
                <w:szCs w:val="16"/>
              </w:rPr>
              <w:t xml:space="preserve"> </w:t>
            </w:r>
            <w:r w:rsidRPr="00FC5566">
              <w:rPr>
                <w:sz w:val="16"/>
                <w:szCs w:val="16"/>
              </w:rPr>
              <w:t>fire</w:t>
            </w:r>
            <w:r w:rsidRPr="00FC5566">
              <w:rPr>
                <w:spacing w:val="-5"/>
                <w:sz w:val="16"/>
                <w:szCs w:val="16"/>
              </w:rPr>
              <w:t xml:space="preserve"> </w:t>
            </w:r>
            <w:r w:rsidRPr="00FC5566">
              <w:rPr>
                <w:sz w:val="16"/>
                <w:szCs w:val="16"/>
              </w:rPr>
              <w:t>sprinkler</w:t>
            </w:r>
            <w:r w:rsidRPr="00FC5566">
              <w:rPr>
                <w:spacing w:val="-5"/>
                <w:sz w:val="16"/>
                <w:szCs w:val="16"/>
              </w:rPr>
              <w:t xml:space="preserve"> </w:t>
            </w:r>
            <w:r w:rsidRPr="00FC5566">
              <w:rPr>
                <w:sz w:val="16"/>
                <w:szCs w:val="16"/>
              </w:rPr>
              <w:t>system,</w:t>
            </w:r>
            <w:r w:rsidRPr="00FC5566">
              <w:rPr>
                <w:spacing w:val="-3"/>
                <w:sz w:val="16"/>
                <w:szCs w:val="16"/>
              </w:rPr>
              <w:t xml:space="preserve"> </w:t>
            </w:r>
            <w:r w:rsidRPr="00FC5566">
              <w:rPr>
                <w:sz w:val="16"/>
                <w:szCs w:val="16"/>
              </w:rPr>
              <w:t>it</w:t>
            </w:r>
            <w:r w:rsidRPr="00FC5566">
              <w:rPr>
                <w:spacing w:val="6"/>
                <w:sz w:val="16"/>
                <w:szCs w:val="16"/>
              </w:rPr>
              <w:t xml:space="preserve"> </w:t>
            </w:r>
            <w:r w:rsidRPr="00FC5566">
              <w:rPr>
                <w:sz w:val="16"/>
                <w:szCs w:val="16"/>
              </w:rPr>
              <w:t>shall</w:t>
            </w:r>
            <w:r w:rsidRPr="00FC5566">
              <w:rPr>
                <w:spacing w:val="-4"/>
                <w:sz w:val="16"/>
                <w:szCs w:val="16"/>
              </w:rPr>
              <w:t xml:space="preserve"> </w:t>
            </w:r>
            <w:r w:rsidRPr="00FC5566">
              <w:rPr>
                <w:spacing w:val="-5"/>
                <w:sz w:val="16"/>
                <w:szCs w:val="16"/>
              </w:rPr>
              <w:t>be</w:t>
            </w:r>
          </w:p>
          <w:p w14:paraId="0C5AE7A0" w14:textId="77777777" w:rsidR="00FC5566" w:rsidRPr="00FC5566" w:rsidRDefault="00FC5566" w:rsidP="00FC5566">
            <w:pPr>
              <w:widowControl w:val="0"/>
              <w:autoSpaceDE w:val="0"/>
              <w:autoSpaceDN w:val="0"/>
              <w:ind w:left="107"/>
              <w:rPr>
                <w:sz w:val="16"/>
                <w:szCs w:val="16"/>
              </w:rPr>
            </w:pPr>
            <w:r w:rsidRPr="00FC5566">
              <w:rPr>
                <w:sz w:val="16"/>
                <w:szCs w:val="16"/>
              </w:rPr>
              <w:t>installed</w:t>
            </w:r>
            <w:r w:rsidRPr="00FC5566">
              <w:rPr>
                <w:spacing w:val="-6"/>
                <w:sz w:val="16"/>
                <w:szCs w:val="16"/>
              </w:rPr>
              <w:t xml:space="preserve"> </w:t>
            </w:r>
            <w:r w:rsidRPr="00FC5566">
              <w:rPr>
                <w:sz w:val="16"/>
                <w:szCs w:val="16"/>
              </w:rPr>
              <w:t>per</w:t>
            </w:r>
            <w:r w:rsidRPr="00FC5566">
              <w:rPr>
                <w:spacing w:val="-6"/>
                <w:sz w:val="16"/>
                <w:szCs w:val="16"/>
              </w:rPr>
              <w:t xml:space="preserve"> </w:t>
            </w:r>
            <w:r w:rsidRPr="00FC5566">
              <w:rPr>
                <w:sz w:val="16"/>
                <w:szCs w:val="16"/>
              </w:rPr>
              <w:t>Section</w:t>
            </w:r>
            <w:r w:rsidRPr="00FC5566">
              <w:rPr>
                <w:spacing w:val="-5"/>
                <w:sz w:val="16"/>
                <w:szCs w:val="16"/>
              </w:rPr>
              <w:t xml:space="preserve"> </w:t>
            </w:r>
            <w:r w:rsidRPr="00FC5566">
              <w:rPr>
                <w:spacing w:val="-2"/>
                <w:sz w:val="16"/>
                <w:szCs w:val="16"/>
              </w:rPr>
              <w:t>R309.1.1, Design and Installation.</w:t>
            </w:r>
          </w:p>
        </w:tc>
      </w:tr>
      <w:tr w:rsidR="00FC5566" w:rsidRPr="00FC5566" w14:paraId="63C0C9F9" w14:textId="77777777" w:rsidTr="00B247D5">
        <w:trPr>
          <w:trHeight w:val="259"/>
        </w:trPr>
        <w:tc>
          <w:tcPr>
            <w:tcW w:w="1080" w:type="dxa"/>
          </w:tcPr>
          <w:p w14:paraId="117F6416"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430" w:type="dxa"/>
          </w:tcPr>
          <w:p w14:paraId="5F2F6141" w14:textId="77777777" w:rsidR="00FC5566" w:rsidRPr="00FC5566" w:rsidRDefault="00FC5566" w:rsidP="00FC5566">
            <w:pPr>
              <w:widowControl w:val="0"/>
              <w:autoSpaceDE w:val="0"/>
              <w:autoSpaceDN w:val="0"/>
              <w:ind w:left="106"/>
              <w:rPr>
                <w:sz w:val="16"/>
                <w:szCs w:val="16"/>
              </w:rPr>
            </w:pPr>
            <w:r w:rsidRPr="00FC5566">
              <w:rPr>
                <w:sz w:val="16"/>
                <w:szCs w:val="16"/>
              </w:rPr>
              <w:t>Section</w:t>
            </w:r>
            <w:r w:rsidRPr="00FC5566">
              <w:rPr>
                <w:spacing w:val="-7"/>
                <w:sz w:val="16"/>
                <w:szCs w:val="16"/>
              </w:rPr>
              <w:t xml:space="preserve"> </w:t>
            </w:r>
            <w:r w:rsidRPr="00FC5566">
              <w:rPr>
                <w:sz w:val="16"/>
                <w:szCs w:val="16"/>
              </w:rPr>
              <w:t>R311.3,</w:t>
            </w:r>
            <w:r w:rsidRPr="00FC5566">
              <w:rPr>
                <w:spacing w:val="-4"/>
                <w:sz w:val="16"/>
                <w:szCs w:val="16"/>
              </w:rPr>
              <w:t xml:space="preserve"> </w:t>
            </w:r>
            <w:r w:rsidRPr="00FC5566">
              <w:rPr>
                <w:spacing w:val="-2"/>
                <w:sz w:val="16"/>
                <w:szCs w:val="16"/>
              </w:rPr>
              <w:t>Location.</w:t>
            </w:r>
          </w:p>
        </w:tc>
        <w:tc>
          <w:tcPr>
            <w:tcW w:w="7020" w:type="dxa"/>
          </w:tcPr>
          <w:p w14:paraId="37B2DC78" w14:textId="77777777" w:rsidR="00FC5566" w:rsidRPr="00FC5566" w:rsidRDefault="00FC5566" w:rsidP="00FC5566">
            <w:pPr>
              <w:widowControl w:val="0"/>
              <w:autoSpaceDE w:val="0"/>
              <w:autoSpaceDN w:val="0"/>
              <w:ind w:left="107" w:right="79"/>
              <w:rPr>
                <w:sz w:val="16"/>
                <w:szCs w:val="16"/>
              </w:rPr>
            </w:pPr>
          </w:p>
        </w:tc>
      </w:tr>
      <w:tr w:rsidR="00FC5566" w:rsidRPr="00FC5566" w14:paraId="5319F8E5" w14:textId="77777777" w:rsidTr="00B247D5">
        <w:trPr>
          <w:trHeight w:val="187"/>
        </w:trPr>
        <w:tc>
          <w:tcPr>
            <w:tcW w:w="1080" w:type="dxa"/>
            <w:tcBorders>
              <w:top w:val="single" w:sz="6" w:space="0" w:color="000000"/>
              <w:left w:val="single" w:sz="6" w:space="0" w:color="000000"/>
              <w:bottom w:val="single" w:sz="6" w:space="0" w:color="000000"/>
              <w:right w:val="single" w:sz="6" w:space="0" w:color="000000"/>
            </w:tcBorders>
          </w:tcPr>
          <w:p w14:paraId="76114240"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Adopt</w:t>
            </w:r>
          </w:p>
        </w:tc>
        <w:tc>
          <w:tcPr>
            <w:tcW w:w="2430" w:type="dxa"/>
            <w:tcBorders>
              <w:top w:val="single" w:sz="6" w:space="0" w:color="000000"/>
              <w:left w:val="single" w:sz="6" w:space="0" w:color="000000"/>
              <w:bottom w:val="single" w:sz="6" w:space="0" w:color="000000"/>
              <w:right w:val="single" w:sz="6" w:space="0" w:color="000000"/>
            </w:tcBorders>
          </w:tcPr>
          <w:p w14:paraId="0F278791" w14:textId="77777777" w:rsidR="00FC5566" w:rsidRPr="00FC5566" w:rsidRDefault="00FC5566" w:rsidP="00FC5566">
            <w:pPr>
              <w:widowControl w:val="0"/>
              <w:autoSpaceDE w:val="0"/>
              <w:autoSpaceDN w:val="0"/>
              <w:ind w:left="106"/>
              <w:rPr>
                <w:sz w:val="16"/>
                <w:szCs w:val="16"/>
              </w:rPr>
            </w:pPr>
            <w:r w:rsidRPr="00FC5566">
              <w:rPr>
                <w:sz w:val="16"/>
                <w:szCs w:val="16"/>
              </w:rPr>
              <w:t>Exception</w:t>
            </w:r>
          </w:p>
        </w:tc>
        <w:tc>
          <w:tcPr>
            <w:tcW w:w="7020" w:type="dxa"/>
          </w:tcPr>
          <w:p w14:paraId="7A8871F5" w14:textId="77777777" w:rsidR="00FC5566" w:rsidRPr="00FC5566" w:rsidRDefault="00FC5566" w:rsidP="00FC5566">
            <w:pPr>
              <w:widowControl w:val="0"/>
              <w:autoSpaceDE w:val="0"/>
              <w:autoSpaceDN w:val="0"/>
              <w:ind w:left="109"/>
              <w:rPr>
                <w:b/>
                <w:bCs/>
                <w:sz w:val="16"/>
                <w:szCs w:val="16"/>
              </w:rPr>
            </w:pPr>
            <w:r w:rsidRPr="00FC5566">
              <w:rPr>
                <w:b/>
                <w:bCs/>
                <w:sz w:val="16"/>
                <w:szCs w:val="16"/>
              </w:rPr>
              <w:t>Exception:</w:t>
            </w:r>
          </w:p>
          <w:p w14:paraId="5F88AB41" w14:textId="77777777" w:rsidR="00FC5566" w:rsidRPr="00FC5566" w:rsidRDefault="00FC5566" w:rsidP="00FC5566">
            <w:pPr>
              <w:widowControl w:val="0"/>
              <w:autoSpaceDE w:val="0"/>
              <w:autoSpaceDN w:val="0"/>
              <w:ind w:left="109"/>
              <w:rPr>
                <w:sz w:val="16"/>
                <w:szCs w:val="16"/>
              </w:rPr>
            </w:pPr>
            <w:r w:rsidRPr="00FC5566">
              <w:rPr>
                <w:sz w:val="16"/>
                <w:szCs w:val="16"/>
              </w:rPr>
              <w:t>When a Fuel Fired Standby generator(s) or Transfer Switch (Automatic or Manual) is installed, it shall be located outside the dwelling, it shall be installed per the manufacturer’s installation instructions, and the additional following requirements shall be as follows:</w:t>
            </w:r>
          </w:p>
          <w:p w14:paraId="191EC225" w14:textId="77777777" w:rsidR="00FC5566" w:rsidRPr="00FC5566" w:rsidRDefault="00FC5566" w:rsidP="00FC5566">
            <w:pPr>
              <w:widowControl w:val="0"/>
              <w:autoSpaceDE w:val="0"/>
              <w:autoSpaceDN w:val="0"/>
              <w:ind w:left="107" w:right="79"/>
              <w:rPr>
                <w:sz w:val="16"/>
                <w:szCs w:val="16"/>
              </w:rPr>
            </w:pPr>
            <w:r w:rsidRPr="00FC5566">
              <w:rPr>
                <w:sz w:val="16"/>
                <w:szCs w:val="16"/>
              </w:rPr>
              <w:t xml:space="preserve">1. A Carbon Monoxide Alarm shall be permanently installed in each sleeping area inside the dwelling, and an additional Carbon Monoxide Alarm shall be permanently installed outside of each separate sleeping area in the immediate vicinity of the bedroom, as approved by the building official. </w:t>
            </w:r>
          </w:p>
          <w:p w14:paraId="4C0ABDA3" w14:textId="77777777" w:rsidR="00FC5566" w:rsidRPr="00FC5566" w:rsidRDefault="00FC5566" w:rsidP="00FC5566">
            <w:pPr>
              <w:widowControl w:val="0"/>
              <w:autoSpaceDE w:val="0"/>
              <w:autoSpaceDN w:val="0"/>
              <w:ind w:left="107" w:right="79"/>
              <w:rPr>
                <w:sz w:val="16"/>
                <w:szCs w:val="16"/>
              </w:rPr>
            </w:pPr>
            <w:r w:rsidRPr="00FC5566">
              <w:rPr>
                <w:sz w:val="16"/>
                <w:szCs w:val="16"/>
              </w:rPr>
              <w:t>2. The single detector shall be located in a hallway or room adjacent to the bedrooms.</w:t>
            </w:r>
          </w:p>
        </w:tc>
      </w:tr>
      <w:tr w:rsidR="00FC5566" w:rsidRPr="00FC5566" w14:paraId="4EFA31D1" w14:textId="77777777" w:rsidTr="00B247D5">
        <w:trPr>
          <w:trHeight w:val="187"/>
        </w:trPr>
        <w:tc>
          <w:tcPr>
            <w:tcW w:w="1080" w:type="dxa"/>
          </w:tcPr>
          <w:p w14:paraId="266E4B80" w14:textId="77777777" w:rsidR="00FC5566" w:rsidRPr="00FC5566" w:rsidRDefault="00FC5566" w:rsidP="00FC5566">
            <w:pPr>
              <w:widowControl w:val="0"/>
              <w:autoSpaceDE w:val="0"/>
              <w:autoSpaceDN w:val="0"/>
              <w:jc w:val="center"/>
              <w:rPr>
                <w:sz w:val="16"/>
                <w:szCs w:val="16"/>
              </w:rPr>
            </w:pPr>
            <w:r w:rsidRPr="00FC5566">
              <w:rPr>
                <w:spacing w:val="-2"/>
                <w:sz w:val="16"/>
                <w:szCs w:val="16"/>
              </w:rPr>
              <w:t>Amend</w:t>
            </w:r>
          </w:p>
        </w:tc>
        <w:tc>
          <w:tcPr>
            <w:tcW w:w="2430" w:type="dxa"/>
          </w:tcPr>
          <w:p w14:paraId="70532CF6" w14:textId="77777777" w:rsidR="00FC5566" w:rsidRPr="00FC5566" w:rsidRDefault="00FC5566" w:rsidP="00FC5566">
            <w:pPr>
              <w:widowControl w:val="0"/>
              <w:autoSpaceDE w:val="0"/>
              <w:autoSpaceDN w:val="0"/>
              <w:ind w:left="106"/>
              <w:rPr>
                <w:sz w:val="16"/>
                <w:szCs w:val="16"/>
              </w:rPr>
            </w:pPr>
            <w:r w:rsidRPr="00FC5566">
              <w:rPr>
                <w:sz w:val="16"/>
                <w:szCs w:val="16"/>
              </w:rPr>
              <w:t>Section R313.2,</w:t>
            </w:r>
            <w:r w:rsidRPr="00FC5566">
              <w:rPr>
                <w:spacing w:val="40"/>
                <w:sz w:val="16"/>
                <w:szCs w:val="16"/>
              </w:rPr>
              <w:t xml:space="preserve"> </w:t>
            </w:r>
            <w:r w:rsidRPr="00FC5566">
              <w:rPr>
                <w:sz w:val="16"/>
                <w:szCs w:val="16"/>
              </w:rPr>
              <w:t>One- and Two-Family Dwellings Automatic Sprinkler Systems.</w:t>
            </w:r>
          </w:p>
        </w:tc>
        <w:tc>
          <w:tcPr>
            <w:tcW w:w="7020" w:type="dxa"/>
          </w:tcPr>
          <w:p w14:paraId="41F0D3CD" w14:textId="77777777" w:rsidR="00FC5566" w:rsidRPr="00FC5566" w:rsidRDefault="00FC5566" w:rsidP="00FC5566">
            <w:pPr>
              <w:widowControl w:val="0"/>
              <w:autoSpaceDE w:val="0"/>
              <w:autoSpaceDN w:val="0"/>
              <w:ind w:left="107" w:right="79"/>
              <w:rPr>
                <w:sz w:val="16"/>
                <w:szCs w:val="16"/>
              </w:rPr>
            </w:pPr>
            <w:r w:rsidRPr="00FC5566">
              <w:rPr>
                <w:sz w:val="16"/>
                <w:szCs w:val="16"/>
              </w:rPr>
              <w:t>The commission</w:t>
            </w:r>
            <w:r w:rsidRPr="00FC5566">
              <w:rPr>
                <w:spacing w:val="-2"/>
                <w:sz w:val="16"/>
                <w:szCs w:val="16"/>
              </w:rPr>
              <w:t xml:space="preserve"> </w:t>
            </w:r>
            <w:r w:rsidRPr="00FC5566">
              <w:rPr>
                <w:sz w:val="16"/>
                <w:szCs w:val="16"/>
              </w:rPr>
              <w:t>shall</w:t>
            </w:r>
            <w:r w:rsidRPr="00FC5566">
              <w:rPr>
                <w:spacing w:val="-2"/>
                <w:sz w:val="16"/>
                <w:szCs w:val="16"/>
              </w:rPr>
              <w:t xml:space="preserve"> </w:t>
            </w:r>
            <w:r w:rsidRPr="00FC5566">
              <w:rPr>
                <w:sz w:val="16"/>
                <w:szCs w:val="16"/>
              </w:rPr>
              <w:t>not adopt or</w:t>
            </w:r>
            <w:r w:rsidRPr="00FC5566">
              <w:rPr>
                <w:spacing w:val="-2"/>
                <w:sz w:val="16"/>
                <w:szCs w:val="16"/>
              </w:rPr>
              <w:t xml:space="preserve"> </w:t>
            </w:r>
            <w:r w:rsidRPr="00FC5566">
              <w:rPr>
                <w:sz w:val="16"/>
                <w:szCs w:val="16"/>
              </w:rPr>
              <w:t>enforce</w:t>
            </w:r>
            <w:r w:rsidRPr="00FC5566">
              <w:rPr>
                <w:spacing w:val="-3"/>
                <w:sz w:val="16"/>
                <w:szCs w:val="16"/>
              </w:rPr>
              <w:t xml:space="preserve"> </w:t>
            </w:r>
            <w:r w:rsidRPr="00FC5566">
              <w:rPr>
                <w:sz w:val="16"/>
                <w:szCs w:val="16"/>
              </w:rPr>
              <w:t>any</w:t>
            </w:r>
            <w:r w:rsidRPr="00FC5566">
              <w:rPr>
                <w:spacing w:val="-4"/>
                <w:sz w:val="16"/>
                <w:szCs w:val="16"/>
              </w:rPr>
              <w:t xml:space="preserve"> </w:t>
            </w:r>
            <w:r w:rsidRPr="00FC5566">
              <w:rPr>
                <w:sz w:val="16"/>
                <w:szCs w:val="16"/>
              </w:rPr>
              <w:t>part of</w:t>
            </w:r>
            <w:r w:rsidRPr="00FC5566">
              <w:rPr>
                <w:spacing w:val="-2"/>
                <w:sz w:val="16"/>
                <w:szCs w:val="16"/>
              </w:rPr>
              <w:t xml:space="preserve"> </w:t>
            </w:r>
            <w:r w:rsidRPr="00FC5566">
              <w:rPr>
                <w:sz w:val="16"/>
                <w:szCs w:val="16"/>
              </w:rPr>
              <w:t>the International</w:t>
            </w:r>
            <w:r w:rsidRPr="00FC5566">
              <w:rPr>
                <w:spacing w:val="-2"/>
                <w:sz w:val="16"/>
                <w:szCs w:val="16"/>
              </w:rPr>
              <w:t xml:space="preserve"> </w:t>
            </w:r>
            <w:r w:rsidRPr="00FC5566">
              <w:rPr>
                <w:sz w:val="16"/>
                <w:szCs w:val="16"/>
              </w:rPr>
              <w:t>Residential</w:t>
            </w:r>
            <w:r w:rsidRPr="00FC5566">
              <w:rPr>
                <w:spacing w:val="-2"/>
                <w:sz w:val="16"/>
                <w:szCs w:val="16"/>
              </w:rPr>
              <w:t xml:space="preserve"> </w:t>
            </w:r>
            <w:r w:rsidRPr="00FC5566">
              <w:rPr>
                <w:sz w:val="16"/>
                <w:szCs w:val="16"/>
              </w:rPr>
              <w:t>Code or</w:t>
            </w:r>
            <w:r w:rsidRPr="00FC5566">
              <w:rPr>
                <w:spacing w:val="-2"/>
                <w:sz w:val="16"/>
                <w:szCs w:val="16"/>
              </w:rPr>
              <w:t xml:space="preserve"> </w:t>
            </w:r>
            <w:r w:rsidRPr="00FC5566">
              <w:rPr>
                <w:sz w:val="16"/>
                <w:szCs w:val="16"/>
              </w:rPr>
              <w:t>any</w:t>
            </w:r>
            <w:r w:rsidRPr="00FC5566">
              <w:rPr>
                <w:spacing w:val="-4"/>
                <w:sz w:val="16"/>
                <w:szCs w:val="16"/>
              </w:rPr>
              <w:t xml:space="preserve"> </w:t>
            </w:r>
            <w:r w:rsidRPr="00FC5566">
              <w:rPr>
                <w:sz w:val="16"/>
                <w:szCs w:val="16"/>
              </w:rPr>
              <w:t>other</w:t>
            </w:r>
            <w:r w:rsidRPr="00FC5566">
              <w:rPr>
                <w:spacing w:val="-2"/>
                <w:sz w:val="16"/>
                <w:szCs w:val="16"/>
              </w:rPr>
              <w:t xml:space="preserve"> </w:t>
            </w:r>
            <w:r w:rsidRPr="00FC5566">
              <w:rPr>
                <w:sz w:val="16"/>
                <w:szCs w:val="16"/>
              </w:rPr>
              <w:t>code</w:t>
            </w:r>
            <w:r w:rsidRPr="00FC5566">
              <w:rPr>
                <w:spacing w:val="40"/>
                <w:sz w:val="16"/>
                <w:szCs w:val="16"/>
              </w:rPr>
              <w:t xml:space="preserve"> </w:t>
            </w:r>
            <w:r w:rsidRPr="00FC5566">
              <w:rPr>
                <w:sz w:val="16"/>
                <w:szCs w:val="16"/>
              </w:rPr>
              <w:t>or regulation that requires a fire protection sprinkler system in one- or two-family dwellings. Further,</w:t>
            </w:r>
            <w:r w:rsidRPr="00FC5566">
              <w:rPr>
                <w:spacing w:val="40"/>
                <w:sz w:val="16"/>
                <w:szCs w:val="16"/>
              </w:rPr>
              <w:t xml:space="preserve"> </w:t>
            </w:r>
            <w:r w:rsidRPr="00FC5566">
              <w:rPr>
                <w:sz w:val="16"/>
                <w:szCs w:val="16"/>
              </w:rPr>
              <w:t>no municipality or parish shall adopt or enforce an ordinance or other regulation requiring a fire protection sprinkler system in one- or two-family dwellings.</w:t>
            </w:r>
          </w:p>
        </w:tc>
      </w:tr>
      <w:tr w:rsidR="00FC5566" w:rsidRPr="00FC5566" w14:paraId="27CE0B51" w14:textId="77777777" w:rsidTr="00B247D5">
        <w:trPr>
          <w:trHeight w:val="187"/>
        </w:trPr>
        <w:tc>
          <w:tcPr>
            <w:tcW w:w="1080" w:type="dxa"/>
          </w:tcPr>
          <w:p w14:paraId="6F5610AA" w14:textId="77777777" w:rsidR="00FC5566" w:rsidRPr="00FC5566" w:rsidRDefault="00FC5566" w:rsidP="00FC5566">
            <w:pPr>
              <w:widowControl w:val="0"/>
              <w:autoSpaceDE w:val="0"/>
              <w:autoSpaceDN w:val="0"/>
              <w:jc w:val="center"/>
              <w:rPr>
                <w:sz w:val="16"/>
                <w:szCs w:val="16"/>
              </w:rPr>
            </w:pPr>
            <w:r w:rsidRPr="00FC5566">
              <w:rPr>
                <w:spacing w:val="-2"/>
                <w:sz w:val="16"/>
                <w:szCs w:val="16"/>
              </w:rPr>
              <w:t>Adopt</w:t>
            </w:r>
          </w:p>
        </w:tc>
        <w:tc>
          <w:tcPr>
            <w:tcW w:w="2430" w:type="dxa"/>
          </w:tcPr>
          <w:p w14:paraId="53CA3F9E" w14:textId="77777777" w:rsidR="00FC5566" w:rsidRPr="00FC5566" w:rsidRDefault="00FC5566" w:rsidP="00FC5566">
            <w:pPr>
              <w:widowControl w:val="0"/>
              <w:autoSpaceDE w:val="0"/>
              <w:autoSpaceDN w:val="0"/>
              <w:ind w:left="107"/>
              <w:rPr>
                <w:sz w:val="16"/>
                <w:szCs w:val="16"/>
              </w:rPr>
            </w:pPr>
            <w:r w:rsidRPr="00FC5566">
              <w:rPr>
                <w:spacing w:val="-2"/>
                <w:sz w:val="16"/>
                <w:szCs w:val="16"/>
              </w:rPr>
              <w:t>Exception</w:t>
            </w:r>
          </w:p>
        </w:tc>
        <w:tc>
          <w:tcPr>
            <w:tcW w:w="7020" w:type="dxa"/>
          </w:tcPr>
          <w:p w14:paraId="10F785F7" w14:textId="77777777" w:rsidR="00FC5566" w:rsidRPr="00FC5566" w:rsidRDefault="00FC5566" w:rsidP="00FC5566">
            <w:pPr>
              <w:widowControl w:val="0"/>
              <w:autoSpaceDE w:val="0"/>
              <w:autoSpaceDN w:val="0"/>
              <w:ind w:left="107"/>
              <w:rPr>
                <w:b/>
                <w:bCs/>
                <w:sz w:val="16"/>
                <w:szCs w:val="16"/>
              </w:rPr>
            </w:pPr>
            <w:r w:rsidRPr="00FC5566">
              <w:rPr>
                <w:b/>
                <w:bCs/>
                <w:sz w:val="16"/>
                <w:szCs w:val="16"/>
              </w:rPr>
              <w:t>Exception:</w:t>
            </w:r>
          </w:p>
          <w:p w14:paraId="02DB07FC" w14:textId="77777777" w:rsidR="00FC5566" w:rsidRPr="00FC5566" w:rsidRDefault="00FC5566" w:rsidP="00FC5566">
            <w:pPr>
              <w:widowControl w:val="0"/>
              <w:autoSpaceDE w:val="0"/>
              <w:autoSpaceDN w:val="0"/>
              <w:ind w:left="107"/>
              <w:rPr>
                <w:sz w:val="16"/>
                <w:szCs w:val="16"/>
              </w:rPr>
            </w:pPr>
            <w:r w:rsidRPr="00FC5566">
              <w:rPr>
                <w:sz w:val="16"/>
                <w:szCs w:val="16"/>
              </w:rPr>
              <w:t>If</w:t>
            </w:r>
            <w:r w:rsidRPr="00FC5566">
              <w:rPr>
                <w:spacing w:val="-2"/>
                <w:sz w:val="16"/>
                <w:szCs w:val="16"/>
              </w:rPr>
              <w:t xml:space="preserve"> </w:t>
            </w:r>
            <w:r w:rsidRPr="00FC5566">
              <w:rPr>
                <w:sz w:val="16"/>
                <w:szCs w:val="16"/>
              </w:rPr>
              <w:t>an owner</w:t>
            </w:r>
            <w:r w:rsidRPr="00FC5566">
              <w:rPr>
                <w:spacing w:val="-1"/>
                <w:sz w:val="16"/>
                <w:szCs w:val="16"/>
              </w:rPr>
              <w:t xml:space="preserve"> </w:t>
            </w:r>
            <w:r w:rsidRPr="00FC5566">
              <w:rPr>
                <w:sz w:val="16"/>
                <w:szCs w:val="16"/>
              </w:rPr>
              <w:t>voluntarily</w:t>
            </w:r>
            <w:r w:rsidRPr="00FC5566">
              <w:rPr>
                <w:spacing w:val="-5"/>
                <w:sz w:val="16"/>
                <w:szCs w:val="16"/>
              </w:rPr>
              <w:t xml:space="preserve"> </w:t>
            </w:r>
            <w:r w:rsidRPr="00FC5566">
              <w:rPr>
                <w:sz w:val="16"/>
                <w:szCs w:val="16"/>
              </w:rPr>
              <w:t>chooses</w:t>
            </w:r>
            <w:r w:rsidRPr="00FC5566">
              <w:rPr>
                <w:spacing w:val="-1"/>
                <w:sz w:val="16"/>
                <w:szCs w:val="16"/>
              </w:rPr>
              <w:t xml:space="preserve"> </w:t>
            </w:r>
            <w:r w:rsidRPr="00FC5566">
              <w:rPr>
                <w:sz w:val="16"/>
                <w:szCs w:val="16"/>
              </w:rPr>
              <w:t>to</w:t>
            </w:r>
            <w:r w:rsidRPr="00FC5566">
              <w:rPr>
                <w:spacing w:val="-3"/>
                <w:sz w:val="16"/>
                <w:szCs w:val="16"/>
              </w:rPr>
              <w:t xml:space="preserve"> </w:t>
            </w:r>
            <w:r w:rsidRPr="00FC5566">
              <w:rPr>
                <w:sz w:val="16"/>
                <w:szCs w:val="16"/>
              </w:rPr>
              <w:t>install</w:t>
            </w:r>
            <w:r w:rsidRPr="00FC5566">
              <w:rPr>
                <w:spacing w:val="-2"/>
                <w:sz w:val="16"/>
                <w:szCs w:val="16"/>
              </w:rPr>
              <w:t xml:space="preserve"> </w:t>
            </w:r>
            <w:r w:rsidRPr="00FC5566">
              <w:rPr>
                <w:sz w:val="16"/>
                <w:szCs w:val="16"/>
              </w:rPr>
              <w:t>an automatic</w:t>
            </w:r>
            <w:r w:rsidRPr="00FC5566">
              <w:rPr>
                <w:spacing w:val="-1"/>
                <w:sz w:val="16"/>
                <w:szCs w:val="16"/>
              </w:rPr>
              <w:t xml:space="preserve"> </w:t>
            </w:r>
            <w:r w:rsidRPr="00FC5566">
              <w:rPr>
                <w:sz w:val="16"/>
                <w:szCs w:val="16"/>
              </w:rPr>
              <w:t>residential</w:t>
            </w:r>
            <w:r w:rsidRPr="00FC5566">
              <w:rPr>
                <w:spacing w:val="-2"/>
                <w:sz w:val="16"/>
                <w:szCs w:val="16"/>
              </w:rPr>
              <w:t xml:space="preserve"> </w:t>
            </w:r>
            <w:r w:rsidRPr="00FC5566">
              <w:rPr>
                <w:sz w:val="16"/>
                <w:szCs w:val="16"/>
              </w:rPr>
              <w:t>fire</w:t>
            </w:r>
            <w:r w:rsidRPr="00FC5566">
              <w:rPr>
                <w:spacing w:val="-3"/>
                <w:sz w:val="16"/>
                <w:szCs w:val="16"/>
              </w:rPr>
              <w:t xml:space="preserve"> </w:t>
            </w:r>
            <w:r w:rsidRPr="00FC5566">
              <w:rPr>
                <w:sz w:val="16"/>
                <w:szCs w:val="16"/>
              </w:rPr>
              <w:t>sprinkler</w:t>
            </w:r>
            <w:r w:rsidRPr="00FC5566">
              <w:rPr>
                <w:spacing w:val="-2"/>
                <w:sz w:val="16"/>
                <w:szCs w:val="16"/>
              </w:rPr>
              <w:t xml:space="preserve"> </w:t>
            </w:r>
            <w:r w:rsidRPr="00FC5566">
              <w:rPr>
                <w:sz w:val="16"/>
                <w:szCs w:val="16"/>
              </w:rPr>
              <w:t>system, it</w:t>
            </w:r>
            <w:r w:rsidRPr="00FC5566">
              <w:rPr>
                <w:spacing w:val="-1"/>
                <w:sz w:val="16"/>
                <w:szCs w:val="16"/>
              </w:rPr>
              <w:t xml:space="preserve"> </w:t>
            </w:r>
            <w:r w:rsidRPr="00FC5566">
              <w:rPr>
                <w:sz w:val="16"/>
                <w:szCs w:val="16"/>
              </w:rPr>
              <w:t>shall</w:t>
            </w:r>
            <w:r w:rsidRPr="00FC5566">
              <w:rPr>
                <w:spacing w:val="-2"/>
                <w:sz w:val="16"/>
                <w:szCs w:val="16"/>
              </w:rPr>
              <w:t xml:space="preserve"> </w:t>
            </w:r>
            <w:r w:rsidRPr="00FC5566">
              <w:rPr>
                <w:spacing w:val="-5"/>
                <w:sz w:val="16"/>
                <w:szCs w:val="16"/>
              </w:rPr>
              <w:t>be</w:t>
            </w:r>
            <w:r w:rsidRPr="00FC5566">
              <w:rPr>
                <w:sz w:val="16"/>
                <w:szCs w:val="16"/>
              </w:rPr>
              <w:t xml:space="preserve"> installed</w:t>
            </w:r>
            <w:r w:rsidRPr="00FC5566">
              <w:rPr>
                <w:spacing w:val="-6"/>
                <w:sz w:val="16"/>
                <w:szCs w:val="16"/>
              </w:rPr>
              <w:t xml:space="preserve"> </w:t>
            </w:r>
            <w:r w:rsidRPr="00FC5566">
              <w:rPr>
                <w:sz w:val="16"/>
                <w:szCs w:val="16"/>
              </w:rPr>
              <w:t>per</w:t>
            </w:r>
            <w:r w:rsidRPr="00FC5566">
              <w:rPr>
                <w:spacing w:val="-7"/>
                <w:sz w:val="16"/>
                <w:szCs w:val="16"/>
              </w:rPr>
              <w:t xml:space="preserve"> </w:t>
            </w:r>
            <w:r w:rsidRPr="00FC5566">
              <w:rPr>
                <w:sz w:val="16"/>
                <w:szCs w:val="16"/>
              </w:rPr>
              <w:t>Section</w:t>
            </w:r>
            <w:r w:rsidRPr="00FC5566">
              <w:rPr>
                <w:spacing w:val="-6"/>
                <w:sz w:val="16"/>
                <w:szCs w:val="16"/>
              </w:rPr>
              <w:t xml:space="preserve"> </w:t>
            </w:r>
            <w:r w:rsidRPr="00FC5566">
              <w:rPr>
                <w:sz w:val="16"/>
                <w:szCs w:val="16"/>
              </w:rPr>
              <w:t>R313.2.1,</w:t>
            </w:r>
            <w:r w:rsidRPr="00FC5566">
              <w:rPr>
                <w:spacing w:val="-5"/>
                <w:sz w:val="16"/>
                <w:szCs w:val="16"/>
              </w:rPr>
              <w:t xml:space="preserve"> </w:t>
            </w:r>
            <w:r w:rsidRPr="00FC5566">
              <w:rPr>
                <w:sz w:val="16"/>
                <w:szCs w:val="16"/>
              </w:rPr>
              <w:t>Design</w:t>
            </w:r>
            <w:r w:rsidRPr="00FC5566">
              <w:rPr>
                <w:spacing w:val="-6"/>
                <w:sz w:val="16"/>
                <w:szCs w:val="16"/>
              </w:rPr>
              <w:t xml:space="preserve"> </w:t>
            </w:r>
            <w:r w:rsidRPr="00FC5566">
              <w:rPr>
                <w:sz w:val="16"/>
                <w:szCs w:val="16"/>
              </w:rPr>
              <w:t>and</w:t>
            </w:r>
            <w:r w:rsidRPr="00FC5566">
              <w:rPr>
                <w:spacing w:val="-5"/>
                <w:sz w:val="16"/>
                <w:szCs w:val="16"/>
              </w:rPr>
              <w:t xml:space="preserve"> </w:t>
            </w:r>
            <w:r w:rsidRPr="00FC5566">
              <w:rPr>
                <w:spacing w:val="-2"/>
                <w:sz w:val="16"/>
                <w:szCs w:val="16"/>
              </w:rPr>
              <w:t>Installation.</w:t>
            </w:r>
          </w:p>
        </w:tc>
      </w:tr>
      <w:tr w:rsidR="00FC5566" w:rsidRPr="00FC5566" w14:paraId="6CB0D334" w14:textId="77777777" w:rsidTr="00B247D5">
        <w:trPr>
          <w:trHeight w:val="187"/>
        </w:trPr>
        <w:tc>
          <w:tcPr>
            <w:tcW w:w="1080" w:type="dxa"/>
          </w:tcPr>
          <w:p w14:paraId="2694E1D2" w14:textId="77777777" w:rsidR="00FC5566" w:rsidRPr="00FC5566" w:rsidRDefault="00FC5566" w:rsidP="00FC5566">
            <w:pPr>
              <w:widowControl w:val="0"/>
              <w:autoSpaceDE w:val="0"/>
              <w:autoSpaceDN w:val="0"/>
              <w:jc w:val="center"/>
              <w:rPr>
                <w:sz w:val="16"/>
                <w:szCs w:val="16"/>
              </w:rPr>
            </w:pPr>
            <w:r w:rsidRPr="00FC5566">
              <w:rPr>
                <w:spacing w:val="-2"/>
                <w:sz w:val="16"/>
                <w:szCs w:val="16"/>
              </w:rPr>
              <w:t>Amend</w:t>
            </w:r>
          </w:p>
        </w:tc>
        <w:tc>
          <w:tcPr>
            <w:tcW w:w="2430" w:type="dxa"/>
          </w:tcPr>
          <w:p w14:paraId="38A7F308" w14:textId="77777777" w:rsidR="00FC5566" w:rsidRPr="00FC5566" w:rsidRDefault="00FC5566" w:rsidP="00FC5566">
            <w:pPr>
              <w:widowControl w:val="0"/>
              <w:autoSpaceDE w:val="0"/>
              <w:autoSpaceDN w:val="0"/>
              <w:ind w:left="107"/>
              <w:rPr>
                <w:sz w:val="16"/>
                <w:szCs w:val="16"/>
              </w:rPr>
            </w:pPr>
            <w:r w:rsidRPr="00FC5566">
              <w:rPr>
                <w:sz w:val="16"/>
                <w:szCs w:val="16"/>
              </w:rPr>
              <w:t>Section</w:t>
            </w:r>
            <w:r w:rsidRPr="00FC5566">
              <w:rPr>
                <w:spacing w:val="-10"/>
                <w:sz w:val="16"/>
                <w:szCs w:val="16"/>
              </w:rPr>
              <w:t xml:space="preserve"> </w:t>
            </w:r>
            <w:r w:rsidRPr="00FC5566">
              <w:rPr>
                <w:sz w:val="16"/>
                <w:szCs w:val="16"/>
              </w:rPr>
              <w:t>R325.3,</w:t>
            </w:r>
            <w:r w:rsidRPr="00FC5566">
              <w:rPr>
                <w:spacing w:val="-10"/>
                <w:sz w:val="16"/>
                <w:szCs w:val="16"/>
              </w:rPr>
              <w:t xml:space="preserve"> </w:t>
            </w:r>
            <w:r w:rsidRPr="00FC5566">
              <w:rPr>
                <w:sz w:val="16"/>
                <w:szCs w:val="16"/>
              </w:rPr>
              <w:t>Mechanical</w:t>
            </w:r>
            <w:r w:rsidRPr="00FC5566">
              <w:rPr>
                <w:spacing w:val="40"/>
                <w:sz w:val="16"/>
                <w:szCs w:val="16"/>
              </w:rPr>
              <w:t xml:space="preserve"> </w:t>
            </w:r>
            <w:r w:rsidRPr="00FC5566">
              <w:rPr>
                <w:spacing w:val="-2"/>
                <w:sz w:val="16"/>
                <w:szCs w:val="16"/>
              </w:rPr>
              <w:t>Ventilation.</w:t>
            </w:r>
          </w:p>
        </w:tc>
        <w:tc>
          <w:tcPr>
            <w:tcW w:w="7020" w:type="dxa"/>
          </w:tcPr>
          <w:p w14:paraId="1E234729" w14:textId="77777777" w:rsidR="00FC5566" w:rsidRPr="00FC5566" w:rsidRDefault="00FC5566" w:rsidP="00FC5566">
            <w:pPr>
              <w:widowControl w:val="0"/>
              <w:autoSpaceDE w:val="0"/>
              <w:autoSpaceDN w:val="0"/>
              <w:ind w:left="107" w:right="89"/>
              <w:rPr>
                <w:sz w:val="16"/>
                <w:szCs w:val="16"/>
              </w:rPr>
            </w:pPr>
            <w:r w:rsidRPr="00FC5566">
              <w:rPr>
                <w:sz w:val="16"/>
                <w:szCs w:val="16"/>
              </w:rPr>
              <w:t>Where the air infiltration rate of a dwelling unit is less than 3.00 air changes per hour where tested</w:t>
            </w:r>
            <w:r w:rsidRPr="00FC5566">
              <w:rPr>
                <w:spacing w:val="40"/>
                <w:sz w:val="16"/>
                <w:szCs w:val="16"/>
              </w:rPr>
              <w:t xml:space="preserve"> </w:t>
            </w:r>
            <w:r w:rsidRPr="00FC5566">
              <w:rPr>
                <w:sz w:val="16"/>
                <w:szCs w:val="16"/>
              </w:rPr>
              <w:t>with a blower door at a pressure of 0.2 inch w.c. (50 Pa) in accordance with Section N1102.5.1.2, the</w:t>
            </w:r>
            <w:r w:rsidRPr="00FC5566">
              <w:rPr>
                <w:spacing w:val="40"/>
                <w:sz w:val="16"/>
                <w:szCs w:val="16"/>
              </w:rPr>
              <w:t xml:space="preserve"> </w:t>
            </w:r>
            <w:r w:rsidRPr="00FC5566">
              <w:rPr>
                <w:sz w:val="16"/>
                <w:szCs w:val="16"/>
              </w:rPr>
              <w:t>dwelling unit shall be provided with whole-house mechanical ventilation in accordance with Section</w:t>
            </w:r>
          </w:p>
          <w:p w14:paraId="4A6DADC9" w14:textId="77777777" w:rsidR="00FC5566" w:rsidRPr="00FC5566" w:rsidRDefault="00FC5566" w:rsidP="00FC5566">
            <w:pPr>
              <w:widowControl w:val="0"/>
              <w:autoSpaceDE w:val="0"/>
              <w:autoSpaceDN w:val="0"/>
              <w:ind w:left="107"/>
              <w:rPr>
                <w:sz w:val="16"/>
                <w:szCs w:val="16"/>
              </w:rPr>
            </w:pPr>
            <w:r w:rsidRPr="00FC5566">
              <w:rPr>
                <w:spacing w:val="-2"/>
                <w:sz w:val="16"/>
                <w:szCs w:val="16"/>
              </w:rPr>
              <w:t>M1505.</w:t>
            </w:r>
          </w:p>
        </w:tc>
      </w:tr>
      <w:tr w:rsidR="00FC5566" w:rsidRPr="00FC5566" w14:paraId="41EE4BF3"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56A37444"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57B030A4" w14:textId="77777777" w:rsidR="00FC5566" w:rsidRPr="00FC5566" w:rsidRDefault="00FC5566" w:rsidP="00FC5566">
            <w:pPr>
              <w:widowControl w:val="0"/>
              <w:autoSpaceDE w:val="0"/>
              <w:autoSpaceDN w:val="0"/>
              <w:ind w:left="107" w:right="94"/>
              <w:rPr>
                <w:sz w:val="16"/>
                <w:szCs w:val="16"/>
              </w:rPr>
            </w:pPr>
            <w:r w:rsidRPr="00FC5566">
              <w:rPr>
                <w:sz w:val="16"/>
                <w:szCs w:val="16"/>
              </w:rPr>
              <w:t>Chapter 6, Wall Construction.</w:t>
            </w:r>
          </w:p>
        </w:tc>
        <w:tc>
          <w:tcPr>
            <w:tcW w:w="7020" w:type="dxa"/>
            <w:tcBorders>
              <w:top w:val="single" w:sz="6" w:space="0" w:color="000000"/>
              <w:left w:val="single" w:sz="6" w:space="0" w:color="000000"/>
              <w:bottom w:val="single" w:sz="6" w:space="0" w:color="000000"/>
              <w:right w:val="single" w:sz="6" w:space="0" w:color="000000"/>
            </w:tcBorders>
          </w:tcPr>
          <w:p w14:paraId="1D46D88D" w14:textId="77777777" w:rsidR="00FC5566" w:rsidRPr="00FC5566" w:rsidRDefault="00FC5566" w:rsidP="00FC5566">
            <w:pPr>
              <w:widowControl w:val="0"/>
              <w:autoSpaceDE w:val="0"/>
              <w:autoSpaceDN w:val="0"/>
              <w:ind w:left="107" w:right="90"/>
              <w:rPr>
                <w:sz w:val="16"/>
                <w:szCs w:val="16"/>
              </w:rPr>
            </w:pPr>
          </w:p>
        </w:tc>
      </w:tr>
      <w:tr w:rsidR="00FC5566" w:rsidRPr="00FC5566" w14:paraId="4A576817" w14:textId="77777777" w:rsidTr="00B247D5">
        <w:trPr>
          <w:trHeight w:val="187"/>
        </w:trPr>
        <w:tc>
          <w:tcPr>
            <w:tcW w:w="1080" w:type="dxa"/>
            <w:tcBorders>
              <w:top w:val="single" w:sz="6" w:space="0" w:color="000000"/>
              <w:left w:val="single" w:sz="6" w:space="0" w:color="000000"/>
              <w:bottom w:val="single" w:sz="6" w:space="0" w:color="000000"/>
              <w:right w:val="single" w:sz="6" w:space="0" w:color="000000"/>
            </w:tcBorders>
          </w:tcPr>
          <w:p w14:paraId="6DE481FD"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725BC982" w14:textId="77777777" w:rsidR="00FC5566" w:rsidRPr="00FC5566" w:rsidRDefault="00FC5566" w:rsidP="00FC5566">
            <w:pPr>
              <w:widowControl w:val="0"/>
              <w:autoSpaceDE w:val="0"/>
              <w:autoSpaceDN w:val="0"/>
              <w:ind w:left="107" w:right="94"/>
              <w:rPr>
                <w:sz w:val="16"/>
                <w:szCs w:val="16"/>
              </w:rPr>
            </w:pPr>
            <w:r w:rsidRPr="00FC5566">
              <w:rPr>
                <w:sz w:val="16"/>
                <w:szCs w:val="16"/>
              </w:rPr>
              <w:t>Table R602.3(1), Fastening Schedule</w:t>
            </w:r>
          </w:p>
        </w:tc>
        <w:tc>
          <w:tcPr>
            <w:tcW w:w="7020" w:type="dxa"/>
            <w:tcBorders>
              <w:top w:val="single" w:sz="6" w:space="0" w:color="000000"/>
              <w:left w:val="single" w:sz="6" w:space="0" w:color="000000"/>
              <w:bottom w:val="single" w:sz="6" w:space="0" w:color="000000"/>
              <w:right w:val="single" w:sz="6" w:space="0" w:color="000000"/>
            </w:tcBorders>
          </w:tcPr>
          <w:p w14:paraId="464E7125" w14:textId="77777777" w:rsidR="00FC5566" w:rsidRPr="00FC5566" w:rsidRDefault="00FC5566" w:rsidP="00FC5566">
            <w:pPr>
              <w:widowControl w:val="0"/>
              <w:autoSpaceDE w:val="0"/>
              <w:autoSpaceDN w:val="0"/>
              <w:ind w:left="107" w:right="90"/>
              <w:rPr>
                <w:sz w:val="16"/>
                <w:szCs w:val="16"/>
              </w:rPr>
            </w:pPr>
          </w:p>
        </w:tc>
      </w:tr>
      <w:tr w:rsidR="00FC5566" w:rsidRPr="00FC5566" w14:paraId="2841294C"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1641176B"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5A2C2E46" w14:textId="77777777" w:rsidR="00FC5566" w:rsidRPr="00FC5566" w:rsidRDefault="00FC5566" w:rsidP="00FC5566">
            <w:pPr>
              <w:widowControl w:val="0"/>
              <w:autoSpaceDE w:val="0"/>
              <w:autoSpaceDN w:val="0"/>
              <w:ind w:left="107" w:right="94"/>
              <w:rPr>
                <w:sz w:val="16"/>
                <w:szCs w:val="16"/>
              </w:rPr>
            </w:pPr>
            <w:r w:rsidRPr="00FC5566">
              <w:rPr>
                <w:sz w:val="16"/>
                <w:szCs w:val="16"/>
              </w:rPr>
              <w:t>Footnote:</w:t>
            </w:r>
          </w:p>
        </w:tc>
        <w:tc>
          <w:tcPr>
            <w:tcW w:w="7020" w:type="dxa"/>
            <w:tcBorders>
              <w:top w:val="single" w:sz="6" w:space="0" w:color="000000"/>
              <w:left w:val="single" w:sz="6" w:space="0" w:color="000000"/>
              <w:bottom w:val="single" w:sz="6" w:space="0" w:color="000000"/>
              <w:right w:val="single" w:sz="6" w:space="0" w:color="000000"/>
            </w:tcBorders>
          </w:tcPr>
          <w:p w14:paraId="6BF81B6E" w14:textId="77777777" w:rsidR="00FC5566" w:rsidRPr="00FC5566" w:rsidRDefault="00FC5566" w:rsidP="00FC5566">
            <w:pPr>
              <w:widowControl w:val="0"/>
              <w:autoSpaceDE w:val="0"/>
              <w:autoSpaceDN w:val="0"/>
              <w:ind w:left="107" w:right="90"/>
              <w:rPr>
                <w:sz w:val="16"/>
                <w:szCs w:val="16"/>
              </w:rPr>
            </w:pPr>
          </w:p>
        </w:tc>
      </w:tr>
      <w:tr w:rsidR="00FC5566" w:rsidRPr="00FC5566" w14:paraId="7C709F66" w14:textId="77777777" w:rsidTr="00B247D5">
        <w:trPr>
          <w:trHeight w:val="187"/>
        </w:trPr>
        <w:tc>
          <w:tcPr>
            <w:tcW w:w="1080" w:type="dxa"/>
            <w:tcBorders>
              <w:top w:val="single" w:sz="6" w:space="0" w:color="000000"/>
              <w:left w:val="single" w:sz="6" w:space="0" w:color="000000"/>
              <w:bottom w:val="single" w:sz="6" w:space="0" w:color="000000"/>
              <w:right w:val="single" w:sz="6" w:space="0" w:color="000000"/>
            </w:tcBorders>
          </w:tcPr>
          <w:p w14:paraId="66DA1675" w14:textId="77777777" w:rsidR="00FC5566" w:rsidRPr="00FC5566" w:rsidRDefault="00FC5566" w:rsidP="00FC5566">
            <w:pPr>
              <w:widowControl w:val="0"/>
              <w:autoSpaceDE w:val="0"/>
              <w:autoSpaceDN w:val="0"/>
              <w:jc w:val="center"/>
              <w:rPr>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579C7C24" w14:textId="77777777" w:rsidR="00FC5566" w:rsidRPr="00FC5566" w:rsidRDefault="00FC5566" w:rsidP="00FC5566">
            <w:pPr>
              <w:widowControl w:val="0"/>
              <w:autoSpaceDE w:val="0"/>
              <w:autoSpaceDN w:val="0"/>
              <w:ind w:left="107" w:right="94"/>
              <w:rPr>
                <w:sz w:val="16"/>
                <w:szCs w:val="16"/>
              </w:rPr>
            </w:pPr>
            <w:r w:rsidRPr="00FC5566">
              <w:rPr>
                <w:sz w:val="16"/>
                <w:szCs w:val="16"/>
              </w:rPr>
              <w:t>Item (b.)</w:t>
            </w:r>
          </w:p>
        </w:tc>
        <w:tc>
          <w:tcPr>
            <w:tcW w:w="7020" w:type="dxa"/>
            <w:tcBorders>
              <w:top w:val="single" w:sz="6" w:space="0" w:color="000000"/>
              <w:left w:val="single" w:sz="6" w:space="0" w:color="000000"/>
              <w:bottom w:val="single" w:sz="6" w:space="0" w:color="000000"/>
              <w:right w:val="single" w:sz="6" w:space="0" w:color="000000"/>
            </w:tcBorders>
          </w:tcPr>
          <w:p w14:paraId="295351AA" w14:textId="77777777" w:rsidR="00FC5566" w:rsidRPr="00FC5566" w:rsidRDefault="00FC5566" w:rsidP="00FC5566">
            <w:pPr>
              <w:widowControl w:val="0"/>
              <w:autoSpaceDE w:val="0"/>
              <w:autoSpaceDN w:val="0"/>
              <w:ind w:left="107" w:right="90"/>
              <w:rPr>
                <w:sz w:val="16"/>
                <w:szCs w:val="16"/>
              </w:rPr>
            </w:pPr>
            <w:r w:rsidRPr="00FC5566">
              <w:rPr>
                <w:sz w:val="16"/>
                <w:szCs w:val="16"/>
              </w:rPr>
              <w:t>RSRS-01 is a Roof Sheathing Ring Shank nail meeting the specifications in ASTM F166, required where wind design is required</w:t>
            </w:r>
          </w:p>
        </w:tc>
      </w:tr>
      <w:tr w:rsidR="00FC5566" w:rsidRPr="00FC5566" w14:paraId="4370D409" w14:textId="77777777" w:rsidTr="00B247D5">
        <w:trPr>
          <w:trHeight w:val="259"/>
        </w:trPr>
        <w:tc>
          <w:tcPr>
            <w:tcW w:w="1080" w:type="dxa"/>
          </w:tcPr>
          <w:p w14:paraId="07A0188D"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lastRenderedPageBreak/>
              <w:t>Amend</w:t>
            </w:r>
          </w:p>
        </w:tc>
        <w:tc>
          <w:tcPr>
            <w:tcW w:w="2430" w:type="dxa"/>
          </w:tcPr>
          <w:p w14:paraId="23DA7C84" w14:textId="77777777" w:rsidR="00FC5566" w:rsidRPr="00FC5566" w:rsidRDefault="00FC5566" w:rsidP="00FC5566">
            <w:pPr>
              <w:widowControl w:val="0"/>
              <w:autoSpaceDE w:val="0"/>
              <w:autoSpaceDN w:val="0"/>
              <w:ind w:left="107"/>
              <w:rPr>
                <w:sz w:val="16"/>
                <w:szCs w:val="16"/>
              </w:rPr>
            </w:pPr>
            <w:r w:rsidRPr="00FC5566">
              <w:rPr>
                <w:sz w:val="16"/>
                <w:szCs w:val="16"/>
              </w:rPr>
              <w:t>Chapter 9, Roof Assemblies.</w:t>
            </w:r>
          </w:p>
        </w:tc>
        <w:tc>
          <w:tcPr>
            <w:tcW w:w="7020" w:type="dxa"/>
          </w:tcPr>
          <w:p w14:paraId="0FE79CA3" w14:textId="77777777" w:rsidR="00FC5566" w:rsidRPr="00FC5566" w:rsidRDefault="00FC5566" w:rsidP="00FC5566">
            <w:pPr>
              <w:widowControl w:val="0"/>
              <w:autoSpaceDE w:val="0"/>
              <w:autoSpaceDN w:val="0"/>
              <w:ind w:left="106"/>
              <w:rPr>
                <w:sz w:val="16"/>
                <w:szCs w:val="16"/>
                <w:highlight w:val="red"/>
              </w:rPr>
            </w:pPr>
          </w:p>
        </w:tc>
      </w:tr>
      <w:tr w:rsidR="00FC5566" w:rsidRPr="00FC5566" w14:paraId="21F91484" w14:textId="77777777" w:rsidTr="00B247D5">
        <w:trPr>
          <w:trHeight w:val="259"/>
        </w:trPr>
        <w:tc>
          <w:tcPr>
            <w:tcW w:w="1080" w:type="dxa"/>
          </w:tcPr>
          <w:p w14:paraId="5A83274C" w14:textId="77777777" w:rsidR="00FC5566" w:rsidRPr="00FC5566" w:rsidRDefault="00FC5566" w:rsidP="00FC5566">
            <w:pPr>
              <w:widowControl w:val="0"/>
              <w:autoSpaceDE w:val="0"/>
              <w:autoSpaceDN w:val="0"/>
              <w:jc w:val="center"/>
              <w:rPr>
                <w:spacing w:val="-2"/>
                <w:sz w:val="16"/>
                <w:szCs w:val="16"/>
                <w:highlight w:val="red"/>
              </w:rPr>
            </w:pPr>
            <w:r w:rsidRPr="00FC5566">
              <w:rPr>
                <w:spacing w:val="-2"/>
                <w:sz w:val="16"/>
                <w:szCs w:val="16"/>
              </w:rPr>
              <w:t>Amend</w:t>
            </w:r>
          </w:p>
        </w:tc>
        <w:tc>
          <w:tcPr>
            <w:tcW w:w="2430" w:type="dxa"/>
          </w:tcPr>
          <w:p w14:paraId="74877A21" w14:textId="77777777" w:rsidR="00FC5566" w:rsidRPr="00FC5566" w:rsidRDefault="00FC5566" w:rsidP="00FC5566">
            <w:pPr>
              <w:widowControl w:val="0"/>
              <w:autoSpaceDE w:val="0"/>
              <w:autoSpaceDN w:val="0"/>
              <w:ind w:left="107"/>
              <w:rPr>
                <w:sz w:val="16"/>
                <w:szCs w:val="16"/>
                <w:highlight w:val="red"/>
              </w:rPr>
            </w:pPr>
            <w:r w:rsidRPr="00FC5566">
              <w:rPr>
                <w:sz w:val="16"/>
                <w:szCs w:val="16"/>
              </w:rPr>
              <w:t>Section R 905.1.1, Underlayment.</w:t>
            </w:r>
          </w:p>
        </w:tc>
        <w:tc>
          <w:tcPr>
            <w:tcW w:w="7020" w:type="dxa"/>
          </w:tcPr>
          <w:p w14:paraId="0C6536EF" w14:textId="77777777" w:rsidR="00FC5566" w:rsidRPr="00FC5566" w:rsidRDefault="00FC5566" w:rsidP="00FC5566">
            <w:pPr>
              <w:widowControl w:val="0"/>
              <w:autoSpaceDE w:val="0"/>
              <w:autoSpaceDN w:val="0"/>
              <w:ind w:left="106"/>
              <w:rPr>
                <w:sz w:val="16"/>
                <w:szCs w:val="16"/>
                <w:highlight w:val="red"/>
              </w:rPr>
            </w:pPr>
          </w:p>
        </w:tc>
      </w:tr>
      <w:tr w:rsidR="00FC5566" w:rsidRPr="00FC5566" w14:paraId="13D52E1D" w14:textId="77777777" w:rsidTr="00B247D5">
        <w:trPr>
          <w:trHeight w:val="187"/>
        </w:trPr>
        <w:tc>
          <w:tcPr>
            <w:tcW w:w="1080" w:type="dxa"/>
          </w:tcPr>
          <w:p w14:paraId="6B94CD70" w14:textId="77777777" w:rsidR="00FC5566" w:rsidRPr="00FC5566" w:rsidRDefault="00FC5566" w:rsidP="00FC5566">
            <w:pPr>
              <w:widowControl w:val="0"/>
              <w:autoSpaceDE w:val="0"/>
              <w:autoSpaceDN w:val="0"/>
              <w:jc w:val="center"/>
              <w:rPr>
                <w:spacing w:val="-2"/>
                <w:sz w:val="16"/>
                <w:szCs w:val="16"/>
                <w:highlight w:val="red"/>
              </w:rPr>
            </w:pPr>
            <w:r w:rsidRPr="00FC5566">
              <w:rPr>
                <w:spacing w:val="-2"/>
                <w:sz w:val="16"/>
                <w:szCs w:val="16"/>
              </w:rPr>
              <w:t>Adopt</w:t>
            </w:r>
          </w:p>
        </w:tc>
        <w:tc>
          <w:tcPr>
            <w:tcW w:w="2430" w:type="dxa"/>
          </w:tcPr>
          <w:p w14:paraId="469A3873" w14:textId="77777777" w:rsidR="00FC5566" w:rsidRPr="00FC5566" w:rsidRDefault="00FC5566" w:rsidP="00FC5566">
            <w:pPr>
              <w:widowControl w:val="0"/>
              <w:autoSpaceDE w:val="0"/>
              <w:autoSpaceDN w:val="0"/>
              <w:ind w:left="107"/>
              <w:rPr>
                <w:sz w:val="16"/>
                <w:szCs w:val="16"/>
                <w:highlight w:val="red"/>
              </w:rPr>
            </w:pPr>
          </w:p>
        </w:tc>
        <w:tc>
          <w:tcPr>
            <w:tcW w:w="7020" w:type="dxa"/>
          </w:tcPr>
          <w:p w14:paraId="257469DF" w14:textId="77777777" w:rsidR="00FC5566" w:rsidRPr="00FC5566" w:rsidRDefault="00FC5566" w:rsidP="00FC5566">
            <w:pPr>
              <w:widowControl w:val="0"/>
              <w:autoSpaceDE w:val="0"/>
              <w:autoSpaceDN w:val="0"/>
              <w:ind w:left="101" w:right="66"/>
              <w:rPr>
                <w:sz w:val="16"/>
                <w:szCs w:val="16"/>
              </w:rPr>
            </w:pPr>
            <w:r w:rsidRPr="00FC5566">
              <w:rPr>
                <w:sz w:val="16"/>
                <w:szCs w:val="16"/>
              </w:rPr>
              <w:t>When a roof is installed to IBHS Fortified Standards the following shall be required:</w:t>
            </w:r>
          </w:p>
          <w:p w14:paraId="7E0E5E88" w14:textId="77777777" w:rsidR="00FC5566" w:rsidRPr="00FC5566" w:rsidRDefault="00FC5566" w:rsidP="00FC5566">
            <w:pPr>
              <w:widowControl w:val="0"/>
              <w:autoSpaceDE w:val="0"/>
              <w:autoSpaceDN w:val="0"/>
              <w:ind w:left="109" w:right="66"/>
              <w:rPr>
                <w:sz w:val="16"/>
                <w:szCs w:val="16"/>
              </w:rPr>
            </w:pPr>
            <w:r w:rsidRPr="00FC5566">
              <w:rPr>
                <w:sz w:val="16"/>
                <w:szCs w:val="16"/>
              </w:rPr>
              <w:t>(1.) Provide (minimum 26 gauge for steel) corrosion-resistant metal drip edge and fasteners at eaves and gables of shingle roofs. Overlap is to be a minimum of 3 inches (76 mm). Eave drip edges shall extend 1/2 inch (13 mm) below sheathing and extend back on the roof a minimum of 2 inches (51 mm). Drip edge shall be installed over the underlayment. Self-adhering, ASTM D1970 underlayment may be installed over a primed drip edge flange. Drip edge shall be mechanically fastened in an alternating (staggered) pattern a maximum of 4 inches (305 mm) on center.</w:t>
            </w:r>
          </w:p>
          <w:p w14:paraId="084D9566" w14:textId="77777777" w:rsidR="00FC5566" w:rsidRPr="00FC5566" w:rsidRDefault="00FC5566" w:rsidP="00FC5566">
            <w:pPr>
              <w:widowControl w:val="0"/>
              <w:autoSpaceDE w:val="0"/>
              <w:autoSpaceDN w:val="0"/>
              <w:ind w:left="109" w:right="66"/>
              <w:rPr>
                <w:sz w:val="16"/>
                <w:szCs w:val="16"/>
              </w:rPr>
            </w:pPr>
            <w:r w:rsidRPr="00FC5566">
              <w:rPr>
                <w:sz w:val="16"/>
                <w:szCs w:val="16"/>
              </w:rPr>
              <w:t>(2.) Fasteners shall be galvanized steel, stainless steel, aluminum or copper roofing nails, minimum 12-gage [0.105 inch (3 mm)] shank with a minimum ⅜-inch diameter (9.5 mm) head, complying with ASTM F1667 as specified in section R905.2.5.</w:t>
            </w:r>
          </w:p>
          <w:p w14:paraId="236925A0" w14:textId="77777777" w:rsidR="00FC5566" w:rsidRPr="00FC5566" w:rsidRDefault="00FC5566" w:rsidP="00FC5566">
            <w:pPr>
              <w:widowControl w:val="0"/>
              <w:autoSpaceDE w:val="0"/>
              <w:autoSpaceDN w:val="0"/>
              <w:ind w:left="106"/>
              <w:rPr>
                <w:sz w:val="16"/>
                <w:szCs w:val="16"/>
                <w:highlight w:val="red"/>
              </w:rPr>
            </w:pPr>
            <w:r w:rsidRPr="00FC5566">
              <w:rPr>
                <w:sz w:val="16"/>
                <w:szCs w:val="16"/>
              </w:rPr>
              <w:t>(3.) The top surface of the drip edge shall be clean, free of oil, primed with ASTM D41 primer per manufacturer. There shall be a minimum 8 inches (51 mm) width, 1/8-inch maximum thickness, of roof cement installed over the drip edge flange or the self-adhering underlayment or a self-adhering, ASTM D1970 shingle starter strip.</w:t>
            </w:r>
          </w:p>
        </w:tc>
      </w:tr>
      <w:tr w:rsidR="00FC5566" w:rsidRPr="00FC5566" w14:paraId="7CF065CE" w14:textId="77777777" w:rsidTr="00B247D5">
        <w:trPr>
          <w:trHeight w:val="187"/>
        </w:trPr>
        <w:tc>
          <w:tcPr>
            <w:tcW w:w="1080" w:type="dxa"/>
          </w:tcPr>
          <w:p w14:paraId="7456D0D8" w14:textId="77777777" w:rsidR="00FC5566" w:rsidRPr="00FC5566" w:rsidRDefault="00FC5566" w:rsidP="00FC5566">
            <w:pPr>
              <w:widowControl w:val="0"/>
              <w:autoSpaceDE w:val="0"/>
              <w:autoSpaceDN w:val="0"/>
              <w:jc w:val="center"/>
              <w:rPr>
                <w:sz w:val="16"/>
                <w:szCs w:val="16"/>
              </w:rPr>
            </w:pPr>
            <w:r w:rsidRPr="00FC5566">
              <w:rPr>
                <w:spacing w:val="-2"/>
                <w:sz w:val="16"/>
                <w:szCs w:val="16"/>
              </w:rPr>
              <w:t>Amend</w:t>
            </w:r>
          </w:p>
        </w:tc>
        <w:tc>
          <w:tcPr>
            <w:tcW w:w="2430" w:type="dxa"/>
          </w:tcPr>
          <w:p w14:paraId="4196E528" w14:textId="77777777" w:rsidR="00FC5566" w:rsidRPr="00FC5566" w:rsidRDefault="00FC5566" w:rsidP="00FC5566">
            <w:pPr>
              <w:widowControl w:val="0"/>
              <w:autoSpaceDE w:val="0"/>
              <w:autoSpaceDN w:val="0"/>
              <w:ind w:left="107"/>
              <w:rPr>
                <w:sz w:val="16"/>
                <w:szCs w:val="16"/>
              </w:rPr>
            </w:pPr>
            <w:r w:rsidRPr="00FC5566">
              <w:rPr>
                <w:sz w:val="16"/>
                <w:szCs w:val="16"/>
              </w:rPr>
              <w:t>Section</w:t>
            </w:r>
            <w:r w:rsidRPr="00FC5566">
              <w:rPr>
                <w:spacing w:val="-5"/>
                <w:sz w:val="16"/>
                <w:szCs w:val="16"/>
              </w:rPr>
              <w:t xml:space="preserve"> </w:t>
            </w:r>
            <w:r w:rsidRPr="00FC5566">
              <w:rPr>
                <w:sz w:val="16"/>
                <w:szCs w:val="16"/>
              </w:rPr>
              <w:t>R905.2.8.5, Drip Edge.</w:t>
            </w:r>
          </w:p>
        </w:tc>
        <w:tc>
          <w:tcPr>
            <w:tcW w:w="7020" w:type="dxa"/>
          </w:tcPr>
          <w:p w14:paraId="54E1FE94" w14:textId="77777777" w:rsidR="00FC5566" w:rsidRPr="00FC5566" w:rsidRDefault="00FC5566" w:rsidP="00FC5566">
            <w:pPr>
              <w:widowControl w:val="0"/>
              <w:autoSpaceDE w:val="0"/>
              <w:autoSpaceDN w:val="0"/>
              <w:ind w:left="106"/>
              <w:rPr>
                <w:sz w:val="16"/>
                <w:szCs w:val="16"/>
              </w:rPr>
            </w:pPr>
          </w:p>
        </w:tc>
      </w:tr>
      <w:tr w:rsidR="00FC5566" w:rsidRPr="00FC5566" w14:paraId="777E5C7B" w14:textId="77777777" w:rsidTr="00B247D5">
        <w:trPr>
          <w:trHeight w:val="187"/>
        </w:trPr>
        <w:tc>
          <w:tcPr>
            <w:tcW w:w="1080" w:type="dxa"/>
          </w:tcPr>
          <w:p w14:paraId="2D7E7B36"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Adopt</w:t>
            </w:r>
          </w:p>
        </w:tc>
        <w:tc>
          <w:tcPr>
            <w:tcW w:w="2430" w:type="dxa"/>
          </w:tcPr>
          <w:p w14:paraId="68498554" w14:textId="77777777" w:rsidR="00FC5566" w:rsidRPr="00FC5566" w:rsidRDefault="00FC5566" w:rsidP="00FC5566">
            <w:pPr>
              <w:widowControl w:val="0"/>
              <w:autoSpaceDE w:val="0"/>
              <w:autoSpaceDN w:val="0"/>
              <w:ind w:left="107"/>
              <w:rPr>
                <w:sz w:val="16"/>
                <w:szCs w:val="16"/>
              </w:rPr>
            </w:pPr>
            <w:r w:rsidRPr="00FC5566">
              <w:rPr>
                <w:sz w:val="16"/>
                <w:szCs w:val="16"/>
              </w:rPr>
              <w:t>Exception</w:t>
            </w:r>
          </w:p>
        </w:tc>
        <w:tc>
          <w:tcPr>
            <w:tcW w:w="7020" w:type="dxa"/>
          </w:tcPr>
          <w:p w14:paraId="678CE8FD" w14:textId="77777777" w:rsidR="00FC5566" w:rsidRPr="00FC5566" w:rsidRDefault="00FC5566" w:rsidP="00FC5566">
            <w:pPr>
              <w:widowControl w:val="0"/>
              <w:autoSpaceDE w:val="0"/>
              <w:autoSpaceDN w:val="0"/>
              <w:ind w:left="106" w:right="79"/>
              <w:rPr>
                <w:b/>
                <w:bCs/>
                <w:sz w:val="16"/>
                <w:szCs w:val="16"/>
              </w:rPr>
            </w:pPr>
            <w:r w:rsidRPr="00FC5566">
              <w:rPr>
                <w:b/>
                <w:bCs/>
                <w:sz w:val="16"/>
                <w:szCs w:val="16"/>
              </w:rPr>
              <w:t>Exception:</w:t>
            </w:r>
          </w:p>
          <w:p w14:paraId="23D32D52" w14:textId="77777777" w:rsidR="00FC5566" w:rsidRPr="00FC5566" w:rsidRDefault="00FC5566" w:rsidP="00FC5566">
            <w:pPr>
              <w:widowControl w:val="0"/>
              <w:autoSpaceDE w:val="0"/>
              <w:autoSpaceDN w:val="0"/>
              <w:ind w:left="106" w:right="79"/>
              <w:rPr>
                <w:sz w:val="16"/>
                <w:szCs w:val="16"/>
              </w:rPr>
            </w:pPr>
            <w:r w:rsidRPr="00FC5566">
              <w:rPr>
                <w:sz w:val="16"/>
                <w:szCs w:val="16"/>
              </w:rPr>
              <w:t>When constructing an IBHS Fortified Certified Roof, drip edge requirements for fortified standards shall be followed.</w:t>
            </w:r>
          </w:p>
        </w:tc>
      </w:tr>
      <w:tr w:rsidR="00FC5566" w:rsidRPr="00FC5566" w14:paraId="621A55BB" w14:textId="77777777" w:rsidTr="00B247D5">
        <w:trPr>
          <w:trHeight w:val="187"/>
        </w:trPr>
        <w:tc>
          <w:tcPr>
            <w:tcW w:w="1080" w:type="dxa"/>
            <w:tcBorders>
              <w:top w:val="single" w:sz="6" w:space="0" w:color="000000"/>
              <w:left w:val="single" w:sz="6" w:space="0" w:color="000000"/>
              <w:bottom w:val="single" w:sz="6" w:space="0" w:color="000000"/>
              <w:right w:val="single" w:sz="6" w:space="0" w:color="000000"/>
            </w:tcBorders>
          </w:tcPr>
          <w:p w14:paraId="45AED5A4"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5F46D143" w14:textId="77777777" w:rsidR="00FC5566" w:rsidRPr="00FC5566" w:rsidRDefault="00FC5566" w:rsidP="00FC5566">
            <w:pPr>
              <w:widowControl w:val="0"/>
              <w:autoSpaceDE w:val="0"/>
              <w:autoSpaceDN w:val="0"/>
              <w:ind w:left="107"/>
              <w:rPr>
                <w:sz w:val="16"/>
                <w:szCs w:val="16"/>
              </w:rPr>
            </w:pPr>
            <w:r w:rsidRPr="00FC5566">
              <w:rPr>
                <w:sz w:val="16"/>
                <w:szCs w:val="16"/>
              </w:rPr>
              <w:t>Chapter 11, [RE] Energy Efficiency.</w:t>
            </w:r>
          </w:p>
        </w:tc>
        <w:tc>
          <w:tcPr>
            <w:tcW w:w="7020" w:type="dxa"/>
            <w:tcBorders>
              <w:top w:val="single" w:sz="6" w:space="0" w:color="000000"/>
              <w:left w:val="single" w:sz="6" w:space="0" w:color="000000"/>
              <w:bottom w:val="single" w:sz="6" w:space="0" w:color="000000"/>
              <w:right w:val="single" w:sz="6" w:space="0" w:color="000000"/>
            </w:tcBorders>
          </w:tcPr>
          <w:p w14:paraId="3AD6EBA1" w14:textId="77777777" w:rsidR="00FC5566" w:rsidRPr="00FC5566" w:rsidRDefault="00FC5566" w:rsidP="00FC5566">
            <w:pPr>
              <w:widowControl w:val="0"/>
              <w:autoSpaceDE w:val="0"/>
              <w:autoSpaceDN w:val="0"/>
              <w:ind w:left="101"/>
              <w:rPr>
                <w:sz w:val="16"/>
                <w:szCs w:val="16"/>
              </w:rPr>
            </w:pPr>
          </w:p>
        </w:tc>
      </w:tr>
      <w:tr w:rsidR="00FC5566" w:rsidRPr="00FC5566" w14:paraId="0145CC44" w14:textId="77777777" w:rsidTr="00B247D5">
        <w:trPr>
          <w:trHeight w:val="187"/>
        </w:trPr>
        <w:tc>
          <w:tcPr>
            <w:tcW w:w="1080" w:type="dxa"/>
            <w:tcBorders>
              <w:top w:val="single" w:sz="6" w:space="0" w:color="000000"/>
              <w:left w:val="single" w:sz="6" w:space="0" w:color="000000"/>
              <w:bottom w:val="single" w:sz="6" w:space="0" w:color="000000"/>
              <w:right w:val="single" w:sz="6" w:space="0" w:color="000000"/>
            </w:tcBorders>
          </w:tcPr>
          <w:p w14:paraId="2757C366" w14:textId="77777777" w:rsidR="00FC5566" w:rsidRPr="00FC5566" w:rsidRDefault="00FC5566" w:rsidP="00FC5566">
            <w:pPr>
              <w:widowControl w:val="0"/>
              <w:autoSpaceDE w:val="0"/>
              <w:autoSpaceDN w:val="0"/>
              <w:jc w:val="center"/>
              <w:rPr>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6CEFD913" w14:textId="77777777" w:rsidR="00FC5566" w:rsidRPr="00FC5566" w:rsidRDefault="00FC5566" w:rsidP="00FC5566">
            <w:pPr>
              <w:widowControl w:val="0"/>
              <w:autoSpaceDE w:val="0"/>
              <w:autoSpaceDN w:val="0"/>
              <w:ind w:left="107"/>
              <w:rPr>
                <w:sz w:val="16"/>
                <w:szCs w:val="16"/>
              </w:rPr>
            </w:pPr>
            <w:r w:rsidRPr="00FC5566">
              <w:rPr>
                <w:sz w:val="16"/>
                <w:szCs w:val="16"/>
              </w:rPr>
              <w:t>Section N1101.4, Above Code Programs</w:t>
            </w:r>
          </w:p>
        </w:tc>
        <w:tc>
          <w:tcPr>
            <w:tcW w:w="7020" w:type="dxa"/>
            <w:tcBorders>
              <w:top w:val="single" w:sz="6" w:space="0" w:color="000000"/>
              <w:left w:val="single" w:sz="6" w:space="0" w:color="000000"/>
              <w:bottom w:val="single" w:sz="6" w:space="0" w:color="000000"/>
              <w:right w:val="single" w:sz="6" w:space="0" w:color="000000"/>
            </w:tcBorders>
          </w:tcPr>
          <w:p w14:paraId="48679082" w14:textId="77777777" w:rsidR="00FC5566" w:rsidRPr="00FC5566" w:rsidRDefault="00FC5566" w:rsidP="00FC5566">
            <w:pPr>
              <w:widowControl w:val="0"/>
              <w:autoSpaceDE w:val="0"/>
              <w:autoSpaceDN w:val="0"/>
              <w:ind w:left="101"/>
              <w:rPr>
                <w:sz w:val="16"/>
                <w:szCs w:val="16"/>
              </w:rPr>
            </w:pPr>
            <w:r w:rsidRPr="00FC5566">
              <w:rPr>
                <w:sz w:val="16"/>
                <w:szCs w:val="16"/>
              </w:rPr>
              <w:t>The code official serving as the authority having jurisdiction for building codes, shall be permitted to deem a national or state energy-efficiency program to exceed the energy efficiency required by this code. Buildings approved in writing by such an energy-efficiency program shall be considered to be in compliance with this code. The requirements identified in Table N1105.2, as applicable, shall be met and the building thermal envelope is greater than or equal to levels of efficiency and solar heat gain coefficients (SHGC) in Tables 402.1.1 and 402.1.3 of the 2009 International Energy Conservation</w:t>
            </w:r>
          </w:p>
          <w:p w14:paraId="481FA690" w14:textId="77777777" w:rsidR="00FC5566" w:rsidRPr="00FC5566" w:rsidRDefault="00FC5566" w:rsidP="00FC5566">
            <w:pPr>
              <w:widowControl w:val="0"/>
              <w:autoSpaceDE w:val="0"/>
              <w:autoSpaceDN w:val="0"/>
              <w:ind w:left="107"/>
              <w:rPr>
                <w:sz w:val="16"/>
                <w:szCs w:val="16"/>
              </w:rPr>
            </w:pPr>
            <w:r w:rsidRPr="00FC5566">
              <w:rPr>
                <w:sz w:val="16"/>
                <w:szCs w:val="16"/>
              </w:rPr>
              <w:t>Code.</w:t>
            </w:r>
          </w:p>
        </w:tc>
      </w:tr>
      <w:tr w:rsidR="00FC5566" w:rsidRPr="00FC5566" w14:paraId="2ED7AD29" w14:textId="77777777" w:rsidTr="00B247D5">
        <w:trPr>
          <w:trHeight w:val="187"/>
        </w:trPr>
        <w:tc>
          <w:tcPr>
            <w:tcW w:w="1080" w:type="dxa"/>
            <w:tcBorders>
              <w:top w:val="single" w:sz="6" w:space="0" w:color="000000"/>
              <w:left w:val="single" w:sz="6" w:space="0" w:color="000000"/>
              <w:bottom w:val="single" w:sz="6" w:space="0" w:color="000000"/>
              <w:right w:val="single" w:sz="6" w:space="0" w:color="000000"/>
            </w:tcBorders>
          </w:tcPr>
          <w:p w14:paraId="6DB9FA08" w14:textId="77777777" w:rsidR="00FC5566" w:rsidRPr="00FC5566" w:rsidRDefault="00FC5566" w:rsidP="00FC5566">
            <w:pPr>
              <w:widowControl w:val="0"/>
              <w:autoSpaceDE w:val="0"/>
              <w:autoSpaceDN w:val="0"/>
              <w:jc w:val="center"/>
              <w:rPr>
                <w:sz w:val="16"/>
                <w:szCs w:val="16"/>
              </w:rPr>
            </w:pPr>
            <w:r w:rsidRPr="00FC5566">
              <w:rPr>
                <w:spacing w:val="-2"/>
                <w:sz w:val="16"/>
                <w:szCs w:val="16"/>
              </w:rPr>
              <w:t>Adopt</w:t>
            </w:r>
          </w:p>
        </w:tc>
        <w:tc>
          <w:tcPr>
            <w:tcW w:w="2430" w:type="dxa"/>
            <w:tcBorders>
              <w:top w:val="single" w:sz="6" w:space="0" w:color="000000"/>
              <w:left w:val="single" w:sz="6" w:space="0" w:color="000000"/>
              <w:bottom w:val="single" w:sz="6" w:space="0" w:color="000000"/>
              <w:right w:val="single" w:sz="6" w:space="0" w:color="000000"/>
            </w:tcBorders>
          </w:tcPr>
          <w:p w14:paraId="12BA00FE" w14:textId="77777777" w:rsidR="00FC5566" w:rsidRPr="00FC5566" w:rsidRDefault="00FC5566" w:rsidP="00FC5566">
            <w:pPr>
              <w:widowControl w:val="0"/>
              <w:autoSpaceDE w:val="0"/>
              <w:autoSpaceDN w:val="0"/>
              <w:ind w:left="107"/>
              <w:rPr>
                <w:sz w:val="16"/>
                <w:szCs w:val="16"/>
              </w:rPr>
            </w:pPr>
            <w:r w:rsidRPr="00FC5566">
              <w:rPr>
                <w:sz w:val="16"/>
                <w:szCs w:val="16"/>
              </w:rPr>
              <w:t>Section N1101.4.1, National Green Building Standard.</w:t>
            </w:r>
          </w:p>
        </w:tc>
        <w:tc>
          <w:tcPr>
            <w:tcW w:w="7020" w:type="dxa"/>
            <w:tcBorders>
              <w:top w:val="single" w:sz="6" w:space="0" w:color="000000"/>
              <w:left w:val="single" w:sz="6" w:space="0" w:color="000000"/>
              <w:bottom w:val="single" w:sz="6" w:space="0" w:color="000000"/>
              <w:right w:val="single" w:sz="6" w:space="0" w:color="000000"/>
            </w:tcBorders>
          </w:tcPr>
          <w:p w14:paraId="04C4C780" w14:textId="77777777" w:rsidR="00FC5566" w:rsidRPr="00FC5566" w:rsidRDefault="00FC5566" w:rsidP="00FC5566">
            <w:pPr>
              <w:widowControl w:val="0"/>
              <w:autoSpaceDE w:val="0"/>
              <w:autoSpaceDN w:val="0"/>
              <w:ind w:left="101"/>
              <w:rPr>
                <w:sz w:val="16"/>
                <w:szCs w:val="16"/>
              </w:rPr>
            </w:pPr>
            <w:r w:rsidRPr="00FC5566">
              <w:rPr>
                <w:sz w:val="16"/>
                <w:szCs w:val="16"/>
              </w:rPr>
              <w:t>Buildings complying with ICC 700-2020 National Green Building Standard and achieving an</w:t>
            </w:r>
          </w:p>
          <w:p w14:paraId="0C2627F6" w14:textId="77777777" w:rsidR="00FC5566" w:rsidRPr="00FC5566" w:rsidRDefault="00FC5566" w:rsidP="00FC5566">
            <w:pPr>
              <w:widowControl w:val="0"/>
              <w:autoSpaceDE w:val="0"/>
              <w:autoSpaceDN w:val="0"/>
              <w:ind w:left="106"/>
              <w:rPr>
                <w:sz w:val="16"/>
                <w:szCs w:val="16"/>
              </w:rPr>
            </w:pPr>
            <w:r w:rsidRPr="00FC5566">
              <w:rPr>
                <w:sz w:val="16"/>
                <w:szCs w:val="16"/>
              </w:rPr>
              <w:t>equivalent energy performance as demonstrated by a third-party certification organization shall be deemed to exceed the energy efficiency required by this code.</w:t>
            </w:r>
          </w:p>
        </w:tc>
      </w:tr>
      <w:tr w:rsidR="00FC5566" w:rsidRPr="00FC5566" w14:paraId="3F8C4250" w14:textId="77777777" w:rsidTr="00B247D5">
        <w:trPr>
          <w:trHeight w:val="187"/>
        </w:trPr>
        <w:tc>
          <w:tcPr>
            <w:tcW w:w="1080" w:type="dxa"/>
            <w:tcBorders>
              <w:top w:val="single" w:sz="6" w:space="0" w:color="000000"/>
              <w:left w:val="single" w:sz="6" w:space="0" w:color="000000"/>
              <w:bottom w:val="single" w:sz="6" w:space="0" w:color="000000"/>
              <w:right w:val="single" w:sz="6" w:space="0" w:color="000000"/>
            </w:tcBorders>
          </w:tcPr>
          <w:p w14:paraId="231AB87E" w14:textId="77777777" w:rsidR="00FC5566" w:rsidRPr="00FC5566" w:rsidRDefault="00FC5566" w:rsidP="00FC5566">
            <w:pPr>
              <w:jc w:val="center"/>
              <w:rPr>
                <w:spacing w:val="-2"/>
                <w:sz w:val="16"/>
                <w:szCs w:val="16"/>
              </w:rPr>
            </w:pPr>
            <w:r w:rsidRPr="00FC5566">
              <w:rPr>
                <w:spacing w:val="-2"/>
                <w:sz w:val="16"/>
                <w:szCs w:val="16"/>
              </w:rPr>
              <w:t>Adopt</w:t>
            </w:r>
          </w:p>
        </w:tc>
        <w:tc>
          <w:tcPr>
            <w:tcW w:w="2430" w:type="dxa"/>
            <w:tcBorders>
              <w:top w:val="single" w:sz="6" w:space="0" w:color="000000"/>
              <w:left w:val="single" w:sz="6" w:space="0" w:color="000000"/>
              <w:bottom w:val="single" w:sz="6" w:space="0" w:color="000000"/>
              <w:right w:val="single" w:sz="6" w:space="0" w:color="000000"/>
            </w:tcBorders>
          </w:tcPr>
          <w:p w14:paraId="53246EE6" w14:textId="77777777" w:rsidR="00FC5566" w:rsidRPr="00FC5566" w:rsidRDefault="00FC5566" w:rsidP="00FC5566">
            <w:pPr>
              <w:ind w:left="86"/>
              <w:rPr>
                <w:sz w:val="16"/>
                <w:szCs w:val="16"/>
              </w:rPr>
            </w:pPr>
            <w:r w:rsidRPr="00FC5566">
              <w:rPr>
                <w:sz w:val="16"/>
                <w:szCs w:val="16"/>
              </w:rPr>
              <w:t>Section N1101.4.2, Energy Star Certification.</w:t>
            </w:r>
          </w:p>
        </w:tc>
        <w:tc>
          <w:tcPr>
            <w:tcW w:w="7020" w:type="dxa"/>
            <w:tcBorders>
              <w:top w:val="single" w:sz="6" w:space="0" w:color="000000"/>
              <w:left w:val="single" w:sz="6" w:space="0" w:color="000000"/>
              <w:bottom w:val="single" w:sz="6" w:space="0" w:color="000000"/>
              <w:right w:val="single" w:sz="6" w:space="0" w:color="000000"/>
            </w:tcBorders>
          </w:tcPr>
          <w:p w14:paraId="37BF3F14" w14:textId="77777777" w:rsidR="00FC5566" w:rsidRPr="00FC5566" w:rsidRDefault="00FC5566" w:rsidP="00FC5566">
            <w:pPr>
              <w:widowControl w:val="0"/>
              <w:autoSpaceDE w:val="0"/>
              <w:autoSpaceDN w:val="0"/>
              <w:ind w:left="101"/>
              <w:rPr>
                <w:sz w:val="16"/>
                <w:szCs w:val="16"/>
              </w:rPr>
            </w:pPr>
            <w:r w:rsidRPr="00FC5566">
              <w:rPr>
                <w:sz w:val="16"/>
                <w:szCs w:val="16"/>
              </w:rPr>
              <w:t>Buildings receiving Energy Star Certification shall be deemed to exceed the energy efficiency required</w:t>
            </w:r>
          </w:p>
          <w:p w14:paraId="3EE3ADB8" w14:textId="77777777" w:rsidR="00FC5566" w:rsidRPr="00FC5566" w:rsidRDefault="00FC5566" w:rsidP="00FC5566">
            <w:pPr>
              <w:ind w:left="101"/>
              <w:rPr>
                <w:sz w:val="16"/>
                <w:szCs w:val="16"/>
              </w:rPr>
            </w:pPr>
            <w:r w:rsidRPr="00FC5566">
              <w:rPr>
                <w:sz w:val="16"/>
                <w:szCs w:val="16"/>
              </w:rPr>
              <w:t>by this code.</w:t>
            </w:r>
          </w:p>
        </w:tc>
      </w:tr>
      <w:tr w:rsidR="00FC5566" w:rsidRPr="00FC5566" w14:paraId="3CFCD6F8" w14:textId="77777777" w:rsidTr="00B247D5">
        <w:trPr>
          <w:trHeight w:val="187"/>
        </w:trPr>
        <w:tc>
          <w:tcPr>
            <w:tcW w:w="1080" w:type="dxa"/>
            <w:tcBorders>
              <w:top w:val="single" w:sz="6" w:space="0" w:color="000000"/>
              <w:left w:val="single" w:sz="6" w:space="0" w:color="000000"/>
              <w:bottom w:val="single" w:sz="6" w:space="0" w:color="000000"/>
              <w:right w:val="single" w:sz="6" w:space="0" w:color="000000"/>
            </w:tcBorders>
          </w:tcPr>
          <w:p w14:paraId="02D8C212" w14:textId="77777777" w:rsidR="00FC5566" w:rsidRPr="00FC5566" w:rsidRDefault="00FC5566" w:rsidP="00FC5566">
            <w:pPr>
              <w:jc w:val="center"/>
              <w:rPr>
                <w:spacing w:val="-2"/>
                <w:sz w:val="16"/>
                <w:szCs w:val="16"/>
              </w:rPr>
            </w:pPr>
            <w:r w:rsidRPr="00FC5566">
              <w:rPr>
                <w:spacing w:val="-2"/>
                <w:sz w:val="16"/>
                <w:szCs w:val="16"/>
              </w:rPr>
              <w:t>Repeal</w:t>
            </w:r>
          </w:p>
        </w:tc>
        <w:tc>
          <w:tcPr>
            <w:tcW w:w="2430" w:type="dxa"/>
            <w:tcBorders>
              <w:top w:val="single" w:sz="6" w:space="0" w:color="000000"/>
              <w:left w:val="single" w:sz="6" w:space="0" w:color="000000"/>
              <w:bottom w:val="single" w:sz="6" w:space="0" w:color="000000"/>
              <w:right w:val="single" w:sz="6" w:space="0" w:color="000000"/>
            </w:tcBorders>
          </w:tcPr>
          <w:p w14:paraId="5099D932" w14:textId="77777777" w:rsidR="00FC5566" w:rsidRPr="00FC5566" w:rsidRDefault="00FC5566" w:rsidP="00FC5566">
            <w:pPr>
              <w:ind w:left="86"/>
              <w:rPr>
                <w:sz w:val="16"/>
                <w:szCs w:val="16"/>
                <w:lang w:val="fr-FR"/>
              </w:rPr>
            </w:pPr>
            <w:r w:rsidRPr="00FC5566">
              <w:rPr>
                <w:sz w:val="16"/>
                <w:szCs w:val="16"/>
                <w:lang w:val="fr-FR"/>
              </w:rPr>
              <w:t>Section N1101.5, Information on Construction Documents.</w:t>
            </w:r>
          </w:p>
        </w:tc>
        <w:tc>
          <w:tcPr>
            <w:tcW w:w="7020" w:type="dxa"/>
            <w:tcBorders>
              <w:top w:val="single" w:sz="6" w:space="0" w:color="000000"/>
              <w:left w:val="single" w:sz="6" w:space="0" w:color="000000"/>
              <w:bottom w:val="single" w:sz="6" w:space="0" w:color="000000"/>
              <w:right w:val="single" w:sz="6" w:space="0" w:color="000000"/>
            </w:tcBorders>
          </w:tcPr>
          <w:p w14:paraId="392E36E6" w14:textId="77777777" w:rsidR="00FC5566" w:rsidRPr="00FC5566" w:rsidRDefault="00FC5566" w:rsidP="00FC5566">
            <w:pPr>
              <w:ind w:left="109"/>
              <w:rPr>
                <w:sz w:val="16"/>
                <w:szCs w:val="16"/>
                <w:lang w:val="fr-FR"/>
              </w:rPr>
            </w:pPr>
          </w:p>
        </w:tc>
      </w:tr>
      <w:tr w:rsidR="00FC5566" w:rsidRPr="00FC5566" w14:paraId="557320DC" w14:textId="77777777" w:rsidTr="00B247D5">
        <w:trPr>
          <w:trHeight w:val="187"/>
        </w:trPr>
        <w:tc>
          <w:tcPr>
            <w:tcW w:w="1080" w:type="dxa"/>
          </w:tcPr>
          <w:p w14:paraId="4ACFB186" w14:textId="77777777" w:rsidR="00FC5566" w:rsidRPr="00FC5566" w:rsidRDefault="00FC5566" w:rsidP="00FC5566">
            <w:pPr>
              <w:jc w:val="center"/>
              <w:rPr>
                <w:spacing w:val="-2"/>
                <w:sz w:val="16"/>
                <w:szCs w:val="16"/>
              </w:rPr>
            </w:pPr>
            <w:r w:rsidRPr="00FC5566">
              <w:rPr>
                <w:sz w:val="16"/>
                <w:szCs w:val="16"/>
              </w:rPr>
              <w:t>Amend</w:t>
            </w:r>
          </w:p>
        </w:tc>
        <w:tc>
          <w:tcPr>
            <w:tcW w:w="2430" w:type="dxa"/>
          </w:tcPr>
          <w:p w14:paraId="1CDA3BD2" w14:textId="77777777" w:rsidR="00FC5566" w:rsidRPr="00FC5566" w:rsidRDefault="00FC5566" w:rsidP="00FC5566">
            <w:pPr>
              <w:ind w:left="86"/>
              <w:rPr>
                <w:sz w:val="16"/>
                <w:szCs w:val="16"/>
                <w:lang w:val="fr-FR"/>
              </w:rPr>
            </w:pPr>
            <w:r w:rsidRPr="00FC5566">
              <w:rPr>
                <w:sz w:val="16"/>
                <w:szCs w:val="16"/>
              </w:rPr>
              <w:t xml:space="preserve">Section N1101.7, Climate Zones. </w:t>
            </w:r>
          </w:p>
        </w:tc>
        <w:tc>
          <w:tcPr>
            <w:tcW w:w="7020" w:type="dxa"/>
          </w:tcPr>
          <w:p w14:paraId="7B35AE78" w14:textId="77777777" w:rsidR="00FC5566" w:rsidRPr="00FC5566" w:rsidRDefault="00FC5566" w:rsidP="00FC5566">
            <w:pPr>
              <w:ind w:left="109"/>
              <w:rPr>
                <w:sz w:val="16"/>
                <w:szCs w:val="16"/>
                <w:lang w:val="fr-FR"/>
              </w:rPr>
            </w:pPr>
            <w:r w:rsidRPr="00FC5566">
              <w:rPr>
                <w:sz w:val="16"/>
                <w:szCs w:val="16"/>
              </w:rPr>
              <w:t>For IECC compliance purposes only, all parishes in the state of Louisiana shall be assigned to Climate Zone 2A.</w:t>
            </w:r>
          </w:p>
        </w:tc>
      </w:tr>
      <w:tr w:rsidR="00FC5566" w:rsidRPr="00FC5566" w14:paraId="2537390E" w14:textId="77777777" w:rsidTr="00B247D5">
        <w:trPr>
          <w:trHeight w:val="187"/>
        </w:trPr>
        <w:tc>
          <w:tcPr>
            <w:tcW w:w="1080" w:type="dxa"/>
          </w:tcPr>
          <w:p w14:paraId="3CC08E16" w14:textId="77777777" w:rsidR="00FC5566" w:rsidRPr="00FC5566" w:rsidRDefault="00FC5566" w:rsidP="00FC5566">
            <w:pPr>
              <w:jc w:val="center"/>
              <w:rPr>
                <w:spacing w:val="-2"/>
                <w:sz w:val="16"/>
                <w:szCs w:val="16"/>
              </w:rPr>
            </w:pPr>
            <w:r w:rsidRPr="00FC5566">
              <w:rPr>
                <w:sz w:val="16"/>
                <w:szCs w:val="16"/>
              </w:rPr>
              <w:t>Amend</w:t>
            </w:r>
          </w:p>
        </w:tc>
        <w:tc>
          <w:tcPr>
            <w:tcW w:w="2430" w:type="dxa"/>
          </w:tcPr>
          <w:p w14:paraId="4217A6A0" w14:textId="77777777" w:rsidR="00FC5566" w:rsidRPr="00FC5566" w:rsidRDefault="00FC5566" w:rsidP="00FC5566">
            <w:pPr>
              <w:ind w:left="86"/>
              <w:rPr>
                <w:sz w:val="16"/>
                <w:szCs w:val="16"/>
                <w:lang w:val="fr-FR"/>
              </w:rPr>
            </w:pPr>
            <w:r w:rsidRPr="00FC5566">
              <w:rPr>
                <w:sz w:val="16"/>
                <w:szCs w:val="16"/>
              </w:rPr>
              <w:t>Section N1101.14, Certificate</w:t>
            </w:r>
          </w:p>
        </w:tc>
        <w:tc>
          <w:tcPr>
            <w:tcW w:w="7020" w:type="dxa"/>
          </w:tcPr>
          <w:p w14:paraId="206030A7" w14:textId="77777777" w:rsidR="00FC5566" w:rsidRPr="00FC5566" w:rsidRDefault="00FC5566" w:rsidP="00FC5566">
            <w:pPr>
              <w:ind w:left="109"/>
              <w:rPr>
                <w:sz w:val="16"/>
                <w:szCs w:val="16"/>
                <w:lang w:val="fr-FR"/>
              </w:rPr>
            </w:pPr>
          </w:p>
        </w:tc>
      </w:tr>
      <w:tr w:rsidR="00FC5566" w:rsidRPr="00FC5566" w14:paraId="2A7A0456" w14:textId="77777777" w:rsidTr="00B247D5">
        <w:trPr>
          <w:trHeight w:val="187"/>
        </w:trPr>
        <w:tc>
          <w:tcPr>
            <w:tcW w:w="1080" w:type="dxa"/>
          </w:tcPr>
          <w:p w14:paraId="5294A560" w14:textId="77777777" w:rsidR="00FC5566" w:rsidRPr="00FC5566" w:rsidRDefault="00FC5566" w:rsidP="00FC5566">
            <w:pPr>
              <w:jc w:val="center"/>
              <w:rPr>
                <w:spacing w:val="-2"/>
                <w:sz w:val="16"/>
                <w:szCs w:val="16"/>
              </w:rPr>
            </w:pPr>
            <w:r w:rsidRPr="00FC5566">
              <w:rPr>
                <w:sz w:val="16"/>
                <w:szCs w:val="16"/>
              </w:rPr>
              <w:t>Amend</w:t>
            </w:r>
          </w:p>
        </w:tc>
        <w:tc>
          <w:tcPr>
            <w:tcW w:w="2430" w:type="dxa"/>
          </w:tcPr>
          <w:p w14:paraId="2B99452B" w14:textId="77777777" w:rsidR="00FC5566" w:rsidRPr="00FC5566" w:rsidRDefault="00FC5566" w:rsidP="00FC5566">
            <w:pPr>
              <w:ind w:left="86"/>
              <w:rPr>
                <w:sz w:val="16"/>
                <w:szCs w:val="16"/>
                <w:lang w:val="fr-FR"/>
              </w:rPr>
            </w:pPr>
            <w:r w:rsidRPr="00FC5566">
              <w:rPr>
                <w:sz w:val="16"/>
                <w:szCs w:val="16"/>
              </w:rPr>
              <w:t>Item (3.)</w:t>
            </w:r>
          </w:p>
        </w:tc>
        <w:tc>
          <w:tcPr>
            <w:tcW w:w="7020" w:type="dxa"/>
          </w:tcPr>
          <w:p w14:paraId="31FF4EAD" w14:textId="77777777" w:rsidR="00FC5566" w:rsidRPr="00FC5566" w:rsidRDefault="00FC5566" w:rsidP="00FC5566">
            <w:pPr>
              <w:ind w:left="109"/>
              <w:rPr>
                <w:sz w:val="16"/>
                <w:szCs w:val="16"/>
                <w:lang w:val="fr-FR"/>
              </w:rPr>
            </w:pPr>
            <w:r w:rsidRPr="00FC5566">
              <w:rPr>
                <w:sz w:val="16"/>
                <w:szCs w:val="16"/>
              </w:rPr>
              <w:t>3. The results from any required duct system and building thermal envelope air leakage testing performed on the building which must include a geotagged photo of the testing equipment displaying the results.</w:t>
            </w:r>
          </w:p>
        </w:tc>
      </w:tr>
      <w:tr w:rsidR="00FC5566" w:rsidRPr="00FC5566" w14:paraId="735F1F75" w14:textId="77777777" w:rsidTr="00B247D5">
        <w:trPr>
          <w:trHeight w:val="187"/>
        </w:trPr>
        <w:tc>
          <w:tcPr>
            <w:tcW w:w="1080" w:type="dxa"/>
          </w:tcPr>
          <w:p w14:paraId="260527A4" w14:textId="77777777" w:rsidR="00FC5566" w:rsidRPr="00FC5566" w:rsidRDefault="00FC5566" w:rsidP="00FC5566">
            <w:pPr>
              <w:jc w:val="center"/>
              <w:rPr>
                <w:sz w:val="16"/>
                <w:szCs w:val="16"/>
              </w:rPr>
            </w:pPr>
            <w:r w:rsidRPr="00FC5566">
              <w:rPr>
                <w:sz w:val="16"/>
                <w:szCs w:val="16"/>
              </w:rPr>
              <w:t>Amend</w:t>
            </w:r>
          </w:p>
        </w:tc>
        <w:tc>
          <w:tcPr>
            <w:tcW w:w="2430" w:type="dxa"/>
          </w:tcPr>
          <w:p w14:paraId="2ECE9499" w14:textId="77777777" w:rsidR="00FC5566" w:rsidRPr="00FC5566" w:rsidRDefault="00FC5566" w:rsidP="00FC5566">
            <w:pPr>
              <w:ind w:left="86"/>
              <w:rPr>
                <w:sz w:val="16"/>
                <w:szCs w:val="16"/>
              </w:rPr>
            </w:pPr>
            <w:r w:rsidRPr="00FC5566">
              <w:rPr>
                <w:sz w:val="16"/>
                <w:szCs w:val="16"/>
              </w:rPr>
              <w:t xml:space="preserve">Sections </w:t>
            </w:r>
            <w:r w:rsidRPr="00FC5566">
              <w:rPr>
                <w:sz w:val="16"/>
                <w:szCs w:val="16"/>
                <w:lang w:val="en"/>
              </w:rPr>
              <w:t>N1102.1.6</w:t>
            </w:r>
            <w:r w:rsidRPr="00FC5566">
              <w:rPr>
                <w:sz w:val="16"/>
                <w:szCs w:val="16"/>
              </w:rPr>
              <w:t>, Rooms Containing Fuel-Burning Appliances.</w:t>
            </w:r>
          </w:p>
        </w:tc>
        <w:tc>
          <w:tcPr>
            <w:tcW w:w="7020" w:type="dxa"/>
          </w:tcPr>
          <w:p w14:paraId="46277923" w14:textId="77777777" w:rsidR="00FC5566" w:rsidRPr="00FC5566" w:rsidRDefault="00FC5566" w:rsidP="00FC5566">
            <w:pPr>
              <w:ind w:left="109"/>
              <w:rPr>
                <w:sz w:val="16"/>
                <w:szCs w:val="16"/>
              </w:rPr>
            </w:pPr>
            <w:r w:rsidRPr="00FC5566">
              <w:rPr>
                <w:sz w:val="16"/>
                <w:szCs w:val="16"/>
              </w:rPr>
              <w:t>In Climate Zones 2 through 8, where open combustion air ducts provide combustion air to open combustion fuel-burning appliances, the appliances and combustion air opening shall be located outside the building thermal envelope or enclosed in a room that is isolated from inside the building thermal envelope. Such rooms shall be sealed and insulated in accordance with the building thermal envelope requirements of Table R402.1.3, where the walls, floors and ceilings shall meet a minimum of the basement wall R-value requirement. The door into the room shall be fully gasketed and any water lines and ducts in the room insulated in accordance with Section R403. The combustion air duct shall be insulated where it passes through conditioned space to an R-value of not less than R-8.</w:t>
            </w:r>
          </w:p>
        </w:tc>
      </w:tr>
      <w:tr w:rsidR="00FC5566" w:rsidRPr="00FC5566" w14:paraId="7691FCB5" w14:textId="77777777" w:rsidTr="00B247D5">
        <w:trPr>
          <w:trHeight w:val="187"/>
        </w:trPr>
        <w:tc>
          <w:tcPr>
            <w:tcW w:w="1080" w:type="dxa"/>
          </w:tcPr>
          <w:p w14:paraId="2346D35A" w14:textId="77777777" w:rsidR="00FC5566" w:rsidRPr="00FC5566" w:rsidRDefault="00FC5566" w:rsidP="00FC5566">
            <w:pPr>
              <w:jc w:val="center"/>
              <w:rPr>
                <w:sz w:val="16"/>
                <w:szCs w:val="16"/>
              </w:rPr>
            </w:pPr>
            <w:r w:rsidRPr="00FC5566">
              <w:rPr>
                <w:sz w:val="16"/>
                <w:szCs w:val="16"/>
              </w:rPr>
              <w:t>Repeal</w:t>
            </w:r>
          </w:p>
        </w:tc>
        <w:tc>
          <w:tcPr>
            <w:tcW w:w="2430" w:type="dxa"/>
          </w:tcPr>
          <w:p w14:paraId="6F26E34F" w14:textId="77777777" w:rsidR="00FC5566" w:rsidRPr="00FC5566" w:rsidRDefault="00FC5566" w:rsidP="00FC5566">
            <w:pPr>
              <w:ind w:left="86"/>
              <w:rPr>
                <w:sz w:val="16"/>
                <w:szCs w:val="16"/>
              </w:rPr>
            </w:pPr>
            <w:r w:rsidRPr="00FC5566">
              <w:rPr>
                <w:sz w:val="16"/>
                <w:szCs w:val="16"/>
              </w:rPr>
              <w:t xml:space="preserve">Section </w:t>
            </w:r>
            <w:r w:rsidRPr="00FC5566">
              <w:rPr>
                <w:sz w:val="16"/>
                <w:szCs w:val="16"/>
                <w:lang w:val="en"/>
              </w:rPr>
              <w:t>N1102.2.8</w:t>
            </w:r>
            <w:r w:rsidRPr="00FC5566">
              <w:rPr>
                <w:sz w:val="16"/>
                <w:szCs w:val="16"/>
              </w:rPr>
              <w:t>, Floors</w:t>
            </w:r>
          </w:p>
        </w:tc>
        <w:tc>
          <w:tcPr>
            <w:tcW w:w="7020" w:type="dxa"/>
          </w:tcPr>
          <w:p w14:paraId="41EB2FB5" w14:textId="77777777" w:rsidR="00FC5566" w:rsidRPr="00FC5566" w:rsidRDefault="00FC5566" w:rsidP="00FC5566">
            <w:pPr>
              <w:ind w:left="109"/>
              <w:rPr>
                <w:sz w:val="16"/>
                <w:szCs w:val="16"/>
              </w:rPr>
            </w:pPr>
          </w:p>
        </w:tc>
      </w:tr>
      <w:tr w:rsidR="00FC5566" w:rsidRPr="00FC5566" w14:paraId="1FB326F8" w14:textId="77777777" w:rsidTr="00B247D5">
        <w:trPr>
          <w:trHeight w:val="187"/>
        </w:trPr>
        <w:tc>
          <w:tcPr>
            <w:tcW w:w="1080" w:type="dxa"/>
          </w:tcPr>
          <w:p w14:paraId="5998904E" w14:textId="77777777" w:rsidR="00FC5566" w:rsidRPr="00FC5566" w:rsidRDefault="00FC5566" w:rsidP="00FC5566">
            <w:pPr>
              <w:jc w:val="center"/>
              <w:rPr>
                <w:sz w:val="16"/>
                <w:szCs w:val="16"/>
              </w:rPr>
            </w:pPr>
            <w:r w:rsidRPr="00FC5566">
              <w:rPr>
                <w:sz w:val="16"/>
                <w:szCs w:val="16"/>
              </w:rPr>
              <w:t>Adopt</w:t>
            </w:r>
          </w:p>
        </w:tc>
        <w:tc>
          <w:tcPr>
            <w:tcW w:w="2430" w:type="dxa"/>
          </w:tcPr>
          <w:p w14:paraId="4CE4F78C" w14:textId="77777777" w:rsidR="00FC5566" w:rsidRPr="00FC5566" w:rsidRDefault="00FC5566" w:rsidP="00FC5566">
            <w:pPr>
              <w:ind w:left="86"/>
              <w:rPr>
                <w:sz w:val="16"/>
                <w:szCs w:val="16"/>
              </w:rPr>
            </w:pPr>
            <w:r w:rsidRPr="00FC5566">
              <w:rPr>
                <w:sz w:val="16"/>
                <w:szCs w:val="16"/>
              </w:rPr>
              <w:t xml:space="preserve">Section </w:t>
            </w:r>
            <w:r w:rsidRPr="00FC5566">
              <w:rPr>
                <w:sz w:val="16"/>
                <w:szCs w:val="16"/>
                <w:lang w:val="en"/>
              </w:rPr>
              <w:t>N1102.2.8</w:t>
            </w:r>
            <w:r w:rsidRPr="00FC5566">
              <w:rPr>
                <w:sz w:val="16"/>
                <w:szCs w:val="16"/>
              </w:rPr>
              <w:t>, Floors</w:t>
            </w:r>
          </w:p>
        </w:tc>
        <w:tc>
          <w:tcPr>
            <w:tcW w:w="7020" w:type="dxa"/>
          </w:tcPr>
          <w:p w14:paraId="06F98F54" w14:textId="77777777" w:rsidR="00FC5566" w:rsidRPr="00FC5566" w:rsidRDefault="00FC5566" w:rsidP="00FC5566">
            <w:pPr>
              <w:widowControl w:val="0"/>
              <w:autoSpaceDE w:val="0"/>
              <w:autoSpaceDN w:val="0"/>
              <w:ind w:left="114" w:right="83"/>
              <w:rPr>
                <w:sz w:val="16"/>
                <w:szCs w:val="16"/>
              </w:rPr>
            </w:pPr>
            <w:r w:rsidRPr="00FC5566">
              <w:rPr>
                <w:sz w:val="16"/>
                <w:szCs w:val="16"/>
              </w:rPr>
              <w:t>Floor insulation shall be installed in accordance with all of the following:</w:t>
            </w:r>
          </w:p>
          <w:p w14:paraId="2EFC3859" w14:textId="77777777" w:rsidR="00FC5566" w:rsidRPr="00FC5566" w:rsidRDefault="00FC5566" w:rsidP="00FC5566">
            <w:pPr>
              <w:widowControl w:val="0"/>
              <w:autoSpaceDE w:val="0"/>
              <w:autoSpaceDN w:val="0"/>
              <w:ind w:left="114" w:right="83"/>
              <w:rPr>
                <w:sz w:val="16"/>
                <w:szCs w:val="16"/>
              </w:rPr>
            </w:pPr>
            <w:r w:rsidRPr="00FC5566">
              <w:rPr>
                <w:sz w:val="16"/>
                <w:szCs w:val="16"/>
              </w:rPr>
              <w:t xml:space="preserve">1. Table R402.1.2 or R402.1.3 and manufacturer's instructions. </w:t>
            </w:r>
          </w:p>
          <w:p w14:paraId="1D0A75F7" w14:textId="77777777" w:rsidR="00FC5566" w:rsidRPr="00FC5566" w:rsidRDefault="00FC5566" w:rsidP="00FC5566">
            <w:pPr>
              <w:widowControl w:val="0"/>
              <w:autoSpaceDE w:val="0"/>
              <w:autoSpaceDN w:val="0"/>
              <w:ind w:left="114" w:right="83"/>
              <w:rPr>
                <w:sz w:val="16"/>
                <w:szCs w:val="16"/>
              </w:rPr>
            </w:pPr>
            <w:r w:rsidRPr="00FC5566">
              <w:rPr>
                <w:sz w:val="16"/>
                <w:szCs w:val="16"/>
              </w:rPr>
              <w:t xml:space="preserve">2. </w:t>
            </w:r>
            <w:r w:rsidRPr="00FC5566">
              <w:rPr>
                <w:sz w:val="16"/>
                <w:szCs w:val="16"/>
                <w:lang w:val="en"/>
              </w:rPr>
              <w:t>Floor framing members or continuous insulation in flooring systems that are part of the thermal envelope shall be air sealed to maintain a continuous air barrier.</w:t>
            </w:r>
          </w:p>
          <w:p w14:paraId="355C5115" w14:textId="77777777" w:rsidR="00FC5566" w:rsidRPr="00FC5566" w:rsidRDefault="00FC5566" w:rsidP="00FC5566">
            <w:pPr>
              <w:widowControl w:val="0"/>
              <w:autoSpaceDE w:val="0"/>
              <w:autoSpaceDN w:val="0"/>
              <w:ind w:left="114" w:right="83"/>
              <w:rPr>
                <w:sz w:val="16"/>
                <w:szCs w:val="16"/>
              </w:rPr>
            </w:pPr>
            <w:r w:rsidRPr="00FC5566">
              <w:rPr>
                <w:sz w:val="16"/>
                <w:szCs w:val="16"/>
              </w:rPr>
              <w:t xml:space="preserve">3.One of the following methods:  </w:t>
            </w:r>
          </w:p>
          <w:p w14:paraId="319F6FFE" w14:textId="77777777" w:rsidR="00FC5566" w:rsidRPr="00FC5566" w:rsidRDefault="00FC5566" w:rsidP="00FC5566">
            <w:pPr>
              <w:widowControl w:val="0"/>
              <w:autoSpaceDE w:val="0"/>
              <w:autoSpaceDN w:val="0"/>
              <w:ind w:left="114" w:right="83"/>
              <w:rPr>
                <w:sz w:val="16"/>
                <w:szCs w:val="16"/>
              </w:rPr>
            </w:pPr>
            <w:r w:rsidRPr="00FC5566">
              <w:rPr>
                <w:sz w:val="16"/>
                <w:szCs w:val="16"/>
              </w:rPr>
              <w:t xml:space="preserve">3.1. </w:t>
            </w:r>
            <w:r w:rsidRPr="00FC5566">
              <w:rPr>
                <w:sz w:val="16"/>
                <w:szCs w:val="16"/>
                <w:lang w:val="en"/>
              </w:rPr>
              <w:t>Air impermeable class 1 or 2 vapor retarder</w:t>
            </w:r>
            <w:r w:rsidRPr="00FC5566">
              <w:rPr>
                <w:b/>
                <w:bCs/>
                <w:sz w:val="16"/>
                <w:szCs w:val="16"/>
                <w:lang w:val="en"/>
              </w:rPr>
              <w:t xml:space="preserve"> </w:t>
            </w:r>
            <w:r w:rsidRPr="00FC5566">
              <w:rPr>
                <w:sz w:val="16"/>
                <w:szCs w:val="16"/>
                <w:lang w:val="en"/>
              </w:rPr>
              <w:t>cavity insulation shall be installed to maintain permanent contact with the underside of subfloor decking.</w:t>
            </w:r>
            <w:r w:rsidRPr="00FC5566">
              <w:rPr>
                <w:sz w:val="16"/>
                <w:szCs w:val="16"/>
              </w:rPr>
              <w:t xml:space="preserve">  </w:t>
            </w:r>
          </w:p>
          <w:p w14:paraId="4C982330" w14:textId="77777777" w:rsidR="00FC5566" w:rsidRPr="00FC5566" w:rsidRDefault="00FC5566" w:rsidP="00FC5566">
            <w:pPr>
              <w:widowControl w:val="0"/>
              <w:autoSpaceDE w:val="0"/>
              <w:autoSpaceDN w:val="0"/>
              <w:ind w:left="114" w:right="83"/>
              <w:rPr>
                <w:sz w:val="16"/>
                <w:szCs w:val="16"/>
              </w:rPr>
            </w:pPr>
            <w:r w:rsidRPr="00FC5566">
              <w:rPr>
                <w:sz w:val="16"/>
                <w:szCs w:val="16"/>
              </w:rPr>
              <w:t xml:space="preserve">3.2. </w:t>
            </w:r>
            <w:r w:rsidRPr="00FC5566">
              <w:rPr>
                <w:sz w:val="16"/>
                <w:szCs w:val="16"/>
                <w:lang w:val="en"/>
              </w:rPr>
              <w:t xml:space="preserve">Cavity insulation shall be installed to maintain contact with the top side of air sealed sheathing separating the cavity and the unconditioned space below. Insulation shall extend from the bottom to the top of all perimeter floor framing members. </w:t>
            </w:r>
            <w:r w:rsidRPr="00FC5566">
              <w:rPr>
                <w:sz w:val="16"/>
                <w:szCs w:val="16"/>
              </w:rPr>
              <w:t xml:space="preserve">  </w:t>
            </w:r>
          </w:p>
          <w:p w14:paraId="038ABFF5" w14:textId="77777777" w:rsidR="00FC5566" w:rsidRPr="00FC5566" w:rsidRDefault="00FC5566" w:rsidP="00FC5566">
            <w:pPr>
              <w:widowControl w:val="0"/>
              <w:autoSpaceDE w:val="0"/>
              <w:autoSpaceDN w:val="0"/>
              <w:ind w:left="114" w:right="83"/>
              <w:rPr>
                <w:sz w:val="16"/>
                <w:szCs w:val="16"/>
              </w:rPr>
            </w:pPr>
            <w:r w:rsidRPr="00FC5566">
              <w:rPr>
                <w:sz w:val="16"/>
                <w:szCs w:val="16"/>
              </w:rPr>
              <w:t xml:space="preserve">3.3. </w:t>
            </w:r>
            <w:r w:rsidRPr="00FC5566">
              <w:rPr>
                <w:sz w:val="16"/>
                <w:szCs w:val="16"/>
                <w:lang w:val="en"/>
              </w:rPr>
              <w:t>A combination of cavity insulation and air sealed</w:t>
            </w:r>
            <w:r w:rsidRPr="00FC5566">
              <w:rPr>
                <w:b/>
                <w:bCs/>
                <w:sz w:val="16"/>
                <w:szCs w:val="16"/>
                <w:lang w:val="en"/>
              </w:rPr>
              <w:t xml:space="preserve"> </w:t>
            </w:r>
            <w:r w:rsidRPr="00FC5566">
              <w:rPr>
                <w:sz w:val="16"/>
                <w:szCs w:val="16"/>
                <w:lang w:val="en"/>
              </w:rPr>
              <w:t>continuous insulation shall be installed such that the cavity insulation maintains contact with the top side of the continuous insulation and the continuous insulation maintains contact with the underside of the structural floor system. Insulation shall extend from the bottom to the top of all perimeter floor framing members</w:t>
            </w:r>
            <w:r w:rsidRPr="00FC5566">
              <w:rPr>
                <w:sz w:val="16"/>
                <w:szCs w:val="16"/>
              </w:rPr>
              <w:t xml:space="preserve">  </w:t>
            </w:r>
          </w:p>
          <w:p w14:paraId="7CF2D378" w14:textId="77777777" w:rsidR="00FC5566" w:rsidRPr="00FC5566" w:rsidRDefault="00FC5566" w:rsidP="00FC5566">
            <w:pPr>
              <w:widowControl w:val="0"/>
              <w:autoSpaceDE w:val="0"/>
              <w:autoSpaceDN w:val="0"/>
              <w:ind w:left="114" w:right="83"/>
              <w:rPr>
                <w:sz w:val="16"/>
                <w:szCs w:val="16"/>
                <w:lang w:val="en"/>
              </w:rPr>
            </w:pPr>
            <w:r w:rsidRPr="00FC5566">
              <w:rPr>
                <w:sz w:val="16"/>
                <w:szCs w:val="16"/>
              </w:rPr>
              <w:t xml:space="preserve">3.4. </w:t>
            </w:r>
            <w:r w:rsidRPr="00FC5566">
              <w:rPr>
                <w:sz w:val="16"/>
                <w:szCs w:val="16"/>
                <w:lang w:val="en"/>
              </w:rPr>
              <w:t>Air sealed continuous insulation shall be installed to maintain contact with the underside of the structural floor system. Insulation shall extend from the bottom to the top of all perimeter floor framing members</w:t>
            </w:r>
          </w:p>
          <w:p w14:paraId="0AA7AF03" w14:textId="77777777" w:rsidR="00FC5566" w:rsidRPr="00FC5566" w:rsidRDefault="00FC5566" w:rsidP="00FC5566">
            <w:pPr>
              <w:widowControl w:val="0"/>
              <w:autoSpaceDE w:val="0"/>
              <w:autoSpaceDN w:val="0"/>
              <w:ind w:left="114" w:right="83"/>
              <w:rPr>
                <w:b/>
                <w:bCs/>
                <w:sz w:val="16"/>
                <w:szCs w:val="16"/>
                <w:lang w:val="en"/>
              </w:rPr>
            </w:pPr>
            <w:r w:rsidRPr="00FC5566">
              <w:rPr>
                <w:b/>
                <w:bCs/>
                <w:sz w:val="16"/>
                <w:szCs w:val="16"/>
                <w:lang w:val="en"/>
              </w:rPr>
              <w:t>Exception:</w:t>
            </w:r>
          </w:p>
          <w:p w14:paraId="5DF1C8D9" w14:textId="77777777" w:rsidR="00FC5566" w:rsidRPr="00FC5566" w:rsidRDefault="00FC5566" w:rsidP="00FC5566">
            <w:pPr>
              <w:ind w:left="86"/>
              <w:rPr>
                <w:sz w:val="16"/>
                <w:szCs w:val="16"/>
              </w:rPr>
            </w:pPr>
            <w:r w:rsidRPr="00FC5566">
              <w:rPr>
                <w:sz w:val="16"/>
                <w:szCs w:val="16"/>
              </w:rPr>
              <w:t>Class 1 or 2 vapor retarder system is not required for enclosed garages.</w:t>
            </w:r>
          </w:p>
        </w:tc>
      </w:tr>
      <w:tr w:rsidR="00FC5566" w:rsidRPr="00FC5566" w14:paraId="7D768D27" w14:textId="77777777" w:rsidTr="00B247D5">
        <w:trPr>
          <w:trHeight w:val="187"/>
        </w:trPr>
        <w:tc>
          <w:tcPr>
            <w:tcW w:w="1080" w:type="dxa"/>
          </w:tcPr>
          <w:p w14:paraId="36EAAE6B" w14:textId="77777777" w:rsidR="00FC5566" w:rsidRPr="00FC5566" w:rsidRDefault="00FC5566" w:rsidP="00FC5566">
            <w:pPr>
              <w:jc w:val="center"/>
              <w:rPr>
                <w:sz w:val="16"/>
                <w:szCs w:val="16"/>
              </w:rPr>
            </w:pPr>
            <w:r w:rsidRPr="00FC5566">
              <w:rPr>
                <w:sz w:val="16"/>
                <w:szCs w:val="16"/>
              </w:rPr>
              <w:t>Amend</w:t>
            </w:r>
          </w:p>
        </w:tc>
        <w:tc>
          <w:tcPr>
            <w:tcW w:w="2430" w:type="dxa"/>
          </w:tcPr>
          <w:p w14:paraId="64320CCB" w14:textId="77777777" w:rsidR="00FC5566" w:rsidRPr="00FC5566" w:rsidRDefault="00FC5566" w:rsidP="00FC5566">
            <w:pPr>
              <w:ind w:left="86"/>
              <w:rPr>
                <w:sz w:val="16"/>
                <w:szCs w:val="16"/>
              </w:rPr>
            </w:pPr>
            <w:r w:rsidRPr="00FC5566">
              <w:rPr>
                <w:sz w:val="16"/>
                <w:szCs w:val="16"/>
              </w:rPr>
              <w:t>Section N1102.2.11.1, Crawl Space Wall Insulation Installations</w:t>
            </w:r>
          </w:p>
        </w:tc>
        <w:tc>
          <w:tcPr>
            <w:tcW w:w="7020" w:type="dxa"/>
          </w:tcPr>
          <w:p w14:paraId="6F21C459" w14:textId="77777777" w:rsidR="00FC5566" w:rsidRPr="00FC5566" w:rsidRDefault="00FC5566" w:rsidP="00FC5566">
            <w:pPr>
              <w:ind w:left="86" w:right="90"/>
              <w:rPr>
                <w:sz w:val="16"/>
                <w:szCs w:val="16"/>
              </w:rPr>
            </w:pPr>
          </w:p>
        </w:tc>
      </w:tr>
      <w:tr w:rsidR="00FC5566" w:rsidRPr="00FC5566" w14:paraId="7A83B63E" w14:textId="77777777" w:rsidTr="00B247D5">
        <w:trPr>
          <w:trHeight w:val="187"/>
        </w:trPr>
        <w:tc>
          <w:tcPr>
            <w:tcW w:w="1080" w:type="dxa"/>
          </w:tcPr>
          <w:p w14:paraId="48121711" w14:textId="77777777" w:rsidR="00FC5566" w:rsidRPr="00FC5566" w:rsidRDefault="00FC5566" w:rsidP="00FC5566">
            <w:pPr>
              <w:jc w:val="center"/>
              <w:rPr>
                <w:sz w:val="16"/>
                <w:szCs w:val="16"/>
              </w:rPr>
            </w:pPr>
            <w:r w:rsidRPr="00FC5566">
              <w:rPr>
                <w:sz w:val="16"/>
                <w:szCs w:val="16"/>
              </w:rPr>
              <w:t>Adopt</w:t>
            </w:r>
          </w:p>
        </w:tc>
        <w:tc>
          <w:tcPr>
            <w:tcW w:w="2430" w:type="dxa"/>
          </w:tcPr>
          <w:p w14:paraId="790BB16D" w14:textId="77777777" w:rsidR="00FC5566" w:rsidRPr="00FC5566" w:rsidRDefault="00FC5566" w:rsidP="00FC5566">
            <w:pPr>
              <w:ind w:left="86"/>
              <w:rPr>
                <w:sz w:val="16"/>
                <w:szCs w:val="16"/>
              </w:rPr>
            </w:pPr>
            <w:r w:rsidRPr="00FC5566">
              <w:rPr>
                <w:sz w:val="16"/>
                <w:szCs w:val="16"/>
              </w:rPr>
              <w:t>Exception</w:t>
            </w:r>
          </w:p>
        </w:tc>
        <w:tc>
          <w:tcPr>
            <w:tcW w:w="7020" w:type="dxa"/>
          </w:tcPr>
          <w:p w14:paraId="50A2A306" w14:textId="77777777" w:rsidR="00FC5566" w:rsidRPr="00FC5566" w:rsidRDefault="00FC5566" w:rsidP="00FC5566">
            <w:pPr>
              <w:ind w:left="86" w:right="86"/>
              <w:rPr>
                <w:b/>
                <w:bCs/>
                <w:sz w:val="16"/>
                <w:szCs w:val="16"/>
              </w:rPr>
            </w:pPr>
            <w:r w:rsidRPr="00FC5566">
              <w:rPr>
                <w:b/>
                <w:bCs/>
                <w:sz w:val="16"/>
                <w:szCs w:val="16"/>
              </w:rPr>
              <w:t>Exception:</w:t>
            </w:r>
          </w:p>
          <w:p w14:paraId="0A5503E9" w14:textId="77777777" w:rsidR="00FC5566" w:rsidRPr="00FC5566" w:rsidRDefault="00FC5566" w:rsidP="00FC5566">
            <w:pPr>
              <w:ind w:left="86" w:right="86"/>
              <w:rPr>
                <w:sz w:val="16"/>
                <w:szCs w:val="16"/>
              </w:rPr>
            </w:pPr>
            <w:r w:rsidRPr="00FC5566">
              <w:rPr>
                <w:sz w:val="16"/>
                <w:szCs w:val="16"/>
              </w:rPr>
              <w:t>A termite inspection gap of no more than 2 inches shall be allowed in crawl space wall insulation.</w:t>
            </w:r>
          </w:p>
        </w:tc>
      </w:tr>
      <w:tr w:rsidR="00FC5566" w:rsidRPr="00FC5566" w14:paraId="10CDAE6F" w14:textId="77777777" w:rsidTr="00B247D5">
        <w:trPr>
          <w:trHeight w:val="187"/>
        </w:trPr>
        <w:tc>
          <w:tcPr>
            <w:tcW w:w="1080" w:type="dxa"/>
          </w:tcPr>
          <w:p w14:paraId="29F355FF" w14:textId="77777777" w:rsidR="00FC5566" w:rsidRPr="00FC5566" w:rsidRDefault="00FC5566" w:rsidP="00FC5566">
            <w:pPr>
              <w:jc w:val="center"/>
              <w:rPr>
                <w:sz w:val="16"/>
                <w:szCs w:val="16"/>
              </w:rPr>
            </w:pPr>
            <w:r w:rsidRPr="00FC5566">
              <w:rPr>
                <w:sz w:val="16"/>
                <w:szCs w:val="16"/>
              </w:rPr>
              <w:t>Amend</w:t>
            </w:r>
          </w:p>
        </w:tc>
        <w:tc>
          <w:tcPr>
            <w:tcW w:w="2430" w:type="dxa"/>
          </w:tcPr>
          <w:p w14:paraId="7736D9A5" w14:textId="77777777" w:rsidR="00FC5566" w:rsidRPr="00FC5566" w:rsidRDefault="00FC5566" w:rsidP="00FC5566">
            <w:pPr>
              <w:ind w:left="86"/>
              <w:rPr>
                <w:sz w:val="16"/>
                <w:szCs w:val="16"/>
              </w:rPr>
            </w:pPr>
            <w:r w:rsidRPr="00FC5566">
              <w:rPr>
                <w:sz w:val="16"/>
                <w:szCs w:val="16"/>
              </w:rPr>
              <w:t>Table N1102.5.1.1, Air Barrier, Air Sealing and Insulation Installation</w:t>
            </w:r>
          </w:p>
        </w:tc>
        <w:tc>
          <w:tcPr>
            <w:tcW w:w="7020" w:type="dxa"/>
          </w:tcPr>
          <w:p w14:paraId="0E48901F" w14:textId="77777777" w:rsidR="00FC5566" w:rsidRPr="00FC5566" w:rsidRDefault="00FC5566" w:rsidP="00FC5566">
            <w:pPr>
              <w:ind w:left="86" w:right="90"/>
              <w:rPr>
                <w:sz w:val="16"/>
                <w:szCs w:val="16"/>
              </w:rPr>
            </w:pPr>
          </w:p>
        </w:tc>
      </w:tr>
      <w:tr w:rsidR="00FC5566" w:rsidRPr="00FC5566" w14:paraId="395C1E71" w14:textId="77777777" w:rsidTr="00B247D5">
        <w:trPr>
          <w:trHeight w:val="187"/>
        </w:trPr>
        <w:tc>
          <w:tcPr>
            <w:tcW w:w="1080" w:type="dxa"/>
          </w:tcPr>
          <w:p w14:paraId="3DA9A281" w14:textId="77777777" w:rsidR="00FC5566" w:rsidRPr="00FC5566" w:rsidRDefault="00FC5566" w:rsidP="00FC5566">
            <w:pPr>
              <w:jc w:val="center"/>
              <w:rPr>
                <w:sz w:val="16"/>
                <w:szCs w:val="16"/>
              </w:rPr>
            </w:pPr>
            <w:r w:rsidRPr="00FC5566">
              <w:rPr>
                <w:sz w:val="16"/>
                <w:szCs w:val="16"/>
              </w:rPr>
              <w:lastRenderedPageBreak/>
              <w:t>Amend</w:t>
            </w:r>
          </w:p>
        </w:tc>
        <w:tc>
          <w:tcPr>
            <w:tcW w:w="2430" w:type="dxa"/>
          </w:tcPr>
          <w:p w14:paraId="2FCC01F6" w14:textId="77777777" w:rsidR="00FC5566" w:rsidRPr="00FC5566" w:rsidRDefault="00FC5566" w:rsidP="00FC5566">
            <w:pPr>
              <w:ind w:left="86"/>
              <w:rPr>
                <w:sz w:val="16"/>
                <w:szCs w:val="16"/>
              </w:rPr>
            </w:pPr>
            <w:r w:rsidRPr="00FC5566">
              <w:rPr>
                <w:sz w:val="16"/>
                <w:szCs w:val="16"/>
              </w:rPr>
              <w:t>Row (Knee wall), Column (Air Barrier, Air Sealing Criteria)</w:t>
            </w:r>
          </w:p>
        </w:tc>
        <w:tc>
          <w:tcPr>
            <w:tcW w:w="7020" w:type="dxa"/>
          </w:tcPr>
          <w:p w14:paraId="4073FEB4" w14:textId="77777777" w:rsidR="00FC5566" w:rsidRPr="00FC5566" w:rsidRDefault="00FC5566" w:rsidP="00FC5566">
            <w:pPr>
              <w:ind w:left="86" w:right="86"/>
              <w:rPr>
                <w:sz w:val="16"/>
                <w:szCs w:val="16"/>
              </w:rPr>
            </w:pPr>
            <w:r w:rsidRPr="00FC5566">
              <w:rPr>
                <w:sz w:val="16"/>
                <w:szCs w:val="16"/>
              </w:rPr>
              <w:t>Knee walls shall have an air barrier between conditioned and unconditioned space.</w:t>
            </w:r>
          </w:p>
          <w:p w14:paraId="3CFF0C0B" w14:textId="77777777" w:rsidR="00FC5566" w:rsidRPr="00FC5566" w:rsidRDefault="00FC5566" w:rsidP="00FC5566">
            <w:pPr>
              <w:ind w:left="86" w:right="86"/>
              <w:rPr>
                <w:b/>
                <w:bCs/>
                <w:sz w:val="16"/>
                <w:szCs w:val="16"/>
              </w:rPr>
            </w:pPr>
            <w:r w:rsidRPr="00FC5566">
              <w:rPr>
                <w:b/>
                <w:bCs/>
                <w:sz w:val="16"/>
                <w:szCs w:val="16"/>
              </w:rPr>
              <w:t>Exception:</w:t>
            </w:r>
          </w:p>
          <w:p w14:paraId="1F7DD4DE" w14:textId="77777777" w:rsidR="00FC5566" w:rsidRPr="00FC5566" w:rsidRDefault="00FC5566" w:rsidP="00FC5566">
            <w:pPr>
              <w:ind w:left="86" w:right="86"/>
              <w:rPr>
                <w:sz w:val="16"/>
                <w:szCs w:val="16"/>
              </w:rPr>
            </w:pPr>
            <w:r w:rsidRPr="00FC5566">
              <w:rPr>
                <w:sz w:val="16"/>
                <w:szCs w:val="16"/>
              </w:rPr>
              <w:t>Exterior air barriers are not required for attic knee walls that are ≤ 24 in. in height if an interior air barrier is provided and insulation extends in all directions from the top of this interior air barrier into unconditioned space.</w:t>
            </w:r>
          </w:p>
        </w:tc>
      </w:tr>
      <w:tr w:rsidR="00FC5566" w:rsidRPr="00FC5566" w14:paraId="32686E1D" w14:textId="77777777" w:rsidTr="00B247D5">
        <w:trPr>
          <w:trHeight w:val="187"/>
        </w:trPr>
        <w:tc>
          <w:tcPr>
            <w:tcW w:w="1080" w:type="dxa"/>
          </w:tcPr>
          <w:p w14:paraId="1E08AE11" w14:textId="77777777" w:rsidR="00FC5566" w:rsidRPr="00FC5566" w:rsidRDefault="00FC5566" w:rsidP="00FC5566">
            <w:pPr>
              <w:jc w:val="center"/>
              <w:rPr>
                <w:sz w:val="16"/>
                <w:szCs w:val="16"/>
              </w:rPr>
            </w:pPr>
            <w:r w:rsidRPr="00FC5566">
              <w:rPr>
                <w:sz w:val="16"/>
                <w:szCs w:val="16"/>
              </w:rPr>
              <w:t>Amend</w:t>
            </w:r>
          </w:p>
        </w:tc>
        <w:tc>
          <w:tcPr>
            <w:tcW w:w="2430" w:type="dxa"/>
          </w:tcPr>
          <w:p w14:paraId="4E0A93EC" w14:textId="77777777" w:rsidR="00FC5566" w:rsidRPr="00FC5566" w:rsidRDefault="00FC5566" w:rsidP="00FC5566">
            <w:pPr>
              <w:ind w:left="86"/>
              <w:rPr>
                <w:sz w:val="16"/>
                <w:szCs w:val="16"/>
              </w:rPr>
            </w:pPr>
            <w:r w:rsidRPr="00FC5566">
              <w:rPr>
                <w:sz w:val="16"/>
                <w:szCs w:val="16"/>
              </w:rPr>
              <w:t>Row (Plumbing, wiring or other obstructions), Column (Air Barrier, Air Sealing Criteria)</w:t>
            </w:r>
          </w:p>
        </w:tc>
        <w:tc>
          <w:tcPr>
            <w:tcW w:w="7020" w:type="dxa"/>
          </w:tcPr>
          <w:p w14:paraId="06D9A519" w14:textId="77777777" w:rsidR="00FC5566" w:rsidRPr="00FC5566" w:rsidRDefault="00FC5566" w:rsidP="00FC5566">
            <w:pPr>
              <w:ind w:left="86" w:right="86"/>
              <w:rPr>
                <w:sz w:val="16"/>
                <w:szCs w:val="16"/>
              </w:rPr>
            </w:pPr>
            <w:r w:rsidRPr="00FC5566">
              <w:rPr>
                <w:sz w:val="16"/>
                <w:szCs w:val="16"/>
              </w:rPr>
              <w:t xml:space="preserve">All holes created by wiring, plumbing or other obstructions in the air barrier assembly shall be air sealed. </w:t>
            </w:r>
          </w:p>
          <w:p w14:paraId="669F53D2" w14:textId="77777777" w:rsidR="00FC5566" w:rsidRPr="00FC5566" w:rsidRDefault="00FC5566" w:rsidP="00FC5566">
            <w:pPr>
              <w:ind w:left="86" w:right="86"/>
              <w:rPr>
                <w:sz w:val="16"/>
                <w:szCs w:val="16"/>
              </w:rPr>
            </w:pPr>
            <w:r w:rsidRPr="00FC5566">
              <w:rPr>
                <w:b/>
                <w:bCs/>
                <w:sz w:val="16"/>
                <w:szCs w:val="16"/>
              </w:rPr>
              <w:t>Exception:</w:t>
            </w:r>
            <w:r w:rsidRPr="00FC5566">
              <w:rPr>
                <w:sz w:val="16"/>
                <w:szCs w:val="16"/>
              </w:rPr>
              <w:t xml:space="preserve"> </w:t>
            </w:r>
          </w:p>
          <w:p w14:paraId="095F91C8" w14:textId="77777777" w:rsidR="00FC5566" w:rsidRPr="00FC5566" w:rsidRDefault="00FC5566" w:rsidP="00FC5566">
            <w:pPr>
              <w:ind w:left="86" w:right="86"/>
              <w:rPr>
                <w:sz w:val="16"/>
                <w:szCs w:val="16"/>
              </w:rPr>
            </w:pPr>
            <w:r w:rsidRPr="00FC5566">
              <w:rPr>
                <w:sz w:val="16"/>
                <w:szCs w:val="16"/>
              </w:rPr>
              <w:t>Penetrations for fuel gas piping through the sealing thermal envelope shall not be required to be air sealed at the piping penetration.</w:t>
            </w:r>
          </w:p>
        </w:tc>
      </w:tr>
      <w:tr w:rsidR="00FC5566" w:rsidRPr="00FC5566" w14:paraId="689030A5" w14:textId="77777777" w:rsidTr="00B247D5">
        <w:trPr>
          <w:trHeight w:val="187"/>
        </w:trPr>
        <w:tc>
          <w:tcPr>
            <w:tcW w:w="1080" w:type="dxa"/>
            <w:tcBorders>
              <w:bottom w:val="single" w:sz="6" w:space="0" w:color="000000"/>
            </w:tcBorders>
          </w:tcPr>
          <w:p w14:paraId="6B551ACF" w14:textId="77777777" w:rsidR="00FC5566" w:rsidRPr="00FC5566" w:rsidRDefault="00FC5566" w:rsidP="00FC5566">
            <w:pPr>
              <w:jc w:val="center"/>
              <w:rPr>
                <w:sz w:val="16"/>
                <w:szCs w:val="16"/>
              </w:rPr>
            </w:pPr>
            <w:r w:rsidRPr="00FC5566">
              <w:rPr>
                <w:sz w:val="16"/>
                <w:szCs w:val="16"/>
              </w:rPr>
              <w:t>Amend</w:t>
            </w:r>
          </w:p>
        </w:tc>
        <w:tc>
          <w:tcPr>
            <w:tcW w:w="2430" w:type="dxa"/>
            <w:tcBorders>
              <w:bottom w:val="single" w:sz="6" w:space="0" w:color="000000"/>
            </w:tcBorders>
          </w:tcPr>
          <w:p w14:paraId="3AF273F5" w14:textId="77777777" w:rsidR="00FC5566" w:rsidRPr="00FC5566" w:rsidRDefault="00FC5566" w:rsidP="00FC5566">
            <w:pPr>
              <w:ind w:left="86"/>
              <w:rPr>
                <w:sz w:val="16"/>
                <w:szCs w:val="16"/>
              </w:rPr>
            </w:pPr>
            <w:r w:rsidRPr="00FC5566">
              <w:rPr>
                <w:sz w:val="16"/>
                <w:szCs w:val="16"/>
              </w:rPr>
              <w:t>Row (Showers, tubs and fireplaces adjacent to the building thermal envelope), Column (Air Barrier, Air Sealing Criteria)</w:t>
            </w:r>
          </w:p>
        </w:tc>
        <w:tc>
          <w:tcPr>
            <w:tcW w:w="7020" w:type="dxa"/>
            <w:tcBorders>
              <w:bottom w:val="single" w:sz="6" w:space="0" w:color="000000"/>
            </w:tcBorders>
          </w:tcPr>
          <w:p w14:paraId="0257421E" w14:textId="77777777" w:rsidR="00FC5566" w:rsidRPr="00FC5566" w:rsidRDefault="00FC5566" w:rsidP="00FC5566">
            <w:pPr>
              <w:ind w:left="86" w:right="86"/>
              <w:rPr>
                <w:sz w:val="16"/>
                <w:szCs w:val="16"/>
              </w:rPr>
            </w:pPr>
            <w:r w:rsidRPr="00FC5566">
              <w:rPr>
                <w:sz w:val="16"/>
                <w:szCs w:val="16"/>
              </w:rPr>
              <w:t>An air barrier shall be provided at exterior vertical surface of wall insulation behind showers, tubs, staircases, and fireplaces.</w:t>
            </w:r>
          </w:p>
        </w:tc>
      </w:tr>
      <w:tr w:rsidR="00FC5566" w:rsidRPr="00FC5566" w14:paraId="7426F968" w14:textId="77777777" w:rsidTr="00B247D5">
        <w:trPr>
          <w:trHeight w:val="187"/>
        </w:trPr>
        <w:tc>
          <w:tcPr>
            <w:tcW w:w="1080" w:type="dxa"/>
          </w:tcPr>
          <w:p w14:paraId="7EA7092D" w14:textId="77777777" w:rsidR="00FC5566" w:rsidRPr="00FC5566" w:rsidRDefault="00FC5566" w:rsidP="00FC5566">
            <w:pPr>
              <w:jc w:val="center"/>
              <w:rPr>
                <w:sz w:val="16"/>
                <w:szCs w:val="16"/>
              </w:rPr>
            </w:pPr>
            <w:r w:rsidRPr="00FC5566">
              <w:rPr>
                <w:sz w:val="16"/>
                <w:szCs w:val="16"/>
              </w:rPr>
              <w:t>Repeal</w:t>
            </w:r>
          </w:p>
        </w:tc>
        <w:tc>
          <w:tcPr>
            <w:tcW w:w="2430" w:type="dxa"/>
          </w:tcPr>
          <w:p w14:paraId="6917EF04" w14:textId="77777777" w:rsidR="00FC5566" w:rsidRPr="00FC5566" w:rsidRDefault="00FC5566" w:rsidP="00FC5566">
            <w:pPr>
              <w:ind w:left="86"/>
              <w:rPr>
                <w:sz w:val="16"/>
                <w:szCs w:val="16"/>
              </w:rPr>
            </w:pPr>
            <w:r w:rsidRPr="00FC5566">
              <w:rPr>
                <w:sz w:val="16"/>
                <w:szCs w:val="16"/>
              </w:rPr>
              <w:t>Row (Electrical, communication and other equipment boxes, housings and enclosures)</w:t>
            </w:r>
          </w:p>
        </w:tc>
        <w:tc>
          <w:tcPr>
            <w:tcW w:w="7020" w:type="dxa"/>
          </w:tcPr>
          <w:p w14:paraId="56396D67" w14:textId="77777777" w:rsidR="00FC5566" w:rsidRPr="00FC5566" w:rsidRDefault="00FC5566" w:rsidP="00FC5566">
            <w:pPr>
              <w:ind w:left="86" w:right="86"/>
              <w:rPr>
                <w:sz w:val="16"/>
                <w:szCs w:val="16"/>
              </w:rPr>
            </w:pPr>
          </w:p>
        </w:tc>
      </w:tr>
      <w:tr w:rsidR="00FC5566" w:rsidRPr="00FC5566" w14:paraId="3BF2009E" w14:textId="77777777" w:rsidTr="00B247D5">
        <w:trPr>
          <w:trHeight w:val="187"/>
        </w:trPr>
        <w:tc>
          <w:tcPr>
            <w:tcW w:w="1080" w:type="dxa"/>
          </w:tcPr>
          <w:p w14:paraId="163B07B1" w14:textId="77777777" w:rsidR="00FC5566" w:rsidRPr="00FC5566" w:rsidRDefault="00FC5566" w:rsidP="00FC5566">
            <w:pPr>
              <w:jc w:val="center"/>
              <w:rPr>
                <w:sz w:val="16"/>
                <w:szCs w:val="16"/>
              </w:rPr>
            </w:pPr>
            <w:r w:rsidRPr="00FC5566">
              <w:rPr>
                <w:sz w:val="16"/>
                <w:szCs w:val="16"/>
              </w:rPr>
              <w:t>Amend</w:t>
            </w:r>
          </w:p>
        </w:tc>
        <w:tc>
          <w:tcPr>
            <w:tcW w:w="2430" w:type="dxa"/>
          </w:tcPr>
          <w:p w14:paraId="71A2BCFB" w14:textId="77777777" w:rsidR="00FC5566" w:rsidRPr="00FC5566" w:rsidRDefault="00FC5566" w:rsidP="00FC5566">
            <w:pPr>
              <w:ind w:left="86"/>
              <w:rPr>
                <w:sz w:val="16"/>
                <w:szCs w:val="16"/>
              </w:rPr>
            </w:pPr>
            <w:r w:rsidRPr="00FC5566">
              <w:rPr>
                <w:sz w:val="16"/>
                <w:szCs w:val="16"/>
              </w:rPr>
              <w:t>Section N1102.5.1.3, Maximum Air Leakage Rate.</w:t>
            </w:r>
          </w:p>
        </w:tc>
        <w:tc>
          <w:tcPr>
            <w:tcW w:w="7020" w:type="dxa"/>
          </w:tcPr>
          <w:p w14:paraId="0B38E56B" w14:textId="77777777" w:rsidR="00FC5566" w:rsidRPr="00FC5566" w:rsidRDefault="00FC5566" w:rsidP="00FC5566">
            <w:pPr>
              <w:ind w:left="86" w:right="86"/>
              <w:rPr>
                <w:sz w:val="16"/>
                <w:szCs w:val="16"/>
              </w:rPr>
            </w:pPr>
            <w:r w:rsidRPr="00FC5566">
              <w:rPr>
                <w:sz w:val="16"/>
                <w:szCs w:val="16"/>
              </w:rPr>
              <w:t>Where tested in accordance with Section R402.5.1.2, the air leakage rate for buildings, dwelling units or sleeping units shall be as follows:</w:t>
            </w:r>
          </w:p>
          <w:p w14:paraId="20C5F3A5" w14:textId="77777777" w:rsidR="00FC5566" w:rsidRPr="00FC5566" w:rsidRDefault="00FC5566" w:rsidP="00FC5566">
            <w:pPr>
              <w:ind w:left="86" w:right="86"/>
              <w:rPr>
                <w:sz w:val="16"/>
                <w:szCs w:val="16"/>
              </w:rPr>
            </w:pPr>
            <w:r w:rsidRPr="00FC5566">
              <w:rPr>
                <w:sz w:val="16"/>
                <w:szCs w:val="16"/>
              </w:rPr>
              <w:t>1. Where complying with Section R401.2.1, the building or the  dwelling units or sleeping units in the building shall have an air leakage rate not greater than 7.0 air changes per hour in Climate Zones 0, 1 and 2; 3.0 air changes per hour in Climate Zones 3 through 5; and 2.5 air changes per hour in Climate Zones 6 through 8.</w:t>
            </w:r>
          </w:p>
          <w:p w14:paraId="6520B623" w14:textId="77777777" w:rsidR="00FC5566" w:rsidRPr="00FC5566" w:rsidRDefault="00FC5566" w:rsidP="00FC5566">
            <w:pPr>
              <w:ind w:left="86" w:right="86"/>
              <w:rPr>
                <w:sz w:val="16"/>
                <w:szCs w:val="16"/>
              </w:rPr>
            </w:pPr>
            <w:r w:rsidRPr="00FC5566">
              <w:rPr>
                <w:sz w:val="16"/>
                <w:szCs w:val="16"/>
              </w:rPr>
              <w:t>2. Where complying with Section R401.2.2 or R401.2.3, the building or the dwelling units or sleeping units in the building shall have an air leakage rate not greater than 7.0 air changes per hour, or 0.39 cubic feet per minute per square foot [1.1 L/(s × m</w:t>
            </w:r>
            <w:r w:rsidRPr="00FC5566">
              <w:rPr>
                <w:sz w:val="16"/>
                <w:szCs w:val="16"/>
                <w:vertAlign w:val="superscript"/>
              </w:rPr>
              <w:t>2</w:t>
            </w:r>
            <w:r w:rsidRPr="00FC5566">
              <w:rPr>
                <w:sz w:val="16"/>
                <w:szCs w:val="16"/>
              </w:rPr>
              <w:t>)] of the building thermal envelope area or the dwelling testing unit enclosure area, as applicable.  </w:t>
            </w:r>
          </w:p>
          <w:p w14:paraId="32F85B92" w14:textId="77777777" w:rsidR="00FC5566" w:rsidRPr="00FC5566" w:rsidRDefault="00FC5566" w:rsidP="00FC5566">
            <w:pPr>
              <w:ind w:left="86" w:right="86"/>
              <w:rPr>
                <w:sz w:val="16"/>
                <w:szCs w:val="16"/>
              </w:rPr>
            </w:pPr>
            <w:r w:rsidRPr="00FC5566">
              <w:rPr>
                <w:b/>
                <w:bCs/>
                <w:sz w:val="16"/>
                <w:szCs w:val="16"/>
              </w:rPr>
              <w:t>Exceptions:</w:t>
            </w:r>
          </w:p>
          <w:p w14:paraId="7CDDB75E" w14:textId="77777777" w:rsidR="00FC5566" w:rsidRPr="00FC5566" w:rsidRDefault="00FC5566" w:rsidP="00FC5566">
            <w:pPr>
              <w:ind w:left="86" w:right="86"/>
              <w:rPr>
                <w:sz w:val="16"/>
                <w:szCs w:val="16"/>
              </w:rPr>
            </w:pPr>
            <w:r w:rsidRPr="00FC5566">
              <w:rPr>
                <w:sz w:val="16"/>
                <w:szCs w:val="16"/>
              </w:rPr>
              <w:t>1. Where dwelling units or sleeping units are attached or located in an R-2 occupancy, and are tested without simultaneously testing adjacent dwelling units or sleeping units, the air leakage rate is permitted to be not greater than 0.48 cubic feet per minute per square foot [1.4 L/(s × m</w:t>
            </w:r>
            <w:r w:rsidRPr="00FC5566">
              <w:rPr>
                <w:sz w:val="16"/>
                <w:szCs w:val="16"/>
                <w:vertAlign w:val="superscript"/>
              </w:rPr>
              <w:t>2</w:t>
            </w:r>
            <w:r w:rsidRPr="00FC5566">
              <w:rPr>
                <w:sz w:val="16"/>
                <w:szCs w:val="16"/>
              </w:rPr>
              <w:t>)] of the testing unit enclosure area. Where adjacent dwelling units are simultaneously tested in accordance with ASTM E779, the air leakage rate is permitted to be not greater than 0.48 cubic feet per minute per square foot [1.4 L/(s × m</w:t>
            </w:r>
            <w:r w:rsidRPr="00FC5566">
              <w:rPr>
                <w:sz w:val="16"/>
                <w:szCs w:val="16"/>
                <w:vertAlign w:val="superscript"/>
              </w:rPr>
              <w:t>2</w:t>
            </w:r>
            <w:r w:rsidRPr="00FC5566">
              <w:rPr>
                <w:sz w:val="16"/>
                <w:szCs w:val="16"/>
              </w:rPr>
              <w:t>)] of the testing unit enclosure area that separates conditioned space from the exterior.</w:t>
            </w:r>
          </w:p>
          <w:p w14:paraId="60D08E5A" w14:textId="77777777" w:rsidR="00FC5566" w:rsidRPr="00FC5566" w:rsidRDefault="00FC5566" w:rsidP="00FC5566">
            <w:pPr>
              <w:ind w:left="86" w:right="86"/>
              <w:rPr>
                <w:sz w:val="16"/>
                <w:szCs w:val="16"/>
              </w:rPr>
            </w:pPr>
            <w:r w:rsidRPr="00FC5566">
              <w:rPr>
                <w:sz w:val="16"/>
                <w:szCs w:val="16"/>
              </w:rPr>
              <w:t>2. Where buildings have 1,500 square feet (139.4 m</w:t>
            </w:r>
            <w:r w:rsidRPr="00FC5566">
              <w:rPr>
                <w:sz w:val="16"/>
                <w:szCs w:val="16"/>
                <w:vertAlign w:val="superscript"/>
              </w:rPr>
              <w:t>2</w:t>
            </w:r>
            <w:r w:rsidRPr="00FC5566">
              <w:rPr>
                <w:sz w:val="16"/>
                <w:szCs w:val="16"/>
              </w:rPr>
              <w:t>) or less of conditioned floor area, the air leakage rate is permitted to be not greater than 0.48 cubic feet per minute per square foot [1.4 L/(s × m</w:t>
            </w:r>
            <w:r w:rsidRPr="00FC5566">
              <w:rPr>
                <w:sz w:val="16"/>
                <w:szCs w:val="16"/>
                <w:vertAlign w:val="superscript"/>
              </w:rPr>
              <w:t>2</w:t>
            </w:r>
            <w:r w:rsidRPr="00FC5566">
              <w:rPr>
                <w:sz w:val="16"/>
                <w:szCs w:val="16"/>
              </w:rPr>
              <w:t>)].</w:t>
            </w:r>
          </w:p>
        </w:tc>
      </w:tr>
      <w:tr w:rsidR="00FC5566" w:rsidRPr="00FC5566" w14:paraId="05030071" w14:textId="77777777" w:rsidTr="00B247D5">
        <w:trPr>
          <w:trHeight w:val="187"/>
        </w:trPr>
        <w:tc>
          <w:tcPr>
            <w:tcW w:w="1080" w:type="dxa"/>
          </w:tcPr>
          <w:p w14:paraId="4E0E72C8" w14:textId="77777777" w:rsidR="00FC5566" w:rsidRPr="00FC5566" w:rsidRDefault="00FC5566" w:rsidP="00FC5566">
            <w:pPr>
              <w:jc w:val="center"/>
              <w:rPr>
                <w:sz w:val="16"/>
                <w:szCs w:val="16"/>
              </w:rPr>
            </w:pPr>
            <w:r w:rsidRPr="00FC5566">
              <w:rPr>
                <w:sz w:val="16"/>
                <w:szCs w:val="16"/>
              </w:rPr>
              <w:t>Repeal</w:t>
            </w:r>
          </w:p>
        </w:tc>
        <w:tc>
          <w:tcPr>
            <w:tcW w:w="2430" w:type="dxa"/>
          </w:tcPr>
          <w:p w14:paraId="1B564424" w14:textId="77777777" w:rsidR="00FC5566" w:rsidRPr="00FC5566" w:rsidRDefault="00FC5566" w:rsidP="00FC5566">
            <w:pPr>
              <w:ind w:left="86"/>
              <w:rPr>
                <w:sz w:val="16"/>
                <w:szCs w:val="16"/>
              </w:rPr>
            </w:pPr>
            <w:r w:rsidRPr="00FC5566">
              <w:rPr>
                <w:sz w:val="16"/>
                <w:szCs w:val="16"/>
              </w:rPr>
              <w:t>Section N1102.5.5, Air-Sealed Electrical and Communication Outlet Boxes.</w:t>
            </w:r>
          </w:p>
        </w:tc>
        <w:tc>
          <w:tcPr>
            <w:tcW w:w="7020" w:type="dxa"/>
          </w:tcPr>
          <w:p w14:paraId="5780D89E" w14:textId="77777777" w:rsidR="00FC5566" w:rsidRPr="00FC5566" w:rsidRDefault="00FC5566" w:rsidP="00FC5566">
            <w:pPr>
              <w:ind w:left="86" w:right="86"/>
              <w:rPr>
                <w:sz w:val="16"/>
                <w:szCs w:val="16"/>
              </w:rPr>
            </w:pPr>
          </w:p>
        </w:tc>
      </w:tr>
      <w:tr w:rsidR="00FC5566" w:rsidRPr="00FC5566" w14:paraId="14A5B068" w14:textId="77777777" w:rsidTr="00B247D5">
        <w:trPr>
          <w:trHeight w:val="187"/>
        </w:trPr>
        <w:tc>
          <w:tcPr>
            <w:tcW w:w="1080" w:type="dxa"/>
          </w:tcPr>
          <w:p w14:paraId="5F3496C3" w14:textId="77777777" w:rsidR="00FC5566" w:rsidRPr="00FC5566" w:rsidRDefault="00FC5566" w:rsidP="00FC5566">
            <w:pPr>
              <w:jc w:val="center"/>
              <w:rPr>
                <w:sz w:val="16"/>
                <w:szCs w:val="16"/>
              </w:rPr>
            </w:pPr>
            <w:r w:rsidRPr="00FC5566">
              <w:rPr>
                <w:sz w:val="16"/>
                <w:szCs w:val="16"/>
              </w:rPr>
              <w:t>Repeal</w:t>
            </w:r>
          </w:p>
        </w:tc>
        <w:tc>
          <w:tcPr>
            <w:tcW w:w="2430" w:type="dxa"/>
          </w:tcPr>
          <w:p w14:paraId="7F889B04" w14:textId="77777777" w:rsidR="00FC5566" w:rsidRPr="00FC5566" w:rsidRDefault="00FC5566" w:rsidP="00FC5566">
            <w:pPr>
              <w:ind w:left="86"/>
              <w:rPr>
                <w:sz w:val="16"/>
                <w:szCs w:val="16"/>
              </w:rPr>
            </w:pPr>
            <w:r w:rsidRPr="00FC5566">
              <w:rPr>
                <w:sz w:val="16"/>
                <w:szCs w:val="16"/>
              </w:rPr>
              <w:t>Section N1103.3.7, Duct System Testing.</w:t>
            </w:r>
          </w:p>
        </w:tc>
        <w:tc>
          <w:tcPr>
            <w:tcW w:w="7020" w:type="dxa"/>
          </w:tcPr>
          <w:p w14:paraId="36AFE309" w14:textId="77777777" w:rsidR="00FC5566" w:rsidRPr="00FC5566" w:rsidRDefault="00FC5566" w:rsidP="00FC5566">
            <w:pPr>
              <w:ind w:left="86" w:right="86"/>
              <w:rPr>
                <w:sz w:val="16"/>
                <w:szCs w:val="16"/>
              </w:rPr>
            </w:pPr>
          </w:p>
        </w:tc>
      </w:tr>
      <w:tr w:rsidR="00FC5566" w:rsidRPr="00FC5566" w14:paraId="3BA5D586" w14:textId="77777777" w:rsidTr="00B247D5">
        <w:trPr>
          <w:trHeight w:val="187"/>
        </w:trPr>
        <w:tc>
          <w:tcPr>
            <w:tcW w:w="1080" w:type="dxa"/>
          </w:tcPr>
          <w:p w14:paraId="336D3AFB" w14:textId="77777777" w:rsidR="00FC5566" w:rsidRPr="00FC5566" w:rsidRDefault="00FC5566" w:rsidP="00FC5566">
            <w:pPr>
              <w:jc w:val="center"/>
              <w:rPr>
                <w:sz w:val="16"/>
                <w:szCs w:val="16"/>
              </w:rPr>
            </w:pPr>
            <w:r w:rsidRPr="00FC5566">
              <w:rPr>
                <w:sz w:val="16"/>
                <w:szCs w:val="16"/>
              </w:rPr>
              <w:t>Adopt</w:t>
            </w:r>
          </w:p>
        </w:tc>
        <w:tc>
          <w:tcPr>
            <w:tcW w:w="2430" w:type="dxa"/>
          </w:tcPr>
          <w:p w14:paraId="007C87AE" w14:textId="77777777" w:rsidR="00FC5566" w:rsidRPr="00FC5566" w:rsidRDefault="00FC5566" w:rsidP="00FC5566">
            <w:pPr>
              <w:ind w:left="86"/>
              <w:rPr>
                <w:sz w:val="16"/>
                <w:szCs w:val="16"/>
              </w:rPr>
            </w:pPr>
            <w:r w:rsidRPr="00FC5566">
              <w:rPr>
                <w:sz w:val="16"/>
                <w:szCs w:val="16"/>
              </w:rPr>
              <w:t>Section N1103.3.7, Duct System Testing.</w:t>
            </w:r>
          </w:p>
        </w:tc>
        <w:tc>
          <w:tcPr>
            <w:tcW w:w="7020" w:type="dxa"/>
          </w:tcPr>
          <w:p w14:paraId="446DBF2E" w14:textId="77777777" w:rsidR="00FC5566" w:rsidRPr="00FC5566" w:rsidRDefault="00FC5566" w:rsidP="00FC5566">
            <w:pPr>
              <w:ind w:left="86" w:right="90"/>
              <w:rPr>
                <w:sz w:val="16"/>
                <w:szCs w:val="16"/>
              </w:rPr>
            </w:pPr>
            <w:r w:rsidRPr="00FC5566">
              <w:rPr>
                <w:sz w:val="16"/>
                <w:szCs w:val="16"/>
              </w:rPr>
              <w:t>Duct leakage testing shall be performed by individuals certified to perform duct leakage tests by a nationally recognized organization that trains and provides certification exams for the proper procedures to perform such tests. The responsible BCEO shall accept written duct leakage test reports from these certified individuals to verify the minimum sealing requirements of Section N1103.3.4. Ducts shall be pressure tested in accordance with ANSI/RESNET/ICC 380 or ASTM E1554 to determine air leakage by one of the following methods.</w:t>
            </w:r>
          </w:p>
          <w:p w14:paraId="414C1E8E" w14:textId="77777777" w:rsidR="00FC5566" w:rsidRPr="00FC5566" w:rsidRDefault="00FC5566" w:rsidP="00FC5566">
            <w:pPr>
              <w:ind w:left="86" w:right="90"/>
              <w:rPr>
                <w:sz w:val="16"/>
                <w:szCs w:val="16"/>
              </w:rPr>
            </w:pPr>
            <w:r w:rsidRPr="00FC5566">
              <w:rPr>
                <w:sz w:val="16"/>
                <w:szCs w:val="16"/>
              </w:rPr>
              <w:t>1. Rough-in test: The total leakage shall be less than or equal to 6.0 cubic feet per minute (113.3 L/min) per 100 square feet (9.29 m2) of conditioned floor area where the air handler is installed at the time of the test. Where the air handler is not installed at the time of the test, the total leakage shall be less than or equal to 4.0 cubic feet per minute (85 L/min) per 100 square feet (9.29 m2) of conditioned floor area.</w:t>
            </w:r>
          </w:p>
          <w:p w14:paraId="203D0089" w14:textId="77777777" w:rsidR="00FC5566" w:rsidRPr="00FC5566" w:rsidRDefault="00FC5566" w:rsidP="00FC5566">
            <w:pPr>
              <w:ind w:left="86" w:right="90"/>
              <w:rPr>
                <w:sz w:val="16"/>
                <w:szCs w:val="16"/>
              </w:rPr>
            </w:pPr>
            <w:r w:rsidRPr="00FC5566">
              <w:rPr>
                <w:sz w:val="16"/>
                <w:szCs w:val="16"/>
              </w:rPr>
              <w:t xml:space="preserve">2. Post construction test: </w:t>
            </w:r>
          </w:p>
          <w:p w14:paraId="5F4A3E2A" w14:textId="77777777" w:rsidR="00FC5566" w:rsidRPr="00FC5566" w:rsidRDefault="00FC5566" w:rsidP="00FC5566">
            <w:pPr>
              <w:ind w:left="86" w:right="90"/>
              <w:rPr>
                <w:sz w:val="16"/>
                <w:szCs w:val="16"/>
              </w:rPr>
            </w:pPr>
            <w:r w:rsidRPr="00FC5566">
              <w:rPr>
                <w:sz w:val="16"/>
                <w:szCs w:val="16"/>
              </w:rPr>
              <w:t>2.1 Total leakage shall be less than or equal to 8.0 cubic feet per minute (113.3 L/min) per 100 square feet (9.29 m2) of conditioned floor area or ≤ 80 CFM25 (minimum cap) or</w:t>
            </w:r>
          </w:p>
          <w:p w14:paraId="3E3FCC84" w14:textId="77777777" w:rsidR="00FC5566" w:rsidRPr="00FC5566" w:rsidRDefault="00FC5566" w:rsidP="00FC5566">
            <w:pPr>
              <w:ind w:left="86" w:right="90"/>
              <w:rPr>
                <w:sz w:val="16"/>
                <w:szCs w:val="16"/>
              </w:rPr>
            </w:pPr>
            <w:r w:rsidRPr="00FC5566">
              <w:rPr>
                <w:sz w:val="16"/>
                <w:szCs w:val="16"/>
              </w:rPr>
              <w:t>2.2 Leakage to Outside shall be less than or equal to 4 cfm per 100 sq feet of conditioned floor area or ≤ 40 CFM25 (minimum cap).</w:t>
            </w:r>
          </w:p>
          <w:p w14:paraId="3095B613" w14:textId="77777777" w:rsidR="00FC5566" w:rsidRPr="00FC5566" w:rsidRDefault="00FC5566" w:rsidP="00FC5566">
            <w:pPr>
              <w:ind w:left="86" w:right="90"/>
              <w:rPr>
                <w:b/>
                <w:bCs/>
                <w:sz w:val="16"/>
                <w:szCs w:val="16"/>
              </w:rPr>
            </w:pPr>
            <w:r w:rsidRPr="00FC5566">
              <w:rPr>
                <w:b/>
                <w:bCs/>
                <w:sz w:val="16"/>
                <w:szCs w:val="16"/>
              </w:rPr>
              <w:t>Exception:</w:t>
            </w:r>
          </w:p>
          <w:p w14:paraId="7A76D3BC" w14:textId="77777777" w:rsidR="00FC5566" w:rsidRPr="00FC5566" w:rsidRDefault="00FC5566" w:rsidP="00FC5566">
            <w:pPr>
              <w:ind w:left="86" w:right="86"/>
              <w:rPr>
                <w:sz w:val="16"/>
                <w:szCs w:val="16"/>
              </w:rPr>
            </w:pPr>
            <w:r w:rsidRPr="00FC5566">
              <w:rPr>
                <w:sz w:val="16"/>
                <w:szCs w:val="16"/>
              </w:rPr>
              <w:t>A duct air-leakage test shall not be required where the ducts and air handlers are located entirely within the building thermal envelope.</w:t>
            </w:r>
          </w:p>
        </w:tc>
      </w:tr>
      <w:tr w:rsidR="00FC5566" w:rsidRPr="00FC5566" w14:paraId="745DD190" w14:textId="77777777" w:rsidTr="00B247D5">
        <w:trPr>
          <w:trHeight w:val="187"/>
        </w:trPr>
        <w:tc>
          <w:tcPr>
            <w:tcW w:w="1080" w:type="dxa"/>
          </w:tcPr>
          <w:p w14:paraId="63FD43D4" w14:textId="77777777" w:rsidR="00FC5566" w:rsidRPr="00FC5566" w:rsidRDefault="00FC5566" w:rsidP="00FC5566">
            <w:pPr>
              <w:jc w:val="center"/>
              <w:rPr>
                <w:sz w:val="16"/>
                <w:szCs w:val="16"/>
              </w:rPr>
            </w:pPr>
            <w:r w:rsidRPr="00FC5566">
              <w:rPr>
                <w:sz w:val="16"/>
                <w:szCs w:val="16"/>
              </w:rPr>
              <w:t>Repeal</w:t>
            </w:r>
          </w:p>
        </w:tc>
        <w:tc>
          <w:tcPr>
            <w:tcW w:w="2430" w:type="dxa"/>
          </w:tcPr>
          <w:p w14:paraId="0620072B" w14:textId="77777777" w:rsidR="00FC5566" w:rsidRPr="00FC5566" w:rsidRDefault="00FC5566" w:rsidP="00FC5566">
            <w:pPr>
              <w:ind w:left="86"/>
              <w:rPr>
                <w:sz w:val="16"/>
                <w:szCs w:val="16"/>
              </w:rPr>
            </w:pPr>
            <w:r w:rsidRPr="00FC5566">
              <w:rPr>
                <w:sz w:val="16"/>
                <w:szCs w:val="16"/>
              </w:rPr>
              <w:t>Section N1103.3.8, Duct System Leakage.</w:t>
            </w:r>
          </w:p>
        </w:tc>
        <w:tc>
          <w:tcPr>
            <w:tcW w:w="7020" w:type="dxa"/>
          </w:tcPr>
          <w:p w14:paraId="15BFA65C" w14:textId="77777777" w:rsidR="00FC5566" w:rsidRPr="00FC5566" w:rsidRDefault="00FC5566" w:rsidP="00FC5566">
            <w:pPr>
              <w:ind w:left="86" w:right="86"/>
              <w:rPr>
                <w:sz w:val="16"/>
                <w:szCs w:val="16"/>
              </w:rPr>
            </w:pPr>
          </w:p>
        </w:tc>
      </w:tr>
      <w:tr w:rsidR="00FC5566" w:rsidRPr="00FC5566" w14:paraId="797AC833" w14:textId="77777777" w:rsidTr="00B247D5">
        <w:trPr>
          <w:trHeight w:val="187"/>
        </w:trPr>
        <w:tc>
          <w:tcPr>
            <w:tcW w:w="1080" w:type="dxa"/>
          </w:tcPr>
          <w:p w14:paraId="4E3D7FB7" w14:textId="77777777" w:rsidR="00FC5566" w:rsidRPr="00FC5566" w:rsidRDefault="00FC5566" w:rsidP="00FC5566">
            <w:pPr>
              <w:jc w:val="center"/>
              <w:rPr>
                <w:sz w:val="16"/>
                <w:szCs w:val="16"/>
              </w:rPr>
            </w:pPr>
            <w:r w:rsidRPr="00FC5566">
              <w:rPr>
                <w:sz w:val="16"/>
                <w:szCs w:val="16"/>
              </w:rPr>
              <w:t>Amend</w:t>
            </w:r>
          </w:p>
        </w:tc>
        <w:tc>
          <w:tcPr>
            <w:tcW w:w="2430" w:type="dxa"/>
          </w:tcPr>
          <w:p w14:paraId="285979CE" w14:textId="77777777" w:rsidR="00FC5566" w:rsidRPr="00FC5566" w:rsidRDefault="00FC5566" w:rsidP="00FC5566">
            <w:pPr>
              <w:ind w:left="86"/>
              <w:rPr>
                <w:sz w:val="16"/>
                <w:szCs w:val="16"/>
              </w:rPr>
            </w:pPr>
            <w:r w:rsidRPr="00FC5566">
              <w:rPr>
                <w:sz w:val="16"/>
                <w:szCs w:val="16"/>
              </w:rPr>
              <w:t>Section N1103.6.3, Testing</w:t>
            </w:r>
          </w:p>
        </w:tc>
        <w:tc>
          <w:tcPr>
            <w:tcW w:w="7020" w:type="dxa"/>
          </w:tcPr>
          <w:p w14:paraId="0BA2A403" w14:textId="77777777" w:rsidR="00FC5566" w:rsidRPr="00FC5566" w:rsidRDefault="00FC5566" w:rsidP="00FC5566">
            <w:pPr>
              <w:ind w:left="86" w:right="86"/>
              <w:rPr>
                <w:sz w:val="16"/>
                <w:szCs w:val="16"/>
              </w:rPr>
            </w:pPr>
          </w:p>
        </w:tc>
      </w:tr>
      <w:tr w:rsidR="00FC5566" w:rsidRPr="00FC5566" w14:paraId="1792F31B" w14:textId="77777777" w:rsidTr="00B247D5">
        <w:trPr>
          <w:trHeight w:val="187"/>
        </w:trPr>
        <w:tc>
          <w:tcPr>
            <w:tcW w:w="1080" w:type="dxa"/>
          </w:tcPr>
          <w:p w14:paraId="765F46CF" w14:textId="77777777" w:rsidR="00FC5566" w:rsidRPr="00FC5566" w:rsidRDefault="00FC5566" w:rsidP="00FC5566">
            <w:pPr>
              <w:jc w:val="center"/>
              <w:rPr>
                <w:sz w:val="16"/>
                <w:szCs w:val="16"/>
              </w:rPr>
            </w:pPr>
            <w:r w:rsidRPr="00FC5566">
              <w:rPr>
                <w:sz w:val="16"/>
                <w:szCs w:val="16"/>
              </w:rPr>
              <w:t>Amend</w:t>
            </w:r>
          </w:p>
        </w:tc>
        <w:tc>
          <w:tcPr>
            <w:tcW w:w="2430" w:type="dxa"/>
          </w:tcPr>
          <w:p w14:paraId="402C5DD3" w14:textId="77777777" w:rsidR="00FC5566" w:rsidRPr="00FC5566" w:rsidRDefault="00FC5566" w:rsidP="00FC5566">
            <w:pPr>
              <w:ind w:left="86"/>
              <w:rPr>
                <w:sz w:val="16"/>
                <w:szCs w:val="16"/>
              </w:rPr>
            </w:pPr>
            <w:r w:rsidRPr="00FC5566">
              <w:rPr>
                <w:sz w:val="16"/>
                <w:szCs w:val="16"/>
              </w:rPr>
              <w:t>Exceptions Item (1.)</w:t>
            </w:r>
          </w:p>
        </w:tc>
        <w:tc>
          <w:tcPr>
            <w:tcW w:w="7020" w:type="dxa"/>
          </w:tcPr>
          <w:p w14:paraId="01182D6A" w14:textId="77777777" w:rsidR="00FC5566" w:rsidRPr="00FC5566" w:rsidRDefault="00FC5566" w:rsidP="00FC5566">
            <w:pPr>
              <w:ind w:left="86" w:right="86"/>
              <w:rPr>
                <w:sz w:val="16"/>
                <w:szCs w:val="16"/>
              </w:rPr>
            </w:pPr>
            <w:r w:rsidRPr="00FC5566">
              <w:rPr>
                <w:sz w:val="16"/>
                <w:szCs w:val="16"/>
              </w:rPr>
              <w:t>1. Kitchen range hoods and bathroom exhaust fans that are ducted to the outside shall not require testing.</w:t>
            </w:r>
          </w:p>
        </w:tc>
      </w:tr>
      <w:tr w:rsidR="00FC5566" w:rsidRPr="00FC5566" w14:paraId="06B901E2" w14:textId="77777777" w:rsidTr="00B247D5">
        <w:trPr>
          <w:trHeight w:val="187"/>
        </w:trPr>
        <w:tc>
          <w:tcPr>
            <w:tcW w:w="1080" w:type="dxa"/>
          </w:tcPr>
          <w:p w14:paraId="7B85241B" w14:textId="77777777" w:rsidR="00FC5566" w:rsidRPr="00FC5566" w:rsidRDefault="00FC5566" w:rsidP="00FC5566">
            <w:pPr>
              <w:jc w:val="center"/>
              <w:rPr>
                <w:sz w:val="16"/>
                <w:szCs w:val="16"/>
              </w:rPr>
            </w:pPr>
            <w:r w:rsidRPr="00FC5566">
              <w:rPr>
                <w:sz w:val="16"/>
                <w:szCs w:val="16"/>
              </w:rPr>
              <w:t>Repeal</w:t>
            </w:r>
          </w:p>
        </w:tc>
        <w:tc>
          <w:tcPr>
            <w:tcW w:w="2430" w:type="dxa"/>
          </w:tcPr>
          <w:p w14:paraId="3DC70839" w14:textId="77777777" w:rsidR="00FC5566" w:rsidRPr="00FC5566" w:rsidRDefault="00FC5566" w:rsidP="00FC5566">
            <w:pPr>
              <w:ind w:left="86"/>
              <w:rPr>
                <w:sz w:val="16"/>
                <w:szCs w:val="16"/>
              </w:rPr>
            </w:pPr>
            <w:r w:rsidRPr="00FC5566">
              <w:rPr>
                <w:sz w:val="16"/>
                <w:szCs w:val="16"/>
              </w:rPr>
              <w:t>Section N1103.6.4, Intermittent Exhaust Control for Bathrooms and Toilet Rooms</w:t>
            </w:r>
          </w:p>
        </w:tc>
        <w:tc>
          <w:tcPr>
            <w:tcW w:w="7020" w:type="dxa"/>
          </w:tcPr>
          <w:p w14:paraId="17933DDD" w14:textId="77777777" w:rsidR="00FC5566" w:rsidRPr="00FC5566" w:rsidRDefault="00FC5566" w:rsidP="00FC5566">
            <w:pPr>
              <w:ind w:left="86" w:right="86"/>
              <w:rPr>
                <w:sz w:val="16"/>
                <w:szCs w:val="16"/>
              </w:rPr>
            </w:pPr>
          </w:p>
        </w:tc>
      </w:tr>
      <w:tr w:rsidR="00FC5566" w:rsidRPr="00FC5566" w14:paraId="01CD7FF4" w14:textId="77777777" w:rsidTr="00B247D5">
        <w:trPr>
          <w:trHeight w:val="187"/>
        </w:trPr>
        <w:tc>
          <w:tcPr>
            <w:tcW w:w="1080" w:type="dxa"/>
          </w:tcPr>
          <w:p w14:paraId="0289F03B" w14:textId="77777777" w:rsidR="00FC5566" w:rsidRPr="00FC5566" w:rsidRDefault="00FC5566" w:rsidP="00FC5566">
            <w:pPr>
              <w:jc w:val="center"/>
              <w:rPr>
                <w:sz w:val="16"/>
                <w:szCs w:val="16"/>
              </w:rPr>
            </w:pPr>
            <w:r w:rsidRPr="00FC5566">
              <w:rPr>
                <w:sz w:val="16"/>
                <w:szCs w:val="16"/>
              </w:rPr>
              <w:t>Amend</w:t>
            </w:r>
          </w:p>
        </w:tc>
        <w:tc>
          <w:tcPr>
            <w:tcW w:w="2430" w:type="dxa"/>
          </w:tcPr>
          <w:p w14:paraId="00D1B299" w14:textId="77777777" w:rsidR="00FC5566" w:rsidRPr="00FC5566" w:rsidRDefault="00FC5566" w:rsidP="00FC5566">
            <w:pPr>
              <w:ind w:left="86"/>
              <w:rPr>
                <w:sz w:val="16"/>
                <w:szCs w:val="16"/>
              </w:rPr>
            </w:pPr>
            <w:r w:rsidRPr="00FC5566">
              <w:rPr>
                <w:sz w:val="16"/>
                <w:szCs w:val="16"/>
              </w:rPr>
              <w:t>Section N1103.9.1, Heating Outside a Building</w:t>
            </w:r>
          </w:p>
        </w:tc>
        <w:tc>
          <w:tcPr>
            <w:tcW w:w="7020" w:type="dxa"/>
          </w:tcPr>
          <w:p w14:paraId="07BD3CAD" w14:textId="77777777" w:rsidR="00FC5566" w:rsidRPr="00FC5566" w:rsidRDefault="00FC5566" w:rsidP="00FC5566">
            <w:pPr>
              <w:ind w:left="86" w:right="86"/>
              <w:rPr>
                <w:sz w:val="16"/>
                <w:szCs w:val="16"/>
              </w:rPr>
            </w:pPr>
            <w:r w:rsidRPr="00FC5566">
              <w:rPr>
                <w:sz w:val="16"/>
                <w:szCs w:val="16"/>
              </w:rPr>
              <w:t>Systems installed to provide heat outside a building shall be controlled by an occupancy-sensing device or a timer switch, so that the system is automatically de-energized when occupants are not present.</w:t>
            </w:r>
          </w:p>
        </w:tc>
      </w:tr>
      <w:tr w:rsidR="00FC5566" w:rsidRPr="00FC5566" w14:paraId="05175ED5" w14:textId="77777777" w:rsidTr="00B247D5">
        <w:trPr>
          <w:trHeight w:val="187"/>
        </w:trPr>
        <w:tc>
          <w:tcPr>
            <w:tcW w:w="1080" w:type="dxa"/>
          </w:tcPr>
          <w:p w14:paraId="43B26274" w14:textId="77777777" w:rsidR="00FC5566" w:rsidRPr="00FC5566" w:rsidRDefault="00FC5566" w:rsidP="00FC5566">
            <w:pPr>
              <w:jc w:val="center"/>
              <w:rPr>
                <w:sz w:val="16"/>
                <w:szCs w:val="16"/>
              </w:rPr>
            </w:pPr>
            <w:r w:rsidRPr="00FC5566">
              <w:rPr>
                <w:sz w:val="16"/>
                <w:szCs w:val="16"/>
              </w:rPr>
              <w:t>Repeal</w:t>
            </w:r>
          </w:p>
        </w:tc>
        <w:tc>
          <w:tcPr>
            <w:tcW w:w="2430" w:type="dxa"/>
          </w:tcPr>
          <w:p w14:paraId="2D77CBA0" w14:textId="77777777" w:rsidR="00FC5566" w:rsidRPr="00FC5566" w:rsidRDefault="00FC5566" w:rsidP="00FC5566">
            <w:pPr>
              <w:ind w:left="86"/>
              <w:rPr>
                <w:sz w:val="16"/>
                <w:szCs w:val="16"/>
              </w:rPr>
            </w:pPr>
            <w:r w:rsidRPr="00FC5566">
              <w:rPr>
                <w:sz w:val="16"/>
                <w:szCs w:val="16"/>
              </w:rPr>
              <w:t>Section N1104.2.1, Habitable Spaces.</w:t>
            </w:r>
          </w:p>
        </w:tc>
        <w:tc>
          <w:tcPr>
            <w:tcW w:w="7020" w:type="dxa"/>
          </w:tcPr>
          <w:p w14:paraId="67CB80C1" w14:textId="77777777" w:rsidR="00FC5566" w:rsidRPr="00FC5566" w:rsidRDefault="00FC5566" w:rsidP="00FC5566">
            <w:pPr>
              <w:ind w:left="86" w:right="86"/>
              <w:rPr>
                <w:sz w:val="16"/>
                <w:szCs w:val="16"/>
              </w:rPr>
            </w:pPr>
          </w:p>
        </w:tc>
      </w:tr>
      <w:tr w:rsidR="00FC5566" w:rsidRPr="00FC5566" w14:paraId="5693C55A" w14:textId="77777777" w:rsidTr="00B247D5">
        <w:trPr>
          <w:trHeight w:val="187"/>
        </w:trPr>
        <w:tc>
          <w:tcPr>
            <w:tcW w:w="1080" w:type="dxa"/>
          </w:tcPr>
          <w:p w14:paraId="6C9DC860" w14:textId="77777777" w:rsidR="00FC5566" w:rsidRPr="00FC5566" w:rsidRDefault="00FC5566" w:rsidP="00FC5566">
            <w:pPr>
              <w:jc w:val="center"/>
              <w:rPr>
                <w:sz w:val="16"/>
                <w:szCs w:val="16"/>
              </w:rPr>
            </w:pPr>
            <w:r w:rsidRPr="00FC5566">
              <w:rPr>
                <w:sz w:val="16"/>
                <w:szCs w:val="16"/>
              </w:rPr>
              <w:t>Repeal</w:t>
            </w:r>
          </w:p>
        </w:tc>
        <w:tc>
          <w:tcPr>
            <w:tcW w:w="2430" w:type="dxa"/>
          </w:tcPr>
          <w:p w14:paraId="7C1CF126" w14:textId="77777777" w:rsidR="00FC5566" w:rsidRPr="00FC5566" w:rsidRDefault="00FC5566" w:rsidP="00FC5566">
            <w:pPr>
              <w:ind w:left="86"/>
              <w:rPr>
                <w:sz w:val="16"/>
                <w:szCs w:val="16"/>
              </w:rPr>
            </w:pPr>
            <w:r w:rsidRPr="00FC5566">
              <w:rPr>
                <w:sz w:val="16"/>
                <w:szCs w:val="16"/>
              </w:rPr>
              <w:t>Section N1104.2.2, Specific Locations.</w:t>
            </w:r>
          </w:p>
        </w:tc>
        <w:tc>
          <w:tcPr>
            <w:tcW w:w="7020" w:type="dxa"/>
          </w:tcPr>
          <w:p w14:paraId="7D5C3CC1" w14:textId="77777777" w:rsidR="00FC5566" w:rsidRPr="00FC5566" w:rsidRDefault="00FC5566" w:rsidP="00FC5566">
            <w:pPr>
              <w:ind w:left="86" w:right="86"/>
              <w:rPr>
                <w:sz w:val="16"/>
                <w:szCs w:val="16"/>
              </w:rPr>
            </w:pPr>
          </w:p>
        </w:tc>
      </w:tr>
      <w:tr w:rsidR="00FC5566" w:rsidRPr="00FC5566" w14:paraId="0D551250" w14:textId="77777777" w:rsidTr="00B247D5">
        <w:trPr>
          <w:trHeight w:val="187"/>
        </w:trPr>
        <w:tc>
          <w:tcPr>
            <w:tcW w:w="1080" w:type="dxa"/>
          </w:tcPr>
          <w:p w14:paraId="7E06F6AB" w14:textId="77777777" w:rsidR="00FC5566" w:rsidRPr="00FC5566" w:rsidRDefault="00FC5566" w:rsidP="00FC5566">
            <w:pPr>
              <w:jc w:val="center"/>
              <w:rPr>
                <w:sz w:val="16"/>
                <w:szCs w:val="16"/>
              </w:rPr>
            </w:pPr>
            <w:r w:rsidRPr="00FC5566">
              <w:rPr>
                <w:sz w:val="16"/>
                <w:szCs w:val="16"/>
              </w:rPr>
              <w:t>Repeal</w:t>
            </w:r>
          </w:p>
        </w:tc>
        <w:tc>
          <w:tcPr>
            <w:tcW w:w="2430" w:type="dxa"/>
          </w:tcPr>
          <w:p w14:paraId="6C31EA51" w14:textId="77777777" w:rsidR="00FC5566" w:rsidRPr="00FC5566" w:rsidRDefault="00FC5566" w:rsidP="00FC5566">
            <w:pPr>
              <w:ind w:left="86"/>
              <w:rPr>
                <w:sz w:val="16"/>
                <w:szCs w:val="16"/>
              </w:rPr>
            </w:pPr>
            <w:r w:rsidRPr="00FC5566">
              <w:rPr>
                <w:sz w:val="16"/>
                <w:szCs w:val="16"/>
              </w:rPr>
              <w:t>Section N1104.3, Exterior Lighting Controls.</w:t>
            </w:r>
          </w:p>
        </w:tc>
        <w:tc>
          <w:tcPr>
            <w:tcW w:w="7020" w:type="dxa"/>
          </w:tcPr>
          <w:p w14:paraId="51F70A5A" w14:textId="77777777" w:rsidR="00FC5566" w:rsidRPr="00FC5566" w:rsidRDefault="00FC5566" w:rsidP="00FC5566">
            <w:pPr>
              <w:ind w:left="86" w:right="86"/>
              <w:rPr>
                <w:sz w:val="16"/>
                <w:szCs w:val="16"/>
              </w:rPr>
            </w:pPr>
          </w:p>
        </w:tc>
      </w:tr>
      <w:tr w:rsidR="00FC5566" w:rsidRPr="00FC5566" w14:paraId="4873BC7B" w14:textId="77777777" w:rsidTr="00B247D5">
        <w:trPr>
          <w:trHeight w:val="187"/>
        </w:trPr>
        <w:tc>
          <w:tcPr>
            <w:tcW w:w="1080" w:type="dxa"/>
          </w:tcPr>
          <w:p w14:paraId="13AC44F5" w14:textId="77777777" w:rsidR="00FC5566" w:rsidRPr="00FC5566" w:rsidRDefault="00FC5566" w:rsidP="00FC5566">
            <w:pPr>
              <w:jc w:val="center"/>
              <w:rPr>
                <w:sz w:val="16"/>
                <w:szCs w:val="16"/>
              </w:rPr>
            </w:pPr>
            <w:r w:rsidRPr="00FC5566">
              <w:rPr>
                <w:sz w:val="16"/>
                <w:szCs w:val="16"/>
              </w:rPr>
              <w:t>Repeal</w:t>
            </w:r>
          </w:p>
        </w:tc>
        <w:tc>
          <w:tcPr>
            <w:tcW w:w="2430" w:type="dxa"/>
          </w:tcPr>
          <w:p w14:paraId="52DE1FD4" w14:textId="77777777" w:rsidR="00FC5566" w:rsidRPr="00FC5566" w:rsidRDefault="00FC5566" w:rsidP="00FC5566">
            <w:pPr>
              <w:ind w:left="86"/>
              <w:rPr>
                <w:sz w:val="16"/>
                <w:szCs w:val="16"/>
              </w:rPr>
            </w:pPr>
            <w:r w:rsidRPr="00FC5566">
              <w:rPr>
                <w:sz w:val="16"/>
                <w:szCs w:val="16"/>
              </w:rPr>
              <w:t>Section N1104.3.1, Controls for Individual Dwelling Units.</w:t>
            </w:r>
          </w:p>
        </w:tc>
        <w:tc>
          <w:tcPr>
            <w:tcW w:w="7020" w:type="dxa"/>
          </w:tcPr>
          <w:p w14:paraId="2E77E407" w14:textId="77777777" w:rsidR="00FC5566" w:rsidRPr="00FC5566" w:rsidRDefault="00FC5566" w:rsidP="00FC5566">
            <w:pPr>
              <w:ind w:left="86" w:right="86"/>
              <w:rPr>
                <w:sz w:val="16"/>
                <w:szCs w:val="16"/>
              </w:rPr>
            </w:pPr>
          </w:p>
        </w:tc>
      </w:tr>
      <w:tr w:rsidR="00FC5566" w:rsidRPr="00FC5566" w14:paraId="3DA4750A" w14:textId="77777777" w:rsidTr="00B247D5">
        <w:trPr>
          <w:trHeight w:val="187"/>
        </w:trPr>
        <w:tc>
          <w:tcPr>
            <w:tcW w:w="1080" w:type="dxa"/>
          </w:tcPr>
          <w:p w14:paraId="1B128FA8" w14:textId="77777777" w:rsidR="00FC5566" w:rsidRPr="00FC5566" w:rsidRDefault="00FC5566" w:rsidP="00FC5566">
            <w:pPr>
              <w:jc w:val="center"/>
              <w:rPr>
                <w:sz w:val="16"/>
                <w:szCs w:val="16"/>
              </w:rPr>
            </w:pPr>
            <w:r w:rsidRPr="00FC5566">
              <w:rPr>
                <w:sz w:val="16"/>
                <w:szCs w:val="16"/>
              </w:rPr>
              <w:lastRenderedPageBreak/>
              <w:t>Repeal</w:t>
            </w:r>
          </w:p>
        </w:tc>
        <w:tc>
          <w:tcPr>
            <w:tcW w:w="2430" w:type="dxa"/>
          </w:tcPr>
          <w:p w14:paraId="321DD2C2" w14:textId="77777777" w:rsidR="00FC5566" w:rsidRPr="00FC5566" w:rsidRDefault="00FC5566" w:rsidP="00FC5566">
            <w:pPr>
              <w:ind w:left="86"/>
              <w:rPr>
                <w:sz w:val="16"/>
                <w:szCs w:val="16"/>
              </w:rPr>
            </w:pPr>
            <w:r w:rsidRPr="00FC5566">
              <w:rPr>
                <w:sz w:val="16"/>
                <w:szCs w:val="16"/>
              </w:rPr>
              <w:t>Section N1104.4, Renewable Energy Certificate (REC) Documentation.</w:t>
            </w:r>
          </w:p>
        </w:tc>
        <w:tc>
          <w:tcPr>
            <w:tcW w:w="7020" w:type="dxa"/>
          </w:tcPr>
          <w:p w14:paraId="3D2B3531" w14:textId="77777777" w:rsidR="00FC5566" w:rsidRPr="00FC5566" w:rsidRDefault="00FC5566" w:rsidP="00FC5566">
            <w:pPr>
              <w:ind w:left="86" w:right="86"/>
              <w:rPr>
                <w:sz w:val="16"/>
                <w:szCs w:val="16"/>
              </w:rPr>
            </w:pPr>
          </w:p>
        </w:tc>
      </w:tr>
      <w:tr w:rsidR="00FC5566" w:rsidRPr="00FC5566" w14:paraId="7850CE65" w14:textId="77777777" w:rsidTr="00B247D5">
        <w:trPr>
          <w:trHeight w:val="187"/>
        </w:trPr>
        <w:tc>
          <w:tcPr>
            <w:tcW w:w="1080" w:type="dxa"/>
          </w:tcPr>
          <w:p w14:paraId="692ACB1C" w14:textId="77777777" w:rsidR="00FC5566" w:rsidRPr="00FC5566" w:rsidRDefault="00FC5566" w:rsidP="00FC5566">
            <w:pPr>
              <w:jc w:val="center"/>
              <w:rPr>
                <w:sz w:val="16"/>
                <w:szCs w:val="16"/>
              </w:rPr>
            </w:pPr>
            <w:r w:rsidRPr="00FC5566">
              <w:rPr>
                <w:sz w:val="16"/>
                <w:szCs w:val="16"/>
              </w:rPr>
              <w:t>Amend</w:t>
            </w:r>
          </w:p>
        </w:tc>
        <w:tc>
          <w:tcPr>
            <w:tcW w:w="2430" w:type="dxa"/>
          </w:tcPr>
          <w:p w14:paraId="29BEE024" w14:textId="77777777" w:rsidR="00FC5566" w:rsidRPr="00FC5566" w:rsidRDefault="00FC5566" w:rsidP="00FC5566">
            <w:pPr>
              <w:ind w:left="86"/>
              <w:rPr>
                <w:sz w:val="16"/>
                <w:szCs w:val="16"/>
              </w:rPr>
            </w:pPr>
            <w:r w:rsidRPr="00FC5566">
              <w:rPr>
                <w:sz w:val="16"/>
                <w:szCs w:val="16"/>
                <w:lang w:val="en"/>
              </w:rPr>
              <w:t xml:space="preserve">Table </w:t>
            </w:r>
            <w:r w:rsidRPr="00FC5566">
              <w:rPr>
                <w:sz w:val="16"/>
                <w:szCs w:val="16"/>
              </w:rPr>
              <w:t>N1105.4.2(1)</w:t>
            </w:r>
            <w:r w:rsidRPr="00FC5566">
              <w:rPr>
                <w:sz w:val="16"/>
                <w:szCs w:val="16"/>
                <w:lang w:val="en"/>
              </w:rPr>
              <w:t>, Specifications for the Standard Reference and Proposed Designs</w:t>
            </w:r>
          </w:p>
        </w:tc>
        <w:tc>
          <w:tcPr>
            <w:tcW w:w="7020" w:type="dxa"/>
          </w:tcPr>
          <w:p w14:paraId="1AA99F4B" w14:textId="77777777" w:rsidR="00FC5566" w:rsidRPr="00FC5566" w:rsidRDefault="00FC5566" w:rsidP="00FC5566">
            <w:pPr>
              <w:ind w:left="86" w:right="86"/>
              <w:rPr>
                <w:sz w:val="16"/>
                <w:szCs w:val="16"/>
              </w:rPr>
            </w:pPr>
          </w:p>
        </w:tc>
      </w:tr>
      <w:tr w:rsidR="00FC5566" w:rsidRPr="00FC5566" w14:paraId="125ECB08" w14:textId="77777777" w:rsidTr="00B247D5">
        <w:trPr>
          <w:trHeight w:val="187"/>
        </w:trPr>
        <w:tc>
          <w:tcPr>
            <w:tcW w:w="1080" w:type="dxa"/>
          </w:tcPr>
          <w:p w14:paraId="4F0AE3D7" w14:textId="77777777" w:rsidR="00FC5566" w:rsidRPr="00FC5566" w:rsidRDefault="00FC5566" w:rsidP="00FC5566">
            <w:pPr>
              <w:jc w:val="center"/>
              <w:rPr>
                <w:sz w:val="16"/>
                <w:szCs w:val="16"/>
              </w:rPr>
            </w:pPr>
            <w:r w:rsidRPr="00FC5566">
              <w:rPr>
                <w:sz w:val="16"/>
                <w:szCs w:val="16"/>
              </w:rPr>
              <w:t>Amend</w:t>
            </w:r>
          </w:p>
        </w:tc>
        <w:tc>
          <w:tcPr>
            <w:tcW w:w="2430" w:type="dxa"/>
          </w:tcPr>
          <w:p w14:paraId="6FD37F5A" w14:textId="77777777" w:rsidR="00FC5566" w:rsidRPr="00FC5566" w:rsidRDefault="00FC5566" w:rsidP="00FC5566">
            <w:pPr>
              <w:ind w:left="86"/>
              <w:rPr>
                <w:sz w:val="16"/>
                <w:szCs w:val="16"/>
                <w:lang w:val="en"/>
              </w:rPr>
            </w:pPr>
            <w:r w:rsidRPr="00FC5566">
              <w:rPr>
                <w:sz w:val="16"/>
                <w:szCs w:val="16"/>
                <w:lang w:val="en"/>
              </w:rPr>
              <w:t>Row (Air leakage rate), Column (Standard Reference Design)</w:t>
            </w:r>
          </w:p>
        </w:tc>
        <w:tc>
          <w:tcPr>
            <w:tcW w:w="7020" w:type="dxa"/>
          </w:tcPr>
          <w:p w14:paraId="1FC98E24" w14:textId="77777777" w:rsidR="00FC5566" w:rsidRPr="00FC5566" w:rsidRDefault="00FC5566" w:rsidP="00FC5566">
            <w:pPr>
              <w:ind w:left="86" w:right="86"/>
              <w:rPr>
                <w:sz w:val="16"/>
                <w:szCs w:val="16"/>
              </w:rPr>
            </w:pPr>
            <w:r w:rsidRPr="00FC5566">
              <w:rPr>
                <w:sz w:val="16"/>
                <w:szCs w:val="16"/>
              </w:rPr>
              <w:t>For detached one-family dwellings, the air leakage rate at a pressure of 0.2 inch water gauge (50 Pa) shall be as follows:</w:t>
            </w:r>
            <w:r w:rsidRPr="00FC5566">
              <w:rPr>
                <w:sz w:val="16"/>
                <w:szCs w:val="16"/>
              </w:rPr>
              <w:br/>
              <w:t>Climate Zones 0 through 2: 7.0 air changes per hour.</w:t>
            </w:r>
            <w:r w:rsidRPr="00FC5566">
              <w:rPr>
                <w:sz w:val="16"/>
                <w:szCs w:val="16"/>
              </w:rPr>
              <w:br/>
              <w:t>Climate Zones 3, 4 and 5: 3.0 air changes per hour.</w:t>
            </w:r>
            <w:r w:rsidRPr="00FC5566">
              <w:rPr>
                <w:sz w:val="16"/>
                <w:szCs w:val="16"/>
              </w:rPr>
              <w:br/>
              <w:t>Climate Zones 6 through 8: 2.5 air changes per hour.</w:t>
            </w:r>
            <w:r w:rsidRPr="00FC5566">
              <w:rPr>
                <w:sz w:val="16"/>
                <w:szCs w:val="16"/>
              </w:rPr>
              <w:br/>
              <w:t>For detached one-family dwellings that are 1,500 ft</w:t>
            </w:r>
            <w:r w:rsidRPr="00FC5566">
              <w:rPr>
                <w:sz w:val="16"/>
                <w:szCs w:val="16"/>
                <w:vertAlign w:val="superscript"/>
              </w:rPr>
              <w:t>2</w:t>
            </w:r>
            <w:r w:rsidRPr="00FC5566">
              <w:rPr>
                <w:sz w:val="16"/>
                <w:szCs w:val="16"/>
              </w:rPr>
              <w:t> or smaller and attached dwelling units or sleeping units, the air leakage rate at a pressure of 0.2 inch water gauge (50 Pa) shall be 0.48 cfm/ft</w:t>
            </w:r>
            <w:r w:rsidRPr="00FC5566">
              <w:rPr>
                <w:sz w:val="16"/>
                <w:szCs w:val="16"/>
                <w:vertAlign w:val="superscript"/>
              </w:rPr>
              <w:t>2</w:t>
            </w:r>
            <w:r w:rsidRPr="00FC5566">
              <w:rPr>
                <w:sz w:val="16"/>
                <w:szCs w:val="16"/>
              </w:rPr>
              <w:t> of the testing unit enclosure area.</w:t>
            </w:r>
          </w:p>
        </w:tc>
      </w:tr>
      <w:tr w:rsidR="00FC5566" w:rsidRPr="00FC5566" w14:paraId="775BA2D8" w14:textId="77777777" w:rsidTr="00B247D5">
        <w:trPr>
          <w:trHeight w:val="187"/>
        </w:trPr>
        <w:tc>
          <w:tcPr>
            <w:tcW w:w="1080" w:type="dxa"/>
          </w:tcPr>
          <w:p w14:paraId="599F9E1D" w14:textId="77777777" w:rsidR="00FC5566" w:rsidRPr="00FC5566" w:rsidRDefault="00FC5566" w:rsidP="00FC5566">
            <w:pPr>
              <w:jc w:val="center"/>
              <w:rPr>
                <w:sz w:val="16"/>
                <w:szCs w:val="16"/>
              </w:rPr>
            </w:pPr>
            <w:r w:rsidRPr="00FC5566">
              <w:rPr>
                <w:sz w:val="16"/>
                <w:szCs w:val="16"/>
              </w:rPr>
              <w:t>Amend</w:t>
            </w:r>
          </w:p>
        </w:tc>
        <w:tc>
          <w:tcPr>
            <w:tcW w:w="2430" w:type="dxa"/>
          </w:tcPr>
          <w:p w14:paraId="5B819ED1" w14:textId="77777777" w:rsidR="00FC5566" w:rsidRPr="00FC5566" w:rsidRDefault="00FC5566" w:rsidP="00FC5566">
            <w:pPr>
              <w:ind w:left="86"/>
              <w:rPr>
                <w:sz w:val="16"/>
                <w:szCs w:val="16"/>
                <w:lang w:val="en"/>
              </w:rPr>
            </w:pPr>
            <w:r w:rsidRPr="00FC5566">
              <w:rPr>
                <w:sz w:val="16"/>
                <w:szCs w:val="16"/>
              </w:rPr>
              <w:t>Section N1105.5.4.2, Compliance Report for Certificate of Occupancy.</w:t>
            </w:r>
          </w:p>
        </w:tc>
        <w:tc>
          <w:tcPr>
            <w:tcW w:w="7020" w:type="dxa"/>
          </w:tcPr>
          <w:p w14:paraId="16B6A16D" w14:textId="77777777" w:rsidR="00FC5566" w:rsidRPr="00FC5566" w:rsidRDefault="00FC5566" w:rsidP="00FC5566">
            <w:pPr>
              <w:ind w:left="86" w:right="86"/>
              <w:rPr>
                <w:sz w:val="16"/>
                <w:szCs w:val="16"/>
              </w:rPr>
            </w:pPr>
          </w:p>
        </w:tc>
      </w:tr>
      <w:tr w:rsidR="00FC5566" w:rsidRPr="00FC5566" w14:paraId="46AE4AD6" w14:textId="77777777" w:rsidTr="00B247D5">
        <w:trPr>
          <w:trHeight w:val="187"/>
        </w:trPr>
        <w:tc>
          <w:tcPr>
            <w:tcW w:w="1080" w:type="dxa"/>
          </w:tcPr>
          <w:p w14:paraId="118326EB" w14:textId="77777777" w:rsidR="00FC5566" w:rsidRPr="00FC5566" w:rsidRDefault="00FC5566" w:rsidP="00FC5566">
            <w:pPr>
              <w:jc w:val="center"/>
              <w:rPr>
                <w:sz w:val="16"/>
                <w:szCs w:val="16"/>
              </w:rPr>
            </w:pPr>
            <w:r w:rsidRPr="00FC5566">
              <w:rPr>
                <w:sz w:val="16"/>
                <w:szCs w:val="16"/>
              </w:rPr>
              <w:t>Amend</w:t>
            </w:r>
          </w:p>
        </w:tc>
        <w:tc>
          <w:tcPr>
            <w:tcW w:w="2430" w:type="dxa"/>
          </w:tcPr>
          <w:p w14:paraId="6F78AEF4" w14:textId="77777777" w:rsidR="00FC5566" w:rsidRPr="00FC5566" w:rsidRDefault="00FC5566" w:rsidP="00FC5566">
            <w:pPr>
              <w:ind w:left="86"/>
              <w:rPr>
                <w:sz w:val="16"/>
                <w:szCs w:val="16"/>
                <w:lang w:val="en"/>
              </w:rPr>
            </w:pPr>
            <w:r w:rsidRPr="00FC5566">
              <w:rPr>
                <w:sz w:val="16"/>
                <w:szCs w:val="16"/>
              </w:rPr>
              <w:t>Item (6.)</w:t>
            </w:r>
          </w:p>
        </w:tc>
        <w:tc>
          <w:tcPr>
            <w:tcW w:w="7020" w:type="dxa"/>
          </w:tcPr>
          <w:p w14:paraId="03DCBF94" w14:textId="77777777" w:rsidR="00FC5566" w:rsidRPr="00FC5566" w:rsidRDefault="00FC5566" w:rsidP="00FC5566">
            <w:pPr>
              <w:ind w:left="86" w:right="86"/>
              <w:rPr>
                <w:sz w:val="16"/>
                <w:szCs w:val="16"/>
              </w:rPr>
            </w:pPr>
            <w:r w:rsidRPr="00FC5566">
              <w:rPr>
                <w:sz w:val="16"/>
                <w:szCs w:val="16"/>
              </w:rPr>
              <w:t>6. A final confirmed certificate indicating compliance based on inspection, and a statement indicating that the as-built building complies with Section R405.2. The certificate shall report the energy features that were confirmed to be in the building, including component-level insulation R-values or U-factors; results from any required duct system and building thermal  envelope air leakage testing which must include a geotagged photo of the testing equipment displaying the results and the type and rated efficiencies of the heating, cooling, mechanical ventilation and service water-heating equipment installed.</w:t>
            </w:r>
          </w:p>
        </w:tc>
      </w:tr>
      <w:tr w:rsidR="00FC5566" w:rsidRPr="00FC5566" w14:paraId="3018FFCA" w14:textId="77777777" w:rsidTr="00B247D5">
        <w:trPr>
          <w:trHeight w:val="187"/>
        </w:trPr>
        <w:tc>
          <w:tcPr>
            <w:tcW w:w="1080" w:type="dxa"/>
          </w:tcPr>
          <w:p w14:paraId="2779C4D1" w14:textId="77777777" w:rsidR="00FC5566" w:rsidRPr="00FC5566" w:rsidRDefault="00FC5566" w:rsidP="00FC5566">
            <w:pPr>
              <w:jc w:val="center"/>
              <w:rPr>
                <w:sz w:val="16"/>
                <w:szCs w:val="16"/>
              </w:rPr>
            </w:pPr>
            <w:r w:rsidRPr="00FC5566">
              <w:rPr>
                <w:sz w:val="16"/>
                <w:szCs w:val="16"/>
              </w:rPr>
              <w:t>Adopt</w:t>
            </w:r>
          </w:p>
        </w:tc>
        <w:tc>
          <w:tcPr>
            <w:tcW w:w="2430" w:type="dxa"/>
          </w:tcPr>
          <w:p w14:paraId="05804DF0" w14:textId="77777777" w:rsidR="00FC5566" w:rsidRPr="00FC5566" w:rsidRDefault="00FC5566" w:rsidP="00FC5566">
            <w:pPr>
              <w:ind w:left="86"/>
              <w:rPr>
                <w:sz w:val="16"/>
                <w:szCs w:val="16"/>
              </w:rPr>
            </w:pPr>
            <w:r w:rsidRPr="00FC5566">
              <w:rPr>
                <w:sz w:val="16"/>
                <w:szCs w:val="16"/>
              </w:rPr>
              <w:t>Section N1106.4, Energy Rating Index</w:t>
            </w:r>
          </w:p>
        </w:tc>
        <w:tc>
          <w:tcPr>
            <w:tcW w:w="7020" w:type="dxa"/>
          </w:tcPr>
          <w:p w14:paraId="263A92A8" w14:textId="77777777" w:rsidR="00FC5566" w:rsidRPr="00FC5566" w:rsidRDefault="00FC5566" w:rsidP="00FC5566">
            <w:pPr>
              <w:ind w:left="86" w:right="86"/>
              <w:rPr>
                <w:sz w:val="16"/>
                <w:szCs w:val="16"/>
              </w:rPr>
            </w:pPr>
            <w:r w:rsidRPr="00FC5566">
              <w:rPr>
                <w:sz w:val="16"/>
                <w:szCs w:val="16"/>
              </w:rPr>
              <w:t>HERS calculation method shall be considered an equivalent to the ERI analysis in calculating compliance.</w:t>
            </w:r>
          </w:p>
        </w:tc>
      </w:tr>
      <w:tr w:rsidR="00FC5566" w:rsidRPr="00FC5566" w14:paraId="06B4FDA1" w14:textId="77777777" w:rsidTr="00B247D5">
        <w:trPr>
          <w:trHeight w:val="187"/>
        </w:trPr>
        <w:tc>
          <w:tcPr>
            <w:tcW w:w="1080" w:type="dxa"/>
          </w:tcPr>
          <w:p w14:paraId="4A19AA2B" w14:textId="77777777" w:rsidR="00FC5566" w:rsidRPr="00FC5566" w:rsidRDefault="00FC5566" w:rsidP="00FC5566">
            <w:pPr>
              <w:jc w:val="center"/>
              <w:rPr>
                <w:sz w:val="16"/>
                <w:szCs w:val="16"/>
              </w:rPr>
            </w:pPr>
            <w:r w:rsidRPr="00FC5566">
              <w:rPr>
                <w:sz w:val="16"/>
                <w:szCs w:val="16"/>
              </w:rPr>
              <w:t>Amend</w:t>
            </w:r>
          </w:p>
        </w:tc>
        <w:tc>
          <w:tcPr>
            <w:tcW w:w="2430" w:type="dxa"/>
          </w:tcPr>
          <w:p w14:paraId="55A21FE4" w14:textId="77777777" w:rsidR="00FC5566" w:rsidRPr="00FC5566" w:rsidRDefault="00FC5566" w:rsidP="00FC5566">
            <w:pPr>
              <w:ind w:left="86"/>
              <w:rPr>
                <w:sz w:val="16"/>
                <w:szCs w:val="16"/>
              </w:rPr>
            </w:pPr>
            <w:r w:rsidRPr="00FC5566">
              <w:rPr>
                <w:sz w:val="16"/>
                <w:szCs w:val="16"/>
              </w:rPr>
              <w:t>Table N1106.5, Maximum Energy Rating Index</w:t>
            </w:r>
          </w:p>
        </w:tc>
        <w:tc>
          <w:tcPr>
            <w:tcW w:w="7020" w:type="dxa"/>
          </w:tcPr>
          <w:p w14:paraId="47AE59BA" w14:textId="77777777" w:rsidR="00FC5566" w:rsidRPr="00FC5566" w:rsidRDefault="00FC5566" w:rsidP="00FC5566">
            <w:pPr>
              <w:ind w:left="86" w:right="86"/>
              <w:rPr>
                <w:sz w:val="16"/>
                <w:szCs w:val="16"/>
              </w:rPr>
            </w:pPr>
          </w:p>
        </w:tc>
      </w:tr>
      <w:tr w:rsidR="00FC5566" w:rsidRPr="00FC5566" w14:paraId="7FD4DEC3" w14:textId="77777777" w:rsidTr="00B247D5">
        <w:trPr>
          <w:trHeight w:val="187"/>
        </w:trPr>
        <w:tc>
          <w:tcPr>
            <w:tcW w:w="1080" w:type="dxa"/>
          </w:tcPr>
          <w:p w14:paraId="6872C0C9" w14:textId="77777777" w:rsidR="00FC5566" w:rsidRPr="00FC5566" w:rsidRDefault="00FC5566" w:rsidP="00FC5566">
            <w:pPr>
              <w:jc w:val="center"/>
              <w:rPr>
                <w:sz w:val="16"/>
                <w:szCs w:val="16"/>
              </w:rPr>
            </w:pPr>
            <w:r w:rsidRPr="00FC5566">
              <w:rPr>
                <w:sz w:val="16"/>
                <w:szCs w:val="16"/>
              </w:rPr>
              <w:t>Amend</w:t>
            </w:r>
          </w:p>
        </w:tc>
        <w:tc>
          <w:tcPr>
            <w:tcW w:w="2430" w:type="dxa"/>
          </w:tcPr>
          <w:p w14:paraId="155ABACF" w14:textId="77777777" w:rsidR="00FC5566" w:rsidRPr="00FC5566" w:rsidRDefault="00FC5566" w:rsidP="00FC5566">
            <w:pPr>
              <w:ind w:left="86"/>
              <w:rPr>
                <w:sz w:val="16"/>
                <w:szCs w:val="16"/>
              </w:rPr>
            </w:pPr>
            <w:r w:rsidRPr="00FC5566">
              <w:rPr>
                <w:sz w:val="16"/>
                <w:szCs w:val="16"/>
              </w:rPr>
              <w:t>Row (Climate Zone - 2), Column (Energy Rating Index Not Including OPP - 51)</w:t>
            </w:r>
          </w:p>
        </w:tc>
        <w:tc>
          <w:tcPr>
            <w:tcW w:w="7020" w:type="dxa"/>
          </w:tcPr>
          <w:p w14:paraId="54BD5E3B" w14:textId="77777777" w:rsidR="00FC5566" w:rsidRPr="00FC5566" w:rsidRDefault="00FC5566" w:rsidP="00FC5566">
            <w:pPr>
              <w:ind w:left="86" w:right="86"/>
              <w:rPr>
                <w:sz w:val="16"/>
                <w:szCs w:val="16"/>
              </w:rPr>
            </w:pPr>
            <w:r w:rsidRPr="00FC5566">
              <w:rPr>
                <w:sz w:val="16"/>
                <w:szCs w:val="16"/>
              </w:rPr>
              <w:t>58</w:t>
            </w:r>
          </w:p>
        </w:tc>
      </w:tr>
      <w:tr w:rsidR="00FC5566" w:rsidRPr="00FC5566" w14:paraId="2ED62D87" w14:textId="77777777" w:rsidTr="00B247D5">
        <w:trPr>
          <w:trHeight w:val="187"/>
        </w:trPr>
        <w:tc>
          <w:tcPr>
            <w:tcW w:w="1080" w:type="dxa"/>
          </w:tcPr>
          <w:p w14:paraId="2472DD2C" w14:textId="77777777" w:rsidR="00FC5566" w:rsidRPr="00FC5566" w:rsidRDefault="00FC5566" w:rsidP="00FC5566">
            <w:pPr>
              <w:jc w:val="center"/>
              <w:rPr>
                <w:sz w:val="16"/>
                <w:szCs w:val="16"/>
              </w:rPr>
            </w:pPr>
            <w:r w:rsidRPr="00FC5566">
              <w:rPr>
                <w:sz w:val="16"/>
                <w:szCs w:val="16"/>
              </w:rPr>
              <w:t>Amend</w:t>
            </w:r>
          </w:p>
        </w:tc>
        <w:tc>
          <w:tcPr>
            <w:tcW w:w="2430" w:type="dxa"/>
          </w:tcPr>
          <w:p w14:paraId="659B9E0D" w14:textId="77777777" w:rsidR="00FC5566" w:rsidRPr="00FC5566" w:rsidRDefault="00FC5566" w:rsidP="00FC5566">
            <w:pPr>
              <w:ind w:left="86"/>
              <w:rPr>
                <w:sz w:val="16"/>
                <w:szCs w:val="16"/>
              </w:rPr>
            </w:pPr>
            <w:r w:rsidRPr="00FC5566">
              <w:rPr>
                <w:sz w:val="16"/>
                <w:szCs w:val="16"/>
              </w:rPr>
              <w:t>Row (Climate Zone - 2), Column (Energy Rating Index With OPP - 34)</w:t>
            </w:r>
          </w:p>
        </w:tc>
        <w:tc>
          <w:tcPr>
            <w:tcW w:w="7020" w:type="dxa"/>
          </w:tcPr>
          <w:p w14:paraId="1E0B33FD" w14:textId="77777777" w:rsidR="00FC5566" w:rsidRPr="00FC5566" w:rsidRDefault="00FC5566" w:rsidP="00FC5566">
            <w:pPr>
              <w:ind w:left="86" w:right="86"/>
              <w:rPr>
                <w:sz w:val="16"/>
                <w:szCs w:val="16"/>
              </w:rPr>
            </w:pPr>
            <w:r w:rsidRPr="00FC5566">
              <w:rPr>
                <w:sz w:val="16"/>
                <w:szCs w:val="16"/>
              </w:rPr>
              <w:t>41</w:t>
            </w:r>
          </w:p>
        </w:tc>
      </w:tr>
      <w:tr w:rsidR="00FC5566" w:rsidRPr="00FC5566" w14:paraId="34527B8A" w14:textId="77777777" w:rsidTr="00B247D5">
        <w:trPr>
          <w:trHeight w:val="187"/>
        </w:trPr>
        <w:tc>
          <w:tcPr>
            <w:tcW w:w="1080" w:type="dxa"/>
          </w:tcPr>
          <w:p w14:paraId="699D6BDB" w14:textId="77777777" w:rsidR="00FC5566" w:rsidRPr="00FC5566" w:rsidRDefault="00FC5566" w:rsidP="00FC5566">
            <w:pPr>
              <w:jc w:val="center"/>
              <w:rPr>
                <w:sz w:val="16"/>
                <w:szCs w:val="16"/>
              </w:rPr>
            </w:pPr>
            <w:r w:rsidRPr="00FC5566">
              <w:rPr>
                <w:sz w:val="16"/>
                <w:szCs w:val="16"/>
              </w:rPr>
              <w:t>Amend</w:t>
            </w:r>
          </w:p>
        </w:tc>
        <w:tc>
          <w:tcPr>
            <w:tcW w:w="2430" w:type="dxa"/>
          </w:tcPr>
          <w:p w14:paraId="573FAC44" w14:textId="77777777" w:rsidR="00FC5566" w:rsidRPr="00FC5566" w:rsidRDefault="00FC5566" w:rsidP="00FC5566">
            <w:pPr>
              <w:ind w:left="86"/>
              <w:rPr>
                <w:sz w:val="16"/>
                <w:szCs w:val="16"/>
              </w:rPr>
            </w:pPr>
            <w:r w:rsidRPr="00FC5566">
              <w:rPr>
                <w:sz w:val="16"/>
                <w:szCs w:val="16"/>
              </w:rPr>
              <w:t>Section N1106.7.2.2, Confirmed Compliance Report for a Certificate of Occupancy.</w:t>
            </w:r>
          </w:p>
        </w:tc>
        <w:tc>
          <w:tcPr>
            <w:tcW w:w="7020" w:type="dxa"/>
          </w:tcPr>
          <w:p w14:paraId="40C08246" w14:textId="77777777" w:rsidR="00FC5566" w:rsidRPr="00FC5566" w:rsidRDefault="00FC5566" w:rsidP="00FC5566">
            <w:pPr>
              <w:ind w:left="86" w:right="86"/>
              <w:rPr>
                <w:sz w:val="16"/>
                <w:szCs w:val="16"/>
              </w:rPr>
            </w:pPr>
          </w:p>
        </w:tc>
      </w:tr>
      <w:tr w:rsidR="00FC5566" w:rsidRPr="00FC5566" w14:paraId="511BB205" w14:textId="77777777" w:rsidTr="00B247D5">
        <w:trPr>
          <w:trHeight w:val="187"/>
        </w:trPr>
        <w:tc>
          <w:tcPr>
            <w:tcW w:w="1080" w:type="dxa"/>
          </w:tcPr>
          <w:p w14:paraId="5B5A3B3E" w14:textId="77777777" w:rsidR="00FC5566" w:rsidRPr="00FC5566" w:rsidRDefault="00FC5566" w:rsidP="00FC5566">
            <w:pPr>
              <w:jc w:val="center"/>
              <w:rPr>
                <w:sz w:val="16"/>
                <w:szCs w:val="16"/>
              </w:rPr>
            </w:pPr>
            <w:r w:rsidRPr="00FC5566">
              <w:rPr>
                <w:sz w:val="16"/>
                <w:szCs w:val="16"/>
              </w:rPr>
              <w:t>Amend</w:t>
            </w:r>
          </w:p>
        </w:tc>
        <w:tc>
          <w:tcPr>
            <w:tcW w:w="2430" w:type="dxa"/>
          </w:tcPr>
          <w:p w14:paraId="2F9F98C2" w14:textId="77777777" w:rsidR="00FC5566" w:rsidRPr="00FC5566" w:rsidRDefault="00FC5566" w:rsidP="00FC5566">
            <w:pPr>
              <w:ind w:left="86"/>
              <w:rPr>
                <w:sz w:val="16"/>
                <w:szCs w:val="16"/>
              </w:rPr>
            </w:pPr>
            <w:r w:rsidRPr="00FC5566">
              <w:rPr>
                <w:sz w:val="16"/>
                <w:szCs w:val="16"/>
              </w:rPr>
              <w:t>Item (6.)</w:t>
            </w:r>
          </w:p>
        </w:tc>
        <w:tc>
          <w:tcPr>
            <w:tcW w:w="7020" w:type="dxa"/>
          </w:tcPr>
          <w:p w14:paraId="18B41F26" w14:textId="77777777" w:rsidR="00FC5566" w:rsidRPr="00FC5566" w:rsidRDefault="00FC5566" w:rsidP="00FC5566">
            <w:pPr>
              <w:ind w:left="86" w:right="86"/>
              <w:rPr>
                <w:sz w:val="16"/>
                <w:szCs w:val="16"/>
              </w:rPr>
            </w:pPr>
            <w:r w:rsidRPr="00FC5566">
              <w:rPr>
                <w:sz w:val="16"/>
                <w:szCs w:val="16"/>
              </w:rPr>
              <w:t>6. A final confirmed certificate indicating that the as-built building complies with Sections R406.2, R406.4 and R406.5. The certificate shall report the energy features that were confirmed to be in the building, including: component-level insulation R-values or U-factors; results from any required duct system and building thermal envelope air leakage testing which must include a geotagged photo of the testing equipment displaying the results; and the type and rated efficiencies of the heating, cooling, mechanical ventilation, and service water-heating equipment installed. Where on-site renewable energy systems have been installed on or in the building, the certificate shall report the type and production size of the installed system.</w:t>
            </w:r>
          </w:p>
        </w:tc>
      </w:tr>
      <w:tr w:rsidR="00FC5566" w:rsidRPr="00FC5566" w14:paraId="434B0773" w14:textId="77777777" w:rsidTr="00B247D5">
        <w:trPr>
          <w:trHeight w:val="187"/>
        </w:trPr>
        <w:tc>
          <w:tcPr>
            <w:tcW w:w="1080" w:type="dxa"/>
          </w:tcPr>
          <w:p w14:paraId="2E895304" w14:textId="77777777" w:rsidR="00FC5566" w:rsidRPr="00FC5566" w:rsidRDefault="00FC5566" w:rsidP="00FC5566">
            <w:pPr>
              <w:jc w:val="center"/>
              <w:rPr>
                <w:sz w:val="16"/>
                <w:szCs w:val="16"/>
              </w:rPr>
            </w:pPr>
            <w:r w:rsidRPr="00FC5566">
              <w:rPr>
                <w:sz w:val="16"/>
                <w:szCs w:val="16"/>
              </w:rPr>
              <w:t>Repeal</w:t>
            </w:r>
          </w:p>
        </w:tc>
        <w:tc>
          <w:tcPr>
            <w:tcW w:w="2430" w:type="dxa"/>
          </w:tcPr>
          <w:p w14:paraId="65429B30" w14:textId="77777777" w:rsidR="00FC5566" w:rsidRPr="00FC5566" w:rsidRDefault="00FC5566" w:rsidP="00FC5566">
            <w:pPr>
              <w:ind w:left="86"/>
              <w:rPr>
                <w:sz w:val="16"/>
                <w:szCs w:val="16"/>
              </w:rPr>
            </w:pPr>
            <w:r w:rsidRPr="00FC5566">
              <w:rPr>
                <w:sz w:val="16"/>
                <w:szCs w:val="16"/>
              </w:rPr>
              <w:t>Section N1108, Additional Energy Requirements</w:t>
            </w:r>
          </w:p>
        </w:tc>
        <w:tc>
          <w:tcPr>
            <w:tcW w:w="7020" w:type="dxa"/>
          </w:tcPr>
          <w:p w14:paraId="47487F5E" w14:textId="77777777" w:rsidR="00FC5566" w:rsidRPr="00FC5566" w:rsidRDefault="00FC5566" w:rsidP="00FC5566">
            <w:pPr>
              <w:ind w:left="86" w:right="86"/>
              <w:rPr>
                <w:sz w:val="16"/>
                <w:szCs w:val="16"/>
              </w:rPr>
            </w:pPr>
          </w:p>
        </w:tc>
      </w:tr>
      <w:tr w:rsidR="00FC5566" w:rsidRPr="00FC5566" w14:paraId="5EA10B6C" w14:textId="77777777" w:rsidTr="00B247D5">
        <w:trPr>
          <w:trHeight w:val="187"/>
        </w:trPr>
        <w:tc>
          <w:tcPr>
            <w:tcW w:w="1080" w:type="dxa"/>
          </w:tcPr>
          <w:p w14:paraId="30699980" w14:textId="77777777" w:rsidR="00FC5566" w:rsidRPr="00FC5566" w:rsidRDefault="00FC5566" w:rsidP="00FC5566">
            <w:pPr>
              <w:jc w:val="center"/>
              <w:rPr>
                <w:sz w:val="16"/>
                <w:szCs w:val="16"/>
              </w:rPr>
            </w:pPr>
            <w:r w:rsidRPr="00FC5566">
              <w:rPr>
                <w:sz w:val="16"/>
                <w:szCs w:val="16"/>
              </w:rPr>
              <w:t>Repeal</w:t>
            </w:r>
          </w:p>
        </w:tc>
        <w:tc>
          <w:tcPr>
            <w:tcW w:w="2430" w:type="dxa"/>
          </w:tcPr>
          <w:p w14:paraId="5E328B5B" w14:textId="77777777" w:rsidR="00FC5566" w:rsidRPr="00FC5566" w:rsidRDefault="00FC5566" w:rsidP="00FC5566">
            <w:pPr>
              <w:ind w:left="86"/>
              <w:rPr>
                <w:sz w:val="16"/>
                <w:szCs w:val="16"/>
              </w:rPr>
            </w:pPr>
            <w:r w:rsidRPr="00FC5566">
              <w:rPr>
                <w:sz w:val="16"/>
                <w:szCs w:val="16"/>
              </w:rPr>
              <w:t xml:space="preserve">Section </w:t>
            </w:r>
            <w:r w:rsidRPr="00FC5566">
              <w:rPr>
                <w:rFonts w:eastAsia="Arial"/>
                <w:sz w:val="16"/>
                <w:szCs w:val="16"/>
                <w:lang w:val="en"/>
              </w:rPr>
              <w:t>N1111.1.</w:t>
            </w:r>
            <w:r w:rsidRPr="00FC5566">
              <w:rPr>
                <w:sz w:val="16"/>
                <w:szCs w:val="16"/>
              </w:rPr>
              <w:t>2.3, Duct System Leakage.</w:t>
            </w:r>
          </w:p>
        </w:tc>
        <w:tc>
          <w:tcPr>
            <w:tcW w:w="7020" w:type="dxa"/>
          </w:tcPr>
          <w:p w14:paraId="54190351" w14:textId="77777777" w:rsidR="00FC5566" w:rsidRPr="00FC5566" w:rsidRDefault="00FC5566" w:rsidP="00FC5566">
            <w:pPr>
              <w:ind w:left="86" w:right="86"/>
              <w:rPr>
                <w:sz w:val="16"/>
                <w:szCs w:val="16"/>
              </w:rPr>
            </w:pPr>
          </w:p>
        </w:tc>
      </w:tr>
      <w:tr w:rsidR="00FC5566" w:rsidRPr="00FC5566" w14:paraId="2D59F0AC" w14:textId="77777777" w:rsidTr="00B247D5">
        <w:trPr>
          <w:trHeight w:val="187"/>
        </w:trPr>
        <w:tc>
          <w:tcPr>
            <w:tcW w:w="1080" w:type="dxa"/>
          </w:tcPr>
          <w:p w14:paraId="634015A2" w14:textId="77777777" w:rsidR="00FC5566" w:rsidRPr="00FC5566" w:rsidRDefault="00FC5566" w:rsidP="00FC5566">
            <w:pPr>
              <w:jc w:val="center"/>
              <w:rPr>
                <w:sz w:val="16"/>
                <w:szCs w:val="16"/>
              </w:rPr>
            </w:pPr>
            <w:r w:rsidRPr="00FC5566">
              <w:rPr>
                <w:sz w:val="16"/>
                <w:szCs w:val="16"/>
              </w:rPr>
              <w:t>Repeal</w:t>
            </w:r>
          </w:p>
        </w:tc>
        <w:tc>
          <w:tcPr>
            <w:tcW w:w="2430" w:type="dxa"/>
          </w:tcPr>
          <w:p w14:paraId="2C8ADB2B" w14:textId="77777777" w:rsidR="00FC5566" w:rsidRPr="00FC5566" w:rsidRDefault="00FC5566" w:rsidP="00FC5566">
            <w:pPr>
              <w:ind w:left="86"/>
              <w:rPr>
                <w:sz w:val="16"/>
                <w:szCs w:val="16"/>
              </w:rPr>
            </w:pPr>
            <w:r w:rsidRPr="00FC5566">
              <w:rPr>
                <w:sz w:val="16"/>
                <w:szCs w:val="16"/>
              </w:rPr>
              <w:t xml:space="preserve">Section </w:t>
            </w:r>
            <w:r w:rsidRPr="00FC5566">
              <w:rPr>
                <w:rFonts w:eastAsia="Arial"/>
                <w:sz w:val="16"/>
                <w:szCs w:val="16"/>
                <w:lang w:val="en"/>
              </w:rPr>
              <w:t>N1111.1.2.3</w:t>
            </w:r>
            <w:r w:rsidRPr="00FC5566">
              <w:rPr>
                <w:sz w:val="16"/>
                <w:szCs w:val="16"/>
              </w:rPr>
              <w:t xml:space="preserve"> Additional Efficiency Credit Requirements for Substantial Improvements.</w:t>
            </w:r>
          </w:p>
        </w:tc>
        <w:tc>
          <w:tcPr>
            <w:tcW w:w="7020" w:type="dxa"/>
          </w:tcPr>
          <w:p w14:paraId="6606C900" w14:textId="77777777" w:rsidR="00FC5566" w:rsidRPr="00FC5566" w:rsidRDefault="00FC5566" w:rsidP="00FC5566">
            <w:pPr>
              <w:ind w:left="86" w:right="86"/>
              <w:rPr>
                <w:sz w:val="16"/>
                <w:szCs w:val="16"/>
              </w:rPr>
            </w:pPr>
          </w:p>
        </w:tc>
      </w:tr>
      <w:tr w:rsidR="00FC5566" w:rsidRPr="00FC5566" w14:paraId="6746D6EA" w14:textId="77777777" w:rsidTr="00B247D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59"/>
        </w:trPr>
        <w:tc>
          <w:tcPr>
            <w:tcW w:w="1080" w:type="dxa"/>
            <w:tcBorders>
              <w:top w:val="single" w:sz="4" w:space="0" w:color="000000"/>
              <w:left w:val="single" w:sz="6" w:space="0" w:color="000000"/>
              <w:bottom w:val="single" w:sz="4" w:space="0" w:color="000000"/>
              <w:right w:val="single" w:sz="6" w:space="0" w:color="000000"/>
            </w:tcBorders>
          </w:tcPr>
          <w:p w14:paraId="6E72D0FF" w14:textId="77777777" w:rsidR="00FC5566" w:rsidRPr="00FC5566" w:rsidRDefault="00FC5566" w:rsidP="00FC5566">
            <w:pPr>
              <w:jc w:val="center"/>
              <w:rPr>
                <w:sz w:val="16"/>
                <w:szCs w:val="16"/>
              </w:rPr>
            </w:pPr>
            <w:r w:rsidRPr="00FC5566">
              <w:rPr>
                <w:sz w:val="16"/>
                <w:szCs w:val="16"/>
              </w:rPr>
              <w:t>Amend</w:t>
            </w:r>
          </w:p>
        </w:tc>
        <w:tc>
          <w:tcPr>
            <w:tcW w:w="2430" w:type="dxa"/>
            <w:tcBorders>
              <w:top w:val="single" w:sz="4" w:space="0" w:color="000000"/>
              <w:left w:val="single" w:sz="6" w:space="0" w:color="000000"/>
              <w:bottom w:val="single" w:sz="4" w:space="0" w:color="000000"/>
              <w:right w:val="single" w:sz="6" w:space="0" w:color="000000"/>
            </w:tcBorders>
          </w:tcPr>
          <w:p w14:paraId="45C8B0A9" w14:textId="77777777" w:rsidR="00FC5566" w:rsidRPr="00FC5566" w:rsidRDefault="00FC5566" w:rsidP="00FC5566">
            <w:pPr>
              <w:ind w:left="96" w:right="71"/>
              <w:rPr>
                <w:sz w:val="16"/>
                <w:szCs w:val="16"/>
              </w:rPr>
            </w:pPr>
            <w:r w:rsidRPr="00FC5566">
              <w:rPr>
                <w:sz w:val="16"/>
                <w:szCs w:val="16"/>
              </w:rPr>
              <w:t>Chapter 15, Exhaust Systems.</w:t>
            </w:r>
          </w:p>
        </w:tc>
        <w:tc>
          <w:tcPr>
            <w:tcW w:w="7020" w:type="dxa"/>
            <w:tcBorders>
              <w:top w:val="single" w:sz="4" w:space="0" w:color="000000"/>
              <w:left w:val="single" w:sz="6" w:space="0" w:color="000000"/>
              <w:bottom w:val="single" w:sz="4" w:space="0" w:color="000000"/>
              <w:right w:val="single" w:sz="6" w:space="0" w:color="000000"/>
            </w:tcBorders>
          </w:tcPr>
          <w:p w14:paraId="3F2E1E22" w14:textId="77777777" w:rsidR="00FC5566" w:rsidRPr="00FC5566" w:rsidRDefault="00FC5566" w:rsidP="00FC5566">
            <w:pPr>
              <w:ind w:left="109" w:right="88"/>
              <w:rPr>
                <w:sz w:val="16"/>
                <w:szCs w:val="16"/>
              </w:rPr>
            </w:pPr>
          </w:p>
        </w:tc>
      </w:tr>
      <w:tr w:rsidR="00FC5566" w:rsidRPr="00FC5566" w14:paraId="027FF226" w14:textId="77777777" w:rsidTr="00B247D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84"/>
        </w:trPr>
        <w:tc>
          <w:tcPr>
            <w:tcW w:w="1080" w:type="dxa"/>
            <w:tcBorders>
              <w:top w:val="single" w:sz="4" w:space="0" w:color="000000"/>
              <w:left w:val="single" w:sz="6" w:space="0" w:color="000000"/>
              <w:bottom w:val="single" w:sz="4" w:space="0" w:color="000000"/>
              <w:right w:val="single" w:sz="6" w:space="0" w:color="000000"/>
            </w:tcBorders>
          </w:tcPr>
          <w:p w14:paraId="23AFC3AC" w14:textId="77777777" w:rsidR="00FC5566" w:rsidRPr="00FC5566" w:rsidRDefault="00FC5566" w:rsidP="00FC5566">
            <w:pPr>
              <w:jc w:val="center"/>
              <w:rPr>
                <w:sz w:val="16"/>
                <w:szCs w:val="16"/>
              </w:rPr>
            </w:pPr>
            <w:r w:rsidRPr="00FC5566">
              <w:rPr>
                <w:sz w:val="16"/>
                <w:szCs w:val="16"/>
              </w:rPr>
              <w:t>Amend</w:t>
            </w:r>
          </w:p>
        </w:tc>
        <w:tc>
          <w:tcPr>
            <w:tcW w:w="2430" w:type="dxa"/>
            <w:tcBorders>
              <w:top w:val="single" w:sz="4" w:space="0" w:color="000000"/>
              <w:left w:val="single" w:sz="6" w:space="0" w:color="000000"/>
              <w:bottom w:val="single" w:sz="4" w:space="0" w:color="000000"/>
              <w:right w:val="single" w:sz="6" w:space="0" w:color="000000"/>
            </w:tcBorders>
          </w:tcPr>
          <w:p w14:paraId="28F27035" w14:textId="77777777" w:rsidR="00FC5566" w:rsidRPr="00FC5566" w:rsidRDefault="00FC5566" w:rsidP="00FC5566">
            <w:pPr>
              <w:ind w:left="96" w:right="71"/>
              <w:rPr>
                <w:sz w:val="16"/>
                <w:szCs w:val="16"/>
              </w:rPr>
            </w:pPr>
            <w:r w:rsidRPr="00FC5566">
              <w:rPr>
                <w:sz w:val="16"/>
                <w:szCs w:val="16"/>
              </w:rPr>
              <w:t>Section M1505.4.2, System</w:t>
            </w:r>
          </w:p>
          <w:p w14:paraId="77C7691B" w14:textId="77777777" w:rsidR="00FC5566" w:rsidRPr="00FC5566" w:rsidRDefault="00FC5566" w:rsidP="00FC5566">
            <w:pPr>
              <w:ind w:left="96" w:right="71"/>
              <w:rPr>
                <w:sz w:val="16"/>
                <w:szCs w:val="16"/>
              </w:rPr>
            </w:pPr>
            <w:r w:rsidRPr="00FC5566">
              <w:rPr>
                <w:sz w:val="16"/>
                <w:szCs w:val="16"/>
              </w:rPr>
              <w:t>Controls.</w:t>
            </w:r>
          </w:p>
        </w:tc>
        <w:tc>
          <w:tcPr>
            <w:tcW w:w="7020" w:type="dxa"/>
            <w:tcBorders>
              <w:top w:val="single" w:sz="4" w:space="0" w:color="000000"/>
              <w:left w:val="single" w:sz="6" w:space="0" w:color="000000"/>
              <w:bottom w:val="single" w:sz="4" w:space="0" w:color="000000"/>
              <w:right w:val="single" w:sz="6" w:space="0" w:color="000000"/>
            </w:tcBorders>
          </w:tcPr>
          <w:p w14:paraId="3818386E" w14:textId="77777777" w:rsidR="00FC5566" w:rsidRPr="00FC5566" w:rsidRDefault="00FC5566" w:rsidP="00FC5566">
            <w:pPr>
              <w:ind w:left="109" w:right="88"/>
              <w:rPr>
                <w:sz w:val="16"/>
                <w:szCs w:val="16"/>
              </w:rPr>
            </w:pPr>
            <w:r w:rsidRPr="00FC5566">
              <w:rPr>
                <w:sz w:val="16"/>
                <w:szCs w:val="16"/>
              </w:rPr>
              <w:t>The whole-house mechanical ventilation system shall be provided with controls that enable manual</w:t>
            </w:r>
          </w:p>
          <w:p w14:paraId="1439A51C" w14:textId="77777777" w:rsidR="00FC5566" w:rsidRPr="00FC5566" w:rsidRDefault="00FC5566" w:rsidP="00FC5566">
            <w:pPr>
              <w:ind w:left="109" w:right="88"/>
              <w:rPr>
                <w:sz w:val="16"/>
                <w:szCs w:val="16"/>
              </w:rPr>
            </w:pPr>
            <w:r w:rsidRPr="00FC5566">
              <w:rPr>
                <w:sz w:val="16"/>
                <w:szCs w:val="16"/>
              </w:rPr>
              <w:t>override and a method of air-flow adjustment. Controls shall include text or a symbol indicating their function. The outdoor air ventilation system may operate intermittently when the ventilation system is interlocked with the local air handling equipment and operates whenever the equipment is in cooling or heating mode.</w:t>
            </w:r>
          </w:p>
        </w:tc>
      </w:tr>
      <w:tr w:rsidR="00FC5566" w:rsidRPr="00FC5566" w14:paraId="55D6556E" w14:textId="77777777" w:rsidTr="00B247D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59"/>
        </w:trPr>
        <w:tc>
          <w:tcPr>
            <w:tcW w:w="1080" w:type="dxa"/>
            <w:tcBorders>
              <w:top w:val="single" w:sz="4" w:space="0" w:color="000000"/>
              <w:left w:val="single" w:sz="6" w:space="0" w:color="000000"/>
              <w:bottom w:val="single" w:sz="4" w:space="0" w:color="000000"/>
              <w:right w:val="single" w:sz="6" w:space="0" w:color="000000"/>
            </w:tcBorders>
          </w:tcPr>
          <w:p w14:paraId="01796085" w14:textId="77777777" w:rsidR="00FC5566" w:rsidRPr="00FC5566" w:rsidRDefault="00FC5566" w:rsidP="00FC5566">
            <w:pPr>
              <w:jc w:val="center"/>
              <w:rPr>
                <w:sz w:val="16"/>
                <w:szCs w:val="16"/>
              </w:rPr>
            </w:pPr>
            <w:r w:rsidRPr="00FC5566">
              <w:rPr>
                <w:sz w:val="16"/>
                <w:szCs w:val="16"/>
              </w:rPr>
              <w:t>Amend</w:t>
            </w:r>
          </w:p>
        </w:tc>
        <w:tc>
          <w:tcPr>
            <w:tcW w:w="2430" w:type="dxa"/>
            <w:tcBorders>
              <w:top w:val="single" w:sz="4" w:space="0" w:color="000000"/>
              <w:left w:val="single" w:sz="6" w:space="0" w:color="000000"/>
              <w:bottom w:val="single" w:sz="4" w:space="0" w:color="000000"/>
              <w:right w:val="single" w:sz="6" w:space="0" w:color="000000"/>
            </w:tcBorders>
          </w:tcPr>
          <w:p w14:paraId="28787116" w14:textId="77777777" w:rsidR="00FC5566" w:rsidRPr="00FC5566" w:rsidRDefault="00FC5566" w:rsidP="00FC5566">
            <w:pPr>
              <w:ind w:left="96" w:right="71"/>
              <w:rPr>
                <w:sz w:val="16"/>
                <w:szCs w:val="16"/>
              </w:rPr>
            </w:pPr>
            <w:r w:rsidRPr="00FC5566">
              <w:rPr>
                <w:sz w:val="16"/>
                <w:szCs w:val="16"/>
              </w:rPr>
              <w:t>Chapter 25, Plumbing Administration.</w:t>
            </w:r>
          </w:p>
        </w:tc>
        <w:tc>
          <w:tcPr>
            <w:tcW w:w="7020" w:type="dxa"/>
            <w:tcBorders>
              <w:top w:val="single" w:sz="4" w:space="0" w:color="000000"/>
              <w:left w:val="single" w:sz="6" w:space="0" w:color="000000"/>
              <w:bottom w:val="single" w:sz="4" w:space="0" w:color="000000"/>
              <w:right w:val="single" w:sz="6" w:space="0" w:color="000000"/>
            </w:tcBorders>
          </w:tcPr>
          <w:p w14:paraId="2F972E42" w14:textId="77777777" w:rsidR="00FC5566" w:rsidRPr="00FC5566" w:rsidRDefault="00FC5566" w:rsidP="00FC5566">
            <w:pPr>
              <w:spacing w:line="278" w:lineRule="auto"/>
              <w:ind w:left="106" w:right="91"/>
              <w:rPr>
                <w:rFonts w:eastAsia="Aptos"/>
                <w:color w:val="000000"/>
                <w:kern w:val="2"/>
                <w:sz w:val="16"/>
                <w:szCs w:val="16"/>
              </w:rPr>
            </w:pPr>
          </w:p>
        </w:tc>
      </w:tr>
      <w:tr w:rsidR="00FC5566" w:rsidRPr="00FC5566" w14:paraId="2EABD709" w14:textId="77777777" w:rsidTr="00B247D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547"/>
        </w:trPr>
        <w:tc>
          <w:tcPr>
            <w:tcW w:w="1080" w:type="dxa"/>
            <w:tcBorders>
              <w:top w:val="single" w:sz="4" w:space="0" w:color="000000"/>
              <w:left w:val="single" w:sz="6" w:space="0" w:color="000000"/>
              <w:bottom w:val="single" w:sz="4" w:space="0" w:color="000000"/>
              <w:right w:val="single" w:sz="6" w:space="0" w:color="000000"/>
            </w:tcBorders>
          </w:tcPr>
          <w:p w14:paraId="1A984F0B" w14:textId="77777777" w:rsidR="00FC5566" w:rsidRPr="00FC5566" w:rsidRDefault="00FC5566" w:rsidP="00FC5566">
            <w:pPr>
              <w:jc w:val="center"/>
              <w:rPr>
                <w:sz w:val="16"/>
                <w:szCs w:val="16"/>
              </w:rPr>
            </w:pPr>
            <w:r w:rsidRPr="00FC5566">
              <w:rPr>
                <w:sz w:val="16"/>
                <w:szCs w:val="16"/>
              </w:rPr>
              <w:t>Amend</w:t>
            </w:r>
          </w:p>
        </w:tc>
        <w:tc>
          <w:tcPr>
            <w:tcW w:w="2430" w:type="dxa"/>
            <w:tcBorders>
              <w:top w:val="single" w:sz="4" w:space="0" w:color="000000"/>
              <w:left w:val="single" w:sz="6" w:space="0" w:color="000000"/>
              <w:bottom w:val="single" w:sz="4" w:space="0" w:color="000000"/>
              <w:right w:val="single" w:sz="6" w:space="0" w:color="000000"/>
            </w:tcBorders>
          </w:tcPr>
          <w:p w14:paraId="601D0E58" w14:textId="77777777" w:rsidR="00FC5566" w:rsidRPr="00FC5566" w:rsidRDefault="00FC5566" w:rsidP="00FC5566">
            <w:pPr>
              <w:ind w:left="96" w:right="71"/>
              <w:rPr>
                <w:sz w:val="16"/>
                <w:szCs w:val="16"/>
              </w:rPr>
            </w:pPr>
            <w:r w:rsidRPr="00FC5566">
              <w:rPr>
                <w:sz w:val="16"/>
                <w:szCs w:val="16"/>
              </w:rPr>
              <w:t>Section P2503.6, Shower Liner Test</w:t>
            </w:r>
          </w:p>
          <w:p w14:paraId="55BC2C65" w14:textId="77777777" w:rsidR="00FC5566" w:rsidRPr="00FC5566" w:rsidRDefault="00FC5566" w:rsidP="00FC5566">
            <w:pPr>
              <w:ind w:left="96" w:right="71"/>
              <w:rPr>
                <w:sz w:val="16"/>
                <w:szCs w:val="16"/>
              </w:rPr>
            </w:pPr>
          </w:p>
        </w:tc>
        <w:tc>
          <w:tcPr>
            <w:tcW w:w="7020" w:type="dxa"/>
            <w:tcBorders>
              <w:top w:val="single" w:sz="4" w:space="0" w:color="000000"/>
              <w:left w:val="single" w:sz="6" w:space="0" w:color="000000"/>
              <w:bottom w:val="single" w:sz="4" w:space="0" w:color="000000"/>
              <w:right w:val="single" w:sz="6" w:space="0" w:color="000000"/>
            </w:tcBorders>
          </w:tcPr>
          <w:p w14:paraId="2F000425" w14:textId="77777777" w:rsidR="00FC5566" w:rsidRPr="00FC5566" w:rsidRDefault="00FC5566" w:rsidP="00FC5566">
            <w:pPr>
              <w:ind w:left="101" w:right="86"/>
              <w:rPr>
                <w:rFonts w:eastAsia="Aptos"/>
                <w:color w:val="000000"/>
                <w:kern w:val="2"/>
                <w:sz w:val="16"/>
                <w:szCs w:val="16"/>
              </w:rPr>
            </w:pPr>
            <w:r w:rsidRPr="00FC5566">
              <w:rPr>
                <w:rFonts w:eastAsia="Aptos"/>
                <w:color w:val="000000"/>
                <w:kern w:val="2"/>
                <w:sz w:val="16"/>
                <w:szCs w:val="16"/>
              </w:rPr>
              <w:t xml:space="preserve">Where shower floors and receptors are made watertight by the application of materials required by Section P2709.2, the completed liner installation shall be tested. The pipe from the shower drain shall be plugged watertight for the test. The floor and receptor area shall be filled with potable water to a depth of not less than 2 inches (51 mm) measured at the threshold. Where a threshold of not less than 2 inches (51 mm) in height does not exist, a temporary threshold shall be constructed to retain the test water in the lined floor or receptor area to a level not less than 2 inches (51 mm) in depth measured at the threshold. The water shall be retained for a test period of not less than 15 minutes and there shall not be evidence of leakage. </w:t>
            </w:r>
            <w:r w:rsidRPr="00FC5566">
              <w:rPr>
                <w:rFonts w:eastAsia="Aptos"/>
                <w:kern w:val="2"/>
                <w:sz w:val="16"/>
                <w:szCs w:val="16"/>
              </w:rPr>
              <w:t>Testing shall be the responsibility of the installer.</w:t>
            </w:r>
          </w:p>
        </w:tc>
      </w:tr>
      <w:tr w:rsidR="00FC5566" w:rsidRPr="00FC5566" w14:paraId="25336D90" w14:textId="77777777" w:rsidTr="00B247D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50"/>
        </w:trPr>
        <w:tc>
          <w:tcPr>
            <w:tcW w:w="1080" w:type="dxa"/>
            <w:tcBorders>
              <w:top w:val="single" w:sz="4" w:space="0" w:color="000000"/>
              <w:left w:val="single" w:sz="6" w:space="0" w:color="000000"/>
              <w:bottom w:val="single" w:sz="4" w:space="0" w:color="000000"/>
              <w:right w:val="single" w:sz="6" w:space="0" w:color="000000"/>
            </w:tcBorders>
          </w:tcPr>
          <w:p w14:paraId="116534B6" w14:textId="77777777" w:rsidR="00FC5566" w:rsidRPr="00FC5566" w:rsidRDefault="00FC5566" w:rsidP="00FC5566">
            <w:pPr>
              <w:jc w:val="center"/>
              <w:rPr>
                <w:sz w:val="16"/>
                <w:szCs w:val="16"/>
              </w:rPr>
            </w:pPr>
            <w:r w:rsidRPr="00FC5566">
              <w:rPr>
                <w:sz w:val="16"/>
                <w:szCs w:val="16"/>
              </w:rPr>
              <w:t>Amend</w:t>
            </w:r>
          </w:p>
        </w:tc>
        <w:tc>
          <w:tcPr>
            <w:tcW w:w="2430" w:type="dxa"/>
            <w:tcBorders>
              <w:top w:val="single" w:sz="4" w:space="0" w:color="000000"/>
              <w:left w:val="single" w:sz="6" w:space="0" w:color="000000"/>
              <w:bottom w:val="single" w:sz="4" w:space="0" w:color="000000"/>
              <w:right w:val="single" w:sz="6" w:space="0" w:color="000000"/>
            </w:tcBorders>
          </w:tcPr>
          <w:p w14:paraId="72A3E5AF" w14:textId="77777777" w:rsidR="00FC5566" w:rsidRPr="00FC5566" w:rsidRDefault="00FC5566" w:rsidP="00FC5566">
            <w:pPr>
              <w:ind w:left="96" w:right="71"/>
              <w:rPr>
                <w:sz w:val="16"/>
                <w:szCs w:val="16"/>
              </w:rPr>
            </w:pPr>
            <w:r w:rsidRPr="00FC5566">
              <w:rPr>
                <w:sz w:val="16"/>
                <w:szCs w:val="16"/>
              </w:rPr>
              <w:t>Chapter 26, General Plumbing Requirements.</w:t>
            </w:r>
          </w:p>
        </w:tc>
        <w:tc>
          <w:tcPr>
            <w:tcW w:w="7020" w:type="dxa"/>
            <w:tcBorders>
              <w:top w:val="single" w:sz="4" w:space="0" w:color="000000"/>
              <w:left w:val="single" w:sz="6" w:space="0" w:color="000000"/>
              <w:bottom w:val="single" w:sz="4" w:space="0" w:color="000000"/>
              <w:right w:val="single" w:sz="6" w:space="0" w:color="000000"/>
            </w:tcBorders>
          </w:tcPr>
          <w:p w14:paraId="14AF53ED" w14:textId="77777777" w:rsidR="00FC5566" w:rsidRPr="00FC5566" w:rsidRDefault="00FC5566" w:rsidP="00FC5566">
            <w:pPr>
              <w:ind w:left="106" w:right="91"/>
              <w:rPr>
                <w:rFonts w:eastAsia="Aptos"/>
                <w:color w:val="000000"/>
                <w:kern w:val="2"/>
                <w:sz w:val="16"/>
                <w:szCs w:val="16"/>
              </w:rPr>
            </w:pPr>
          </w:p>
        </w:tc>
      </w:tr>
      <w:tr w:rsidR="00FC5566" w:rsidRPr="00FC5566" w14:paraId="3BD9EB82" w14:textId="77777777" w:rsidTr="00B247D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133"/>
        </w:trPr>
        <w:tc>
          <w:tcPr>
            <w:tcW w:w="1080" w:type="dxa"/>
            <w:tcBorders>
              <w:top w:val="single" w:sz="4" w:space="0" w:color="000000"/>
              <w:left w:val="single" w:sz="6" w:space="0" w:color="000000"/>
              <w:bottom w:val="single" w:sz="4" w:space="0" w:color="000000"/>
              <w:right w:val="single" w:sz="6" w:space="0" w:color="000000"/>
            </w:tcBorders>
          </w:tcPr>
          <w:p w14:paraId="40FEE536" w14:textId="77777777" w:rsidR="00FC5566" w:rsidRPr="00FC5566" w:rsidRDefault="00FC5566" w:rsidP="00FC5566">
            <w:pPr>
              <w:jc w:val="center"/>
              <w:rPr>
                <w:sz w:val="16"/>
                <w:szCs w:val="16"/>
              </w:rPr>
            </w:pPr>
            <w:r w:rsidRPr="00FC5566">
              <w:rPr>
                <w:sz w:val="16"/>
                <w:szCs w:val="16"/>
              </w:rPr>
              <w:t>Amend</w:t>
            </w:r>
          </w:p>
        </w:tc>
        <w:tc>
          <w:tcPr>
            <w:tcW w:w="2430" w:type="dxa"/>
            <w:tcBorders>
              <w:top w:val="single" w:sz="4" w:space="0" w:color="000000"/>
              <w:left w:val="single" w:sz="6" w:space="0" w:color="000000"/>
              <w:bottom w:val="single" w:sz="4" w:space="0" w:color="000000"/>
              <w:right w:val="single" w:sz="6" w:space="0" w:color="000000"/>
            </w:tcBorders>
          </w:tcPr>
          <w:p w14:paraId="0DAC0F6E" w14:textId="77777777" w:rsidR="00FC5566" w:rsidRPr="00FC5566" w:rsidRDefault="00FC5566" w:rsidP="00FC5566">
            <w:pPr>
              <w:ind w:left="96" w:right="71"/>
              <w:rPr>
                <w:sz w:val="16"/>
                <w:szCs w:val="16"/>
              </w:rPr>
            </w:pPr>
            <w:r w:rsidRPr="00FC5566">
              <w:rPr>
                <w:sz w:val="16"/>
                <w:szCs w:val="16"/>
              </w:rPr>
              <w:t>Section P2603.5, Freezing.</w:t>
            </w:r>
          </w:p>
        </w:tc>
        <w:tc>
          <w:tcPr>
            <w:tcW w:w="7020" w:type="dxa"/>
            <w:tcBorders>
              <w:top w:val="single" w:sz="4" w:space="0" w:color="000000"/>
              <w:left w:val="single" w:sz="6" w:space="0" w:color="000000"/>
              <w:bottom w:val="single" w:sz="4" w:space="0" w:color="000000"/>
              <w:right w:val="single" w:sz="6" w:space="0" w:color="000000"/>
            </w:tcBorders>
          </w:tcPr>
          <w:p w14:paraId="1CD89507" w14:textId="77777777" w:rsidR="00FC5566" w:rsidRPr="00FC5566" w:rsidRDefault="00FC5566" w:rsidP="00FC5566">
            <w:pPr>
              <w:ind w:left="106" w:right="91"/>
              <w:rPr>
                <w:rFonts w:eastAsia="Aptos"/>
                <w:color w:val="000000"/>
                <w:kern w:val="2"/>
                <w:sz w:val="16"/>
                <w:szCs w:val="16"/>
              </w:rPr>
            </w:pPr>
            <w:r w:rsidRPr="00FC5566">
              <w:rPr>
                <w:rFonts w:eastAsia="Aptos"/>
                <w:color w:val="000000"/>
                <w:kern w:val="2"/>
                <w:sz w:val="16"/>
                <w:szCs w:val="16"/>
              </w:rPr>
              <w:t xml:space="preserve">In localities having a winter design temperature of 32°F (0°C) or lower as shown in Table R301.2 of this code, a water, soil or waste pipe shall not be installed outside of a building, in exterior walls, in attics or crawl spaces, or in any other place subjected to freezing temperature unless adequate provision is made to protect it from freezing by insulation or heat or both. </w:t>
            </w:r>
            <w:r w:rsidRPr="00FC5566">
              <w:rPr>
                <w:rFonts w:eastAsia="Aptos"/>
                <w:kern w:val="2"/>
                <w:sz w:val="16"/>
                <w:szCs w:val="16"/>
              </w:rPr>
              <w:t xml:space="preserve">Contact with envelope insulation shall be deemed as having adequate protection. </w:t>
            </w:r>
            <w:r w:rsidRPr="00FC5566">
              <w:rPr>
                <w:rFonts w:eastAsia="Aptos"/>
                <w:color w:val="000000"/>
                <w:kern w:val="2"/>
                <w:sz w:val="16"/>
                <w:szCs w:val="16"/>
              </w:rPr>
              <w:t>Water service pipe shall be installed not less than 12 inches (305 mm) deep and not less than 6 inches (152 mm) below the frost line.</w:t>
            </w:r>
          </w:p>
        </w:tc>
      </w:tr>
      <w:tr w:rsidR="00FC5566" w:rsidRPr="00FC5566" w14:paraId="61D3CE70" w14:textId="77777777" w:rsidTr="00B247D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84"/>
        </w:trPr>
        <w:tc>
          <w:tcPr>
            <w:tcW w:w="1080" w:type="dxa"/>
            <w:tcBorders>
              <w:top w:val="single" w:sz="4" w:space="0" w:color="000000"/>
              <w:left w:val="single" w:sz="6" w:space="0" w:color="000000"/>
              <w:bottom w:val="single" w:sz="4" w:space="0" w:color="000000"/>
              <w:right w:val="single" w:sz="6" w:space="0" w:color="000000"/>
            </w:tcBorders>
          </w:tcPr>
          <w:p w14:paraId="322CBC62" w14:textId="77777777" w:rsidR="00FC5566" w:rsidRPr="00FC5566" w:rsidRDefault="00FC5566" w:rsidP="00FC5566">
            <w:pPr>
              <w:jc w:val="center"/>
              <w:rPr>
                <w:sz w:val="16"/>
                <w:szCs w:val="16"/>
              </w:rPr>
            </w:pPr>
            <w:r w:rsidRPr="00FC5566">
              <w:rPr>
                <w:sz w:val="16"/>
                <w:szCs w:val="16"/>
              </w:rPr>
              <w:lastRenderedPageBreak/>
              <w:t>Amend</w:t>
            </w:r>
          </w:p>
        </w:tc>
        <w:tc>
          <w:tcPr>
            <w:tcW w:w="2430" w:type="dxa"/>
            <w:tcBorders>
              <w:top w:val="single" w:sz="4" w:space="0" w:color="000000"/>
              <w:left w:val="single" w:sz="6" w:space="0" w:color="000000"/>
              <w:bottom w:val="single" w:sz="4" w:space="0" w:color="000000"/>
              <w:right w:val="single" w:sz="6" w:space="0" w:color="000000"/>
            </w:tcBorders>
          </w:tcPr>
          <w:p w14:paraId="7943D37D" w14:textId="77777777" w:rsidR="00FC5566" w:rsidRPr="00FC5566" w:rsidRDefault="00FC5566" w:rsidP="00FC5566">
            <w:pPr>
              <w:ind w:left="96" w:right="71"/>
              <w:rPr>
                <w:sz w:val="16"/>
                <w:szCs w:val="16"/>
              </w:rPr>
            </w:pPr>
            <w:r w:rsidRPr="00FC5566">
              <w:rPr>
                <w:sz w:val="16"/>
                <w:szCs w:val="16"/>
              </w:rPr>
              <w:t>Chapter 29, Water Supply and Distribution.</w:t>
            </w:r>
          </w:p>
        </w:tc>
        <w:tc>
          <w:tcPr>
            <w:tcW w:w="7020" w:type="dxa"/>
            <w:tcBorders>
              <w:top w:val="single" w:sz="4" w:space="0" w:color="000000"/>
              <w:left w:val="single" w:sz="6" w:space="0" w:color="000000"/>
              <w:bottom w:val="single" w:sz="4" w:space="0" w:color="000000"/>
              <w:right w:val="single" w:sz="6" w:space="0" w:color="000000"/>
            </w:tcBorders>
          </w:tcPr>
          <w:p w14:paraId="3A156516" w14:textId="77777777" w:rsidR="00FC5566" w:rsidRPr="00FC5566" w:rsidRDefault="00FC5566" w:rsidP="00FC5566">
            <w:pPr>
              <w:ind w:left="109" w:right="88"/>
              <w:rPr>
                <w:sz w:val="16"/>
                <w:szCs w:val="16"/>
              </w:rPr>
            </w:pPr>
          </w:p>
        </w:tc>
      </w:tr>
      <w:tr w:rsidR="00FC5566" w:rsidRPr="00FC5566" w14:paraId="10782C45" w14:textId="77777777" w:rsidTr="00B247D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84"/>
        </w:trPr>
        <w:tc>
          <w:tcPr>
            <w:tcW w:w="1080" w:type="dxa"/>
            <w:tcBorders>
              <w:top w:val="single" w:sz="4" w:space="0" w:color="000000"/>
              <w:left w:val="single" w:sz="6" w:space="0" w:color="000000"/>
              <w:bottom w:val="single" w:sz="4" w:space="0" w:color="000000"/>
              <w:right w:val="single" w:sz="6" w:space="0" w:color="000000"/>
            </w:tcBorders>
          </w:tcPr>
          <w:p w14:paraId="15A3898A" w14:textId="77777777" w:rsidR="00FC5566" w:rsidRPr="00FC5566" w:rsidRDefault="00FC5566" w:rsidP="00FC5566">
            <w:pPr>
              <w:jc w:val="center"/>
              <w:rPr>
                <w:sz w:val="16"/>
                <w:szCs w:val="16"/>
              </w:rPr>
            </w:pPr>
            <w:r w:rsidRPr="00FC5566">
              <w:rPr>
                <w:sz w:val="16"/>
                <w:szCs w:val="16"/>
              </w:rPr>
              <w:t>Adopt</w:t>
            </w:r>
          </w:p>
        </w:tc>
        <w:tc>
          <w:tcPr>
            <w:tcW w:w="2430" w:type="dxa"/>
            <w:tcBorders>
              <w:top w:val="single" w:sz="4" w:space="0" w:color="000000"/>
              <w:left w:val="single" w:sz="6" w:space="0" w:color="000000"/>
              <w:bottom w:val="single" w:sz="4" w:space="0" w:color="000000"/>
              <w:right w:val="single" w:sz="6" w:space="0" w:color="000000"/>
            </w:tcBorders>
          </w:tcPr>
          <w:p w14:paraId="3DE0275C" w14:textId="77777777" w:rsidR="00FC5566" w:rsidRPr="00FC5566" w:rsidRDefault="00FC5566" w:rsidP="00FC5566">
            <w:pPr>
              <w:ind w:left="96" w:right="71"/>
              <w:rPr>
                <w:sz w:val="16"/>
                <w:szCs w:val="16"/>
              </w:rPr>
            </w:pPr>
            <w:r w:rsidRPr="00FC5566">
              <w:rPr>
                <w:sz w:val="16"/>
                <w:szCs w:val="16"/>
              </w:rPr>
              <w:t>Section P2902.5.6, Connections to Swimming Pools.</w:t>
            </w:r>
          </w:p>
        </w:tc>
        <w:tc>
          <w:tcPr>
            <w:tcW w:w="7020" w:type="dxa"/>
            <w:tcBorders>
              <w:top w:val="single" w:sz="4" w:space="0" w:color="000000"/>
              <w:left w:val="single" w:sz="6" w:space="0" w:color="000000"/>
              <w:bottom w:val="single" w:sz="4" w:space="0" w:color="000000"/>
              <w:right w:val="single" w:sz="6" w:space="0" w:color="000000"/>
            </w:tcBorders>
          </w:tcPr>
          <w:p w14:paraId="5B52BF0D" w14:textId="77777777" w:rsidR="00FC5566" w:rsidRPr="00FC5566" w:rsidRDefault="00FC5566" w:rsidP="00FC5566">
            <w:pPr>
              <w:ind w:left="109" w:right="88"/>
              <w:rPr>
                <w:sz w:val="16"/>
                <w:szCs w:val="16"/>
              </w:rPr>
            </w:pPr>
            <w:r w:rsidRPr="00FC5566">
              <w:rPr>
                <w:sz w:val="16"/>
                <w:szCs w:val="16"/>
              </w:rPr>
              <w:t>The potable water supply to swimming pools shall be protected against backflow by an air gap or reduced pressure principal backflow prevention assembly.</w:t>
            </w:r>
          </w:p>
        </w:tc>
      </w:tr>
      <w:tr w:rsidR="00FC5566" w:rsidRPr="00FC5566" w14:paraId="03F3EEE6" w14:textId="77777777" w:rsidTr="00B247D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84"/>
        </w:trPr>
        <w:tc>
          <w:tcPr>
            <w:tcW w:w="1080" w:type="dxa"/>
            <w:tcBorders>
              <w:top w:val="single" w:sz="4" w:space="0" w:color="000000"/>
              <w:left w:val="single" w:sz="6" w:space="0" w:color="000000"/>
              <w:bottom w:val="single" w:sz="4" w:space="0" w:color="000000"/>
              <w:right w:val="single" w:sz="6" w:space="0" w:color="000000"/>
            </w:tcBorders>
          </w:tcPr>
          <w:p w14:paraId="6D46FEAC" w14:textId="77777777" w:rsidR="00FC5566" w:rsidRPr="00FC5566" w:rsidRDefault="00FC5566" w:rsidP="00FC5566">
            <w:pPr>
              <w:jc w:val="center"/>
              <w:rPr>
                <w:sz w:val="16"/>
                <w:szCs w:val="16"/>
              </w:rPr>
            </w:pPr>
            <w:r w:rsidRPr="00FC5566">
              <w:rPr>
                <w:sz w:val="16"/>
                <w:szCs w:val="16"/>
              </w:rPr>
              <w:t>Adopt</w:t>
            </w:r>
          </w:p>
        </w:tc>
        <w:tc>
          <w:tcPr>
            <w:tcW w:w="2430" w:type="dxa"/>
            <w:tcBorders>
              <w:top w:val="single" w:sz="4" w:space="0" w:color="000000"/>
              <w:left w:val="single" w:sz="6" w:space="0" w:color="000000"/>
              <w:bottom w:val="single" w:sz="4" w:space="0" w:color="000000"/>
              <w:right w:val="single" w:sz="6" w:space="0" w:color="000000"/>
            </w:tcBorders>
          </w:tcPr>
          <w:p w14:paraId="57A501BF" w14:textId="77777777" w:rsidR="00FC5566" w:rsidRPr="00FC5566" w:rsidRDefault="00FC5566" w:rsidP="00FC5566">
            <w:pPr>
              <w:ind w:left="96" w:right="71"/>
              <w:rPr>
                <w:sz w:val="16"/>
                <w:szCs w:val="16"/>
              </w:rPr>
            </w:pPr>
            <w:r w:rsidRPr="00FC5566">
              <w:rPr>
                <w:sz w:val="16"/>
                <w:szCs w:val="16"/>
              </w:rPr>
              <w:t>Section P2902.5.7, Connections to Animal Watering Troughs, Ornamental Fountains, or Other Similar Equipment.</w:t>
            </w:r>
          </w:p>
        </w:tc>
        <w:tc>
          <w:tcPr>
            <w:tcW w:w="7020" w:type="dxa"/>
            <w:tcBorders>
              <w:top w:val="single" w:sz="4" w:space="0" w:color="000000"/>
              <w:left w:val="single" w:sz="6" w:space="0" w:color="000000"/>
              <w:bottom w:val="single" w:sz="4" w:space="0" w:color="000000"/>
              <w:right w:val="single" w:sz="6" w:space="0" w:color="000000"/>
            </w:tcBorders>
          </w:tcPr>
          <w:p w14:paraId="7040E090" w14:textId="77777777" w:rsidR="00FC5566" w:rsidRPr="00FC5566" w:rsidRDefault="00FC5566" w:rsidP="00FC5566">
            <w:pPr>
              <w:ind w:left="109" w:right="88"/>
              <w:rPr>
                <w:sz w:val="16"/>
                <w:szCs w:val="16"/>
              </w:rPr>
            </w:pPr>
            <w:r w:rsidRPr="00FC5566">
              <w:rPr>
                <w:sz w:val="16"/>
                <w:szCs w:val="16"/>
              </w:rPr>
              <w:t>The potable water supply to animal watering troughs, ornamental fountains, or other similar fixtures shall be protected against backflow by an air gap.</w:t>
            </w:r>
          </w:p>
        </w:tc>
      </w:tr>
      <w:tr w:rsidR="00FC5566" w:rsidRPr="00FC5566" w14:paraId="4340F1CA" w14:textId="77777777" w:rsidTr="00B247D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59"/>
        </w:trPr>
        <w:tc>
          <w:tcPr>
            <w:tcW w:w="1080" w:type="dxa"/>
            <w:tcBorders>
              <w:top w:val="single" w:sz="4" w:space="0" w:color="000000"/>
              <w:left w:val="single" w:sz="6" w:space="0" w:color="000000"/>
              <w:bottom w:val="single" w:sz="4" w:space="0" w:color="000000"/>
              <w:right w:val="single" w:sz="6" w:space="0" w:color="000000"/>
            </w:tcBorders>
          </w:tcPr>
          <w:p w14:paraId="4020A753" w14:textId="77777777" w:rsidR="00FC5566" w:rsidRPr="00FC5566" w:rsidRDefault="00FC5566" w:rsidP="00FC5566">
            <w:pPr>
              <w:jc w:val="center"/>
              <w:rPr>
                <w:sz w:val="16"/>
                <w:szCs w:val="16"/>
              </w:rPr>
            </w:pPr>
            <w:r w:rsidRPr="00FC5566">
              <w:rPr>
                <w:sz w:val="16"/>
                <w:szCs w:val="16"/>
              </w:rPr>
              <w:t>Repeal</w:t>
            </w:r>
          </w:p>
        </w:tc>
        <w:tc>
          <w:tcPr>
            <w:tcW w:w="2430" w:type="dxa"/>
            <w:tcBorders>
              <w:top w:val="single" w:sz="4" w:space="0" w:color="000000"/>
              <w:left w:val="single" w:sz="6" w:space="0" w:color="000000"/>
              <w:bottom w:val="single" w:sz="4" w:space="0" w:color="000000"/>
              <w:right w:val="single" w:sz="6" w:space="0" w:color="000000"/>
            </w:tcBorders>
          </w:tcPr>
          <w:p w14:paraId="3FBFF6B7" w14:textId="77777777" w:rsidR="00FC5566" w:rsidRPr="00FC5566" w:rsidRDefault="00FC5566" w:rsidP="00FC5566">
            <w:pPr>
              <w:ind w:left="96" w:right="71"/>
              <w:rPr>
                <w:sz w:val="16"/>
                <w:szCs w:val="16"/>
              </w:rPr>
            </w:pPr>
            <w:r w:rsidRPr="00FC5566">
              <w:rPr>
                <w:sz w:val="16"/>
                <w:szCs w:val="16"/>
              </w:rPr>
              <w:t>Section P2903.11, Hose bibb.</w:t>
            </w:r>
          </w:p>
        </w:tc>
        <w:tc>
          <w:tcPr>
            <w:tcW w:w="7020" w:type="dxa"/>
            <w:tcBorders>
              <w:top w:val="single" w:sz="4" w:space="0" w:color="000000"/>
              <w:left w:val="single" w:sz="6" w:space="0" w:color="000000"/>
              <w:bottom w:val="single" w:sz="4" w:space="0" w:color="000000"/>
              <w:right w:val="single" w:sz="6" w:space="0" w:color="000000"/>
            </w:tcBorders>
          </w:tcPr>
          <w:p w14:paraId="4268A2F9" w14:textId="77777777" w:rsidR="00FC5566" w:rsidRPr="00FC5566" w:rsidRDefault="00FC5566" w:rsidP="00FC5566">
            <w:pPr>
              <w:ind w:left="109" w:right="88"/>
              <w:rPr>
                <w:sz w:val="16"/>
                <w:szCs w:val="16"/>
                <w:highlight w:val="yellow"/>
              </w:rPr>
            </w:pPr>
          </w:p>
        </w:tc>
      </w:tr>
      <w:tr w:rsidR="00FC5566" w:rsidRPr="00FC5566" w14:paraId="1B7398AE" w14:textId="77777777" w:rsidTr="00B247D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59"/>
        </w:trPr>
        <w:tc>
          <w:tcPr>
            <w:tcW w:w="1080" w:type="dxa"/>
            <w:tcBorders>
              <w:top w:val="single" w:sz="4" w:space="0" w:color="000000"/>
              <w:left w:val="single" w:sz="6" w:space="0" w:color="000000"/>
              <w:bottom w:val="single" w:sz="4" w:space="0" w:color="000000"/>
              <w:right w:val="single" w:sz="6" w:space="0" w:color="000000"/>
            </w:tcBorders>
          </w:tcPr>
          <w:p w14:paraId="2D88A93A" w14:textId="77777777" w:rsidR="00FC5566" w:rsidRPr="00FC5566" w:rsidRDefault="00FC5566" w:rsidP="00FC5566">
            <w:pPr>
              <w:jc w:val="center"/>
              <w:rPr>
                <w:sz w:val="16"/>
                <w:szCs w:val="16"/>
              </w:rPr>
            </w:pPr>
            <w:r w:rsidRPr="00FC5566">
              <w:rPr>
                <w:sz w:val="16"/>
                <w:szCs w:val="16"/>
              </w:rPr>
              <w:t>Repeal</w:t>
            </w:r>
          </w:p>
        </w:tc>
        <w:tc>
          <w:tcPr>
            <w:tcW w:w="2430" w:type="dxa"/>
            <w:tcBorders>
              <w:top w:val="single" w:sz="4" w:space="0" w:color="000000"/>
              <w:left w:val="single" w:sz="6" w:space="0" w:color="000000"/>
              <w:bottom w:val="single" w:sz="4" w:space="0" w:color="000000"/>
              <w:right w:val="single" w:sz="6" w:space="0" w:color="000000"/>
            </w:tcBorders>
          </w:tcPr>
          <w:p w14:paraId="6ED0DD8D" w14:textId="77777777" w:rsidR="00FC5566" w:rsidRPr="00FC5566" w:rsidRDefault="00FC5566" w:rsidP="00FC5566">
            <w:pPr>
              <w:ind w:left="96" w:right="71"/>
              <w:rPr>
                <w:sz w:val="16"/>
                <w:szCs w:val="16"/>
              </w:rPr>
            </w:pPr>
            <w:r w:rsidRPr="00FC5566">
              <w:rPr>
                <w:sz w:val="16"/>
                <w:szCs w:val="16"/>
              </w:rPr>
              <w:t>Figure P2903.11, Hose bibb</w:t>
            </w:r>
          </w:p>
        </w:tc>
        <w:tc>
          <w:tcPr>
            <w:tcW w:w="7020" w:type="dxa"/>
            <w:tcBorders>
              <w:top w:val="single" w:sz="4" w:space="0" w:color="000000"/>
              <w:left w:val="single" w:sz="6" w:space="0" w:color="000000"/>
              <w:bottom w:val="single" w:sz="4" w:space="0" w:color="000000"/>
              <w:right w:val="single" w:sz="6" w:space="0" w:color="000000"/>
            </w:tcBorders>
          </w:tcPr>
          <w:p w14:paraId="5DD04F00" w14:textId="77777777" w:rsidR="00FC5566" w:rsidRPr="00FC5566" w:rsidRDefault="00FC5566" w:rsidP="00FC5566">
            <w:pPr>
              <w:ind w:left="109" w:right="88"/>
              <w:rPr>
                <w:sz w:val="16"/>
                <w:szCs w:val="16"/>
                <w:highlight w:val="yellow"/>
              </w:rPr>
            </w:pPr>
          </w:p>
        </w:tc>
      </w:tr>
      <w:tr w:rsidR="00FC5566" w:rsidRPr="00FC5566" w14:paraId="4CF9B787" w14:textId="77777777" w:rsidTr="00B247D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59"/>
        </w:trPr>
        <w:tc>
          <w:tcPr>
            <w:tcW w:w="1080" w:type="dxa"/>
            <w:tcBorders>
              <w:top w:val="nil"/>
              <w:left w:val="single" w:sz="6" w:space="0" w:color="000000"/>
              <w:bottom w:val="single" w:sz="6" w:space="0" w:color="000000"/>
              <w:right w:val="single" w:sz="6" w:space="0" w:color="000000"/>
            </w:tcBorders>
          </w:tcPr>
          <w:p w14:paraId="3CB51158" w14:textId="77777777" w:rsidR="00FC5566" w:rsidRPr="00FC5566" w:rsidRDefault="00FC5566" w:rsidP="00FC5566">
            <w:pPr>
              <w:jc w:val="center"/>
              <w:rPr>
                <w:sz w:val="16"/>
                <w:szCs w:val="16"/>
              </w:rPr>
            </w:pPr>
            <w:r w:rsidRPr="00FC5566">
              <w:rPr>
                <w:sz w:val="16"/>
                <w:szCs w:val="16"/>
              </w:rPr>
              <w:t>Amend</w:t>
            </w:r>
          </w:p>
        </w:tc>
        <w:tc>
          <w:tcPr>
            <w:tcW w:w="2430" w:type="dxa"/>
            <w:tcBorders>
              <w:top w:val="nil"/>
              <w:left w:val="single" w:sz="6" w:space="0" w:color="000000"/>
              <w:bottom w:val="single" w:sz="6" w:space="0" w:color="000000"/>
              <w:right w:val="single" w:sz="6" w:space="0" w:color="000000"/>
            </w:tcBorders>
          </w:tcPr>
          <w:p w14:paraId="09673769" w14:textId="77777777" w:rsidR="00FC5566" w:rsidRPr="00FC5566" w:rsidRDefault="00FC5566" w:rsidP="00FC5566">
            <w:pPr>
              <w:ind w:left="96" w:right="71"/>
              <w:rPr>
                <w:rFonts w:eastAsia="Aptos"/>
                <w:kern w:val="2"/>
                <w:sz w:val="16"/>
                <w:szCs w:val="16"/>
              </w:rPr>
            </w:pPr>
            <w:r w:rsidRPr="00FC5566">
              <w:rPr>
                <w:rFonts w:eastAsia="Aptos"/>
                <w:kern w:val="2"/>
                <w:sz w:val="16"/>
                <w:szCs w:val="16"/>
              </w:rPr>
              <w:t>Chapter 30, Sanitary Drainage</w:t>
            </w:r>
          </w:p>
        </w:tc>
        <w:tc>
          <w:tcPr>
            <w:tcW w:w="7020" w:type="dxa"/>
            <w:tcBorders>
              <w:top w:val="nil"/>
              <w:left w:val="single" w:sz="6" w:space="0" w:color="000000"/>
              <w:bottom w:val="single" w:sz="6" w:space="0" w:color="000000"/>
              <w:right w:val="single" w:sz="6" w:space="0" w:color="000000"/>
            </w:tcBorders>
          </w:tcPr>
          <w:p w14:paraId="57C573D6" w14:textId="77777777" w:rsidR="00FC5566" w:rsidRPr="00FC5566" w:rsidRDefault="00FC5566" w:rsidP="00FC5566">
            <w:pPr>
              <w:ind w:left="109" w:right="88"/>
              <w:rPr>
                <w:sz w:val="16"/>
                <w:szCs w:val="16"/>
              </w:rPr>
            </w:pPr>
          </w:p>
        </w:tc>
      </w:tr>
      <w:tr w:rsidR="00FC5566" w:rsidRPr="00FC5566" w14:paraId="39A093B2" w14:textId="77777777" w:rsidTr="00B247D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84"/>
        </w:trPr>
        <w:tc>
          <w:tcPr>
            <w:tcW w:w="1080" w:type="dxa"/>
            <w:tcBorders>
              <w:top w:val="nil"/>
              <w:left w:val="single" w:sz="6" w:space="0" w:color="000000"/>
              <w:bottom w:val="single" w:sz="6" w:space="0" w:color="000000"/>
              <w:right w:val="single" w:sz="6" w:space="0" w:color="000000"/>
            </w:tcBorders>
          </w:tcPr>
          <w:p w14:paraId="23028744" w14:textId="77777777" w:rsidR="00FC5566" w:rsidRPr="00FC5566" w:rsidRDefault="00FC5566" w:rsidP="00FC5566">
            <w:pPr>
              <w:jc w:val="center"/>
              <w:rPr>
                <w:sz w:val="16"/>
                <w:szCs w:val="16"/>
              </w:rPr>
            </w:pPr>
            <w:r w:rsidRPr="00FC5566">
              <w:rPr>
                <w:sz w:val="16"/>
                <w:szCs w:val="16"/>
              </w:rPr>
              <w:t>Amend</w:t>
            </w:r>
          </w:p>
        </w:tc>
        <w:tc>
          <w:tcPr>
            <w:tcW w:w="2430" w:type="dxa"/>
            <w:tcBorders>
              <w:top w:val="nil"/>
              <w:left w:val="single" w:sz="6" w:space="0" w:color="000000"/>
              <w:bottom w:val="single" w:sz="6" w:space="0" w:color="000000"/>
              <w:right w:val="single" w:sz="6" w:space="0" w:color="000000"/>
            </w:tcBorders>
          </w:tcPr>
          <w:p w14:paraId="330C11A6" w14:textId="77777777" w:rsidR="00FC5566" w:rsidRPr="00FC5566" w:rsidRDefault="00FC5566" w:rsidP="00FC5566">
            <w:pPr>
              <w:ind w:left="96" w:right="71"/>
              <w:rPr>
                <w:sz w:val="16"/>
                <w:szCs w:val="16"/>
              </w:rPr>
            </w:pPr>
            <w:r w:rsidRPr="00FC5566">
              <w:rPr>
                <w:rFonts w:eastAsia="Aptos"/>
                <w:kern w:val="2"/>
                <w:sz w:val="16"/>
                <w:szCs w:val="16"/>
              </w:rPr>
              <w:t>Section P3005.2.2, Building sewers.</w:t>
            </w:r>
          </w:p>
        </w:tc>
        <w:tc>
          <w:tcPr>
            <w:tcW w:w="7020" w:type="dxa"/>
            <w:tcBorders>
              <w:top w:val="nil"/>
              <w:left w:val="single" w:sz="6" w:space="0" w:color="000000"/>
              <w:bottom w:val="single" w:sz="6" w:space="0" w:color="000000"/>
              <w:right w:val="single" w:sz="6" w:space="0" w:color="000000"/>
            </w:tcBorders>
          </w:tcPr>
          <w:p w14:paraId="710DCDE4" w14:textId="77777777" w:rsidR="00FC5566" w:rsidRPr="00FC5566" w:rsidRDefault="00FC5566" w:rsidP="00FC5566">
            <w:pPr>
              <w:ind w:left="109" w:right="88"/>
              <w:rPr>
                <w:sz w:val="16"/>
                <w:szCs w:val="16"/>
              </w:rPr>
            </w:pPr>
          </w:p>
        </w:tc>
      </w:tr>
      <w:tr w:rsidR="00FC5566" w:rsidRPr="00FC5566" w14:paraId="1FC842F3" w14:textId="77777777" w:rsidTr="00B247D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84"/>
        </w:trPr>
        <w:tc>
          <w:tcPr>
            <w:tcW w:w="1080" w:type="dxa"/>
            <w:tcBorders>
              <w:top w:val="nil"/>
              <w:left w:val="single" w:sz="6" w:space="0" w:color="000000"/>
              <w:bottom w:val="single" w:sz="6" w:space="0" w:color="000000"/>
              <w:right w:val="single" w:sz="6" w:space="0" w:color="000000"/>
            </w:tcBorders>
          </w:tcPr>
          <w:p w14:paraId="604EF4D8" w14:textId="77777777" w:rsidR="00FC5566" w:rsidRPr="00FC5566" w:rsidRDefault="00FC5566" w:rsidP="00FC5566">
            <w:pPr>
              <w:jc w:val="center"/>
              <w:rPr>
                <w:sz w:val="16"/>
                <w:szCs w:val="16"/>
              </w:rPr>
            </w:pPr>
            <w:r w:rsidRPr="00FC5566">
              <w:rPr>
                <w:sz w:val="16"/>
                <w:szCs w:val="16"/>
              </w:rPr>
              <w:t>Adopt</w:t>
            </w:r>
          </w:p>
        </w:tc>
        <w:tc>
          <w:tcPr>
            <w:tcW w:w="2430" w:type="dxa"/>
            <w:tcBorders>
              <w:top w:val="nil"/>
              <w:left w:val="single" w:sz="6" w:space="0" w:color="000000"/>
              <w:bottom w:val="single" w:sz="6" w:space="0" w:color="000000"/>
              <w:right w:val="single" w:sz="6" w:space="0" w:color="000000"/>
            </w:tcBorders>
          </w:tcPr>
          <w:p w14:paraId="5013F2DC" w14:textId="77777777" w:rsidR="00FC5566" w:rsidRPr="00FC5566" w:rsidRDefault="00FC5566" w:rsidP="00FC5566">
            <w:pPr>
              <w:ind w:left="96" w:right="71"/>
              <w:rPr>
                <w:sz w:val="16"/>
                <w:szCs w:val="16"/>
              </w:rPr>
            </w:pPr>
            <w:r w:rsidRPr="00FC5566">
              <w:rPr>
                <w:rFonts w:eastAsia="Aptos"/>
                <w:kern w:val="2"/>
                <w:sz w:val="16"/>
                <w:szCs w:val="16"/>
              </w:rPr>
              <w:t>Exception</w:t>
            </w:r>
          </w:p>
        </w:tc>
        <w:tc>
          <w:tcPr>
            <w:tcW w:w="7020" w:type="dxa"/>
            <w:tcBorders>
              <w:top w:val="nil"/>
              <w:left w:val="single" w:sz="6" w:space="0" w:color="000000"/>
              <w:bottom w:val="single" w:sz="6" w:space="0" w:color="000000"/>
              <w:right w:val="single" w:sz="6" w:space="0" w:color="000000"/>
            </w:tcBorders>
          </w:tcPr>
          <w:p w14:paraId="2858CD72" w14:textId="77777777" w:rsidR="00FC5566" w:rsidRPr="00FC5566" w:rsidRDefault="00FC5566" w:rsidP="00FC5566">
            <w:pPr>
              <w:ind w:left="109" w:right="88"/>
              <w:rPr>
                <w:b/>
                <w:bCs/>
                <w:sz w:val="16"/>
                <w:szCs w:val="16"/>
              </w:rPr>
            </w:pPr>
            <w:r w:rsidRPr="00FC5566">
              <w:rPr>
                <w:b/>
                <w:bCs/>
                <w:sz w:val="16"/>
                <w:szCs w:val="16"/>
              </w:rPr>
              <w:t>Exception:</w:t>
            </w:r>
          </w:p>
          <w:p w14:paraId="71CE5AFD" w14:textId="77777777" w:rsidR="00FC5566" w:rsidRPr="00FC5566" w:rsidRDefault="00FC5566" w:rsidP="00FC5566">
            <w:pPr>
              <w:ind w:left="109" w:right="88"/>
              <w:rPr>
                <w:sz w:val="16"/>
                <w:szCs w:val="16"/>
              </w:rPr>
            </w:pPr>
            <w:r w:rsidRPr="00FC5566">
              <w:rPr>
                <w:sz w:val="16"/>
                <w:szCs w:val="16"/>
              </w:rPr>
              <w:t>A 2-inch sink or washing machine drain shall be allowed to continue, greater than 30 inches of</w:t>
            </w:r>
          </w:p>
          <w:p w14:paraId="14858E2E" w14:textId="77777777" w:rsidR="00FC5566" w:rsidRPr="00FC5566" w:rsidRDefault="00FC5566" w:rsidP="00FC5566">
            <w:pPr>
              <w:ind w:left="109" w:right="88"/>
              <w:rPr>
                <w:sz w:val="16"/>
                <w:szCs w:val="16"/>
              </w:rPr>
            </w:pPr>
            <w:r w:rsidRPr="00FC5566">
              <w:rPr>
                <w:sz w:val="16"/>
                <w:szCs w:val="16"/>
              </w:rPr>
              <w:t>developed length, from the edge of the foundation continuous to the 4-inch building sewer if it meets ALL of the following conditions:</w:t>
            </w:r>
          </w:p>
          <w:p w14:paraId="62AC2E56" w14:textId="77777777" w:rsidR="00FC5566" w:rsidRPr="00FC5566" w:rsidRDefault="00FC5566" w:rsidP="00FC5566">
            <w:pPr>
              <w:ind w:left="109" w:right="88"/>
              <w:rPr>
                <w:sz w:val="16"/>
                <w:szCs w:val="16"/>
              </w:rPr>
            </w:pPr>
            <w:r w:rsidRPr="00FC5566">
              <w:rPr>
                <w:sz w:val="16"/>
                <w:szCs w:val="16"/>
              </w:rPr>
              <w:t>(1.) The allowable fall per inch over the entire length of pipe shall be maintained.</w:t>
            </w:r>
          </w:p>
          <w:p w14:paraId="027A78DB" w14:textId="77777777" w:rsidR="00FC5566" w:rsidRPr="00FC5566" w:rsidRDefault="00FC5566" w:rsidP="00FC5566">
            <w:pPr>
              <w:ind w:left="109" w:right="88"/>
              <w:rPr>
                <w:sz w:val="16"/>
                <w:szCs w:val="16"/>
              </w:rPr>
            </w:pPr>
            <w:r w:rsidRPr="00FC5566">
              <w:rPr>
                <w:sz w:val="16"/>
                <w:szCs w:val="16"/>
              </w:rPr>
              <w:t>(2.) No solid waste shall be allowed within the drain system.</w:t>
            </w:r>
          </w:p>
          <w:p w14:paraId="2F7B1458" w14:textId="77777777" w:rsidR="00FC5566" w:rsidRPr="00FC5566" w:rsidRDefault="00FC5566" w:rsidP="00FC5566">
            <w:pPr>
              <w:ind w:left="109" w:right="88"/>
              <w:rPr>
                <w:sz w:val="16"/>
                <w:szCs w:val="16"/>
              </w:rPr>
            </w:pPr>
            <w:r w:rsidRPr="00FC5566">
              <w:rPr>
                <w:sz w:val="16"/>
                <w:szCs w:val="16"/>
              </w:rPr>
              <w:t>(3.) A disposal shall not be allowed within the drain system.</w:t>
            </w:r>
          </w:p>
        </w:tc>
      </w:tr>
      <w:tr w:rsidR="00FC5566" w:rsidRPr="00FC5566" w14:paraId="66F44F70" w14:textId="77777777" w:rsidTr="00B247D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59"/>
        </w:trPr>
        <w:tc>
          <w:tcPr>
            <w:tcW w:w="1080" w:type="dxa"/>
            <w:tcBorders>
              <w:top w:val="nil"/>
              <w:left w:val="single" w:sz="6" w:space="0" w:color="000000"/>
              <w:bottom w:val="single" w:sz="6" w:space="0" w:color="000000"/>
              <w:right w:val="single" w:sz="6" w:space="0" w:color="000000"/>
            </w:tcBorders>
          </w:tcPr>
          <w:p w14:paraId="60BD19A0" w14:textId="77777777" w:rsidR="00FC5566" w:rsidRPr="00FC5566" w:rsidRDefault="00FC5566" w:rsidP="00FC5566">
            <w:pPr>
              <w:jc w:val="center"/>
              <w:rPr>
                <w:sz w:val="16"/>
                <w:szCs w:val="16"/>
              </w:rPr>
            </w:pPr>
            <w:r w:rsidRPr="00FC5566">
              <w:rPr>
                <w:sz w:val="16"/>
                <w:szCs w:val="16"/>
              </w:rPr>
              <w:t>Amend</w:t>
            </w:r>
          </w:p>
        </w:tc>
        <w:tc>
          <w:tcPr>
            <w:tcW w:w="2430" w:type="dxa"/>
            <w:tcBorders>
              <w:top w:val="nil"/>
              <w:left w:val="single" w:sz="6" w:space="0" w:color="000000"/>
              <w:bottom w:val="single" w:sz="6" w:space="0" w:color="000000"/>
              <w:right w:val="single" w:sz="6" w:space="0" w:color="000000"/>
            </w:tcBorders>
          </w:tcPr>
          <w:p w14:paraId="518CF58D" w14:textId="77777777" w:rsidR="00FC5566" w:rsidRPr="00FC5566" w:rsidRDefault="00FC5566" w:rsidP="00FC5566">
            <w:pPr>
              <w:ind w:left="96" w:right="71"/>
              <w:rPr>
                <w:sz w:val="16"/>
                <w:szCs w:val="16"/>
                <w:lang w:val="fr-FR"/>
              </w:rPr>
            </w:pPr>
            <w:r w:rsidRPr="00FC5566">
              <w:rPr>
                <w:sz w:val="16"/>
                <w:szCs w:val="16"/>
                <w:lang w:val="fr-FR"/>
              </w:rPr>
              <w:t>Chapter 31, Vents.</w:t>
            </w:r>
          </w:p>
        </w:tc>
        <w:tc>
          <w:tcPr>
            <w:tcW w:w="7020" w:type="dxa"/>
            <w:tcBorders>
              <w:top w:val="nil"/>
              <w:left w:val="single" w:sz="6" w:space="0" w:color="000000"/>
              <w:bottom w:val="single" w:sz="6" w:space="0" w:color="000000"/>
              <w:right w:val="single" w:sz="6" w:space="0" w:color="000000"/>
            </w:tcBorders>
          </w:tcPr>
          <w:p w14:paraId="27B507AD" w14:textId="77777777" w:rsidR="00FC5566" w:rsidRPr="00FC5566" w:rsidRDefault="00FC5566" w:rsidP="00FC5566">
            <w:pPr>
              <w:ind w:left="109" w:right="88"/>
              <w:rPr>
                <w:sz w:val="16"/>
                <w:szCs w:val="16"/>
                <w:lang w:val="fr-FR"/>
              </w:rPr>
            </w:pPr>
          </w:p>
        </w:tc>
      </w:tr>
      <w:tr w:rsidR="00FC5566" w:rsidRPr="00FC5566" w14:paraId="41CF9251" w14:textId="77777777" w:rsidTr="00B247D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84"/>
        </w:trPr>
        <w:tc>
          <w:tcPr>
            <w:tcW w:w="1080" w:type="dxa"/>
            <w:tcBorders>
              <w:top w:val="nil"/>
              <w:left w:val="single" w:sz="6" w:space="0" w:color="000000"/>
              <w:bottom w:val="single" w:sz="6" w:space="0" w:color="000000"/>
              <w:right w:val="single" w:sz="6" w:space="0" w:color="000000"/>
            </w:tcBorders>
          </w:tcPr>
          <w:p w14:paraId="4598627D" w14:textId="77777777" w:rsidR="00FC5566" w:rsidRPr="00FC5566" w:rsidRDefault="00FC5566" w:rsidP="00FC5566">
            <w:pPr>
              <w:jc w:val="center"/>
              <w:rPr>
                <w:sz w:val="16"/>
                <w:szCs w:val="16"/>
              </w:rPr>
            </w:pPr>
            <w:r w:rsidRPr="00FC5566">
              <w:rPr>
                <w:sz w:val="16"/>
                <w:szCs w:val="16"/>
              </w:rPr>
              <w:t>Repeal</w:t>
            </w:r>
          </w:p>
        </w:tc>
        <w:tc>
          <w:tcPr>
            <w:tcW w:w="2430" w:type="dxa"/>
            <w:tcBorders>
              <w:top w:val="nil"/>
              <w:left w:val="single" w:sz="6" w:space="0" w:color="000000"/>
              <w:bottom w:val="single" w:sz="6" w:space="0" w:color="000000"/>
              <w:right w:val="single" w:sz="6" w:space="0" w:color="000000"/>
            </w:tcBorders>
          </w:tcPr>
          <w:p w14:paraId="02073758" w14:textId="77777777" w:rsidR="00FC5566" w:rsidRPr="00FC5566" w:rsidRDefault="00FC5566" w:rsidP="00FC5566">
            <w:pPr>
              <w:ind w:left="96" w:right="71"/>
              <w:rPr>
                <w:sz w:val="16"/>
                <w:szCs w:val="16"/>
                <w:lang w:val="fr-FR"/>
              </w:rPr>
            </w:pPr>
            <w:r w:rsidRPr="00FC5566">
              <w:rPr>
                <w:sz w:val="16"/>
                <w:szCs w:val="16"/>
                <w:lang w:val="fr-FR"/>
              </w:rPr>
              <w:t>Section P3114, Air Admittance Valves</w:t>
            </w:r>
          </w:p>
        </w:tc>
        <w:tc>
          <w:tcPr>
            <w:tcW w:w="7020" w:type="dxa"/>
            <w:tcBorders>
              <w:top w:val="nil"/>
              <w:left w:val="single" w:sz="6" w:space="0" w:color="000000"/>
              <w:bottom w:val="single" w:sz="6" w:space="0" w:color="000000"/>
              <w:right w:val="single" w:sz="6" w:space="0" w:color="000000"/>
            </w:tcBorders>
          </w:tcPr>
          <w:p w14:paraId="69E2EDF4" w14:textId="77777777" w:rsidR="00FC5566" w:rsidRPr="00FC5566" w:rsidRDefault="00FC5566" w:rsidP="00FC5566">
            <w:pPr>
              <w:ind w:left="109" w:right="88"/>
              <w:rPr>
                <w:sz w:val="16"/>
                <w:szCs w:val="16"/>
                <w:lang w:val="fr-FR"/>
              </w:rPr>
            </w:pPr>
          </w:p>
        </w:tc>
      </w:tr>
    </w:tbl>
    <w:p w14:paraId="532D14C0"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sectPr w:rsidR="00FC5566" w:rsidRPr="00FC5566" w:rsidSect="00FC5566">
          <w:type w:val="continuous"/>
          <w:pgSz w:w="12240" w:h="15840"/>
          <w:pgMar w:top="720" w:right="864" w:bottom="317" w:left="864" w:header="576" w:footer="432" w:gutter="0"/>
          <w:cols w:space="720"/>
          <w:docGrid w:linePitch="360"/>
        </w:sectPr>
      </w:pPr>
    </w:p>
    <w:p w14:paraId="0381F61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p w14:paraId="2BCAE99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both"/>
        <w:outlineLvl w:val="3"/>
        <w:rPr>
          <w:kern w:val="2"/>
        </w:rPr>
        <w:sectPr w:rsidR="00FC5566" w:rsidRPr="00FC5566" w:rsidSect="00FC5566">
          <w:type w:val="continuous"/>
          <w:pgSz w:w="12240" w:h="15840"/>
          <w:pgMar w:top="720" w:right="864" w:bottom="317" w:left="864" w:header="576" w:footer="432" w:gutter="0"/>
          <w:cols w:num="2" w:space="720"/>
          <w:docGrid w:linePitch="360"/>
        </w:sectPr>
      </w:pPr>
    </w:p>
    <w:p w14:paraId="226FE46E"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 xml:space="preserve">Promulgated in accordance with R.S. 37:3727-3750. </w:t>
      </w:r>
    </w:p>
    <w:p w14:paraId="399B07A2"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bookmarkStart w:id="646" w:name="_Hlk213302630"/>
      <w:r w:rsidRPr="00FC5566">
        <w:rPr>
          <w:kern w:val="2"/>
          <w:sz w:val="18"/>
        </w:rPr>
        <w:t>HISTORICAL NOTE:</w:t>
      </w:r>
      <w:r w:rsidRPr="00FC5566">
        <w:rPr>
          <w:kern w:val="2"/>
          <w:sz w:val="18"/>
        </w:rPr>
        <w:tab/>
        <w:t xml:space="preserve">Promulgated by the Department of Public Safety and Corrections, State Uniform Construction Code Council, LR 33:291 (February 2007), amended LR 34:93 (January 2008), LR 34:883 (May 2008), LR 34:2205 (October 2008), LR 35:1904 (September 2009), LR 36:2574 (November 2010), effective January 1, 2011, LR 37:601 (February 2011), LR 37:913 (March 2011), repromulgated LR 37:2187 (July 2011), repromulgated LR 37:2726 (September 2011), LR 37:3065 (October 2011), LR 38:1994 (August 2012), amended by the Department of Public Safety and Corrections, Uniform Construction Code Council, LR 39:1825 (July 2013), LR 39:2512 (September 2013), LR 40:2609 (December 2014), amended by the Department of Public Safety and Corrections, </w:t>
      </w:r>
      <w:r w:rsidRPr="00FC5566">
        <w:rPr>
          <w:kern w:val="2"/>
          <w:sz w:val="18"/>
        </w:rPr>
        <w:t>Office of State Fire Marshal, LR 41: 2383 (November 2015), amended by the Department of Public Safety and Corrections, Office of the State Fire Marshal, Uniform Construction Code Council, LR 44:79 (January 2018), repromulgated LR 45:916 (July 2019), amended LR 48:2582 (October 2022), LR 50:404 (March 2024), amended by the Office of the Governor, Uniform Construction Code Commission LR 52:</w:t>
      </w:r>
      <w:bookmarkEnd w:id="646"/>
    </w:p>
    <w:p w14:paraId="0B80AA1F"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§109.</w:t>
      </w:r>
      <w:r w:rsidRPr="00FC5566">
        <w:rPr>
          <w:b/>
          <w:kern w:val="2"/>
        </w:rPr>
        <w:tab/>
        <w:t xml:space="preserve">International Mechanical Code </w:t>
      </w:r>
    </w:p>
    <w:p w14:paraId="620B19B0"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r>
      <w:r w:rsidRPr="00FC5566">
        <w:rPr>
          <w:i/>
          <w:iCs/>
          <w:kern w:val="2"/>
        </w:rPr>
        <w:t>International Mechanical Code</w:t>
      </w:r>
      <w:r w:rsidRPr="00FC5566">
        <w:rPr>
          <w:kern w:val="2"/>
        </w:rPr>
        <w:t xml:space="preserve"> (IMC), 2024 Edition, and the standards referenced in that code are included for regulation of construction within this state. Furthermore, IMC shall be amended as follows and shall only apply to the International Mechanical Code.</w:t>
      </w:r>
    </w:p>
    <w:p w14:paraId="5EE5582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sectPr w:rsidR="00FC5566" w:rsidRPr="00FC5566" w:rsidSect="00FC5566">
          <w:type w:val="continuous"/>
          <w:pgSz w:w="12240" w:h="15840"/>
          <w:pgMar w:top="720" w:right="864" w:bottom="317" w:left="864" w:header="576" w:footer="432" w:gutter="0"/>
          <w:cols w:num="2" w:space="720"/>
          <w:docGrid w:linePitch="360"/>
        </w:sectPr>
      </w:pPr>
    </w:p>
    <w:p w14:paraId="1F7349C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p w14:paraId="24E30674" w14:textId="77777777" w:rsidR="00FC5566" w:rsidRPr="00FC5566" w:rsidRDefault="00FC5566" w:rsidP="00FC5566">
      <w:pPr>
        <w:widowControl w:val="0"/>
        <w:autoSpaceDE w:val="0"/>
        <w:autoSpaceDN w:val="0"/>
        <w:jc w:val="center"/>
        <w:rPr>
          <w:spacing w:val="-2"/>
          <w:sz w:val="16"/>
          <w:szCs w:val="16"/>
        </w:rPr>
        <w:sectPr w:rsidR="00FC5566" w:rsidRPr="00FC5566" w:rsidSect="00FC5566">
          <w:type w:val="continuous"/>
          <w:pgSz w:w="12240" w:h="15840"/>
          <w:pgMar w:top="720" w:right="864" w:bottom="317" w:left="864" w:header="576" w:footer="432" w:gutter="0"/>
          <w:cols w:num="2" w:space="720"/>
          <w:docGrid w:linePitch="360"/>
        </w:sectPr>
      </w:pPr>
    </w:p>
    <w:tbl>
      <w:tblPr>
        <w:tblW w:w="10530"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56"/>
        <w:gridCol w:w="2419"/>
        <w:gridCol w:w="7055"/>
      </w:tblGrid>
      <w:tr w:rsidR="00FC5566" w:rsidRPr="00FC5566" w14:paraId="5ABE3D0F" w14:textId="77777777" w:rsidTr="00B247D5">
        <w:trPr>
          <w:trHeight w:val="259"/>
        </w:trPr>
        <w:tc>
          <w:tcPr>
            <w:tcW w:w="1056" w:type="dxa"/>
          </w:tcPr>
          <w:p w14:paraId="347B66D5"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419" w:type="dxa"/>
          </w:tcPr>
          <w:p w14:paraId="7D24D949" w14:textId="77777777" w:rsidR="00FC5566" w:rsidRPr="00FC5566" w:rsidRDefault="00FC5566" w:rsidP="00FC5566">
            <w:pPr>
              <w:widowControl w:val="0"/>
              <w:autoSpaceDE w:val="0"/>
              <w:autoSpaceDN w:val="0"/>
              <w:ind w:left="110" w:right="44"/>
              <w:rPr>
                <w:sz w:val="16"/>
                <w:szCs w:val="16"/>
              </w:rPr>
            </w:pPr>
            <w:r w:rsidRPr="00FC5566">
              <w:rPr>
                <w:sz w:val="16"/>
                <w:szCs w:val="16"/>
              </w:rPr>
              <w:t>Chapter 4, Ventilation.</w:t>
            </w:r>
          </w:p>
        </w:tc>
        <w:tc>
          <w:tcPr>
            <w:tcW w:w="7055" w:type="dxa"/>
          </w:tcPr>
          <w:p w14:paraId="09B0B28B" w14:textId="77777777" w:rsidR="00FC5566" w:rsidRPr="00FC5566" w:rsidRDefault="00FC5566" w:rsidP="00FC5566">
            <w:pPr>
              <w:widowControl w:val="0"/>
              <w:autoSpaceDE w:val="0"/>
              <w:autoSpaceDN w:val="0"/>
              <w:ind w:left="119" w:right="79"/>
              <w:rPr>
                <w:spacing w:val="-2"/>
                <w:sz w:val="16"/>
                <w:szCs w:val="16"/>
              </w:rPr>
            </w:pPr>
          </w:p>
        </w:tc>
      </w:tr>
      <w:tr w:rsidR="00FC5566" w:rsidRPr="00FC5566" w14:paraId="2452CC99" w14:textId="77777777" w:rsidTr="00B247D5">
        <w:trPr>
          <w:trHeight w:val="374"/>
        </w:trPr>
        <w:tc>
          <w:tcPr>
            <w:tcW w:w="1056" w:type="dxa"/>
          </w:tcPr>
          <w:p w14:paraId="4F395BFD"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419" w:type="dxa"/>
          </w:tcPr>
          <w:p w14:paraId="668AD632" w14:textId="77777777" w:rsidR="00FC5566" w:rsidRPr="00FC5566" w:rsidRDefault="00FC5566" w:rsidP="00FC5566">
            <w:pPr>
              <w:widowControl w:val="0"/>
              <w:autoSpaceDE w:val="0"/>
              <w:autoSpaceDN w:val="0"/>
              <w:ind w:left="110" w:right="44"/>
              <w:rPr>
                <w:sz w:val="16"/>
                <w:szCs w:val="16"/>
              </w:rPr>
            </w:pPr>
            <w:r w:rsidRPr="00FC5566">
              <w:rPr>
                <w:sz w:val="16"/>
                <w:szCs w:val="16"/>
              </w:rPr>
              <w:t>Section 403.3.2.1, Outdoor Air for Dwelling Units.</w:t>
            </w:r>
          </w:p>
        </w:tc>
        <w:tc>
          <w:tcPr>
            <w:tcW w:w="7055" w:type="dxa"/>
          </w:tcPr>
          <w:p w14:paraId="77481B78" w14:textId="77777777" w:rsidR="00FC5566" w:rsidRPr="00FC5566" w:rsidRDefault="00FC5566" w:rsidP="00FC5566">
            <w:pPr>
              <w:widowControl w:val="0"/>
              <w:autoSpaceDE w:val="0"/>
              <w:autoSpaceDN w:val="0"/>
              <w:ind w:left="119" w:right="79"/>
              <w:rPr>
                <w:spacing w:val="-2"/>
                <w:sz w:val="16"/>
                <w:szCs w:val="16"/>
              </w:rPr>
            </w:pPr>
          </w:p>
        </w:tc>
      </w:tr>
      <w:tr w:rsidR="00FC5566" w:rsidRPr="00FC5566" w14:paraId="1964744E" w14:textId="77777777" w:rsidTr="00B247D5">
        <w:trPr>
          <w:trHeight w:val="259"/>
        </w:trPr>
        <w:tc>
          <w:tcPr>
            <w:tcW w:w="1056" w:type="dxa"/>
          </w:tcPr>
          <w:p w14:paraId="177FC2C1"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419" w:type="dxa"/>
          </w:tcPr>
          <w:p w14:paraId="1B5F304B" w14:textId="77777777" w:rsidR="00FC5566" w:rsidRPr="00FC5566" w:rsidRDefault="00FC5566" w:rsidP="00FC5566">
            <w:pPr>
              <w:widowControl w:val="0"/>
              <w:autoSpaceDE w:val="0"/>
              <w:autoSpaceDN w:val="0"/>
              <w:ind w:left="110" w:right="44"/>
              <w:rPr>
                <w:sz w:val="16"/>
                <w:szCs w:val="16"/>
              </w:rPr>
            </w:pPr>
            <w:r w:rsidRPr="00FC5566">
              <w:rPr>
                <w:sz w:val="16"/>
                <w:szCs w:val="16"/>
              </w:rPr>
              <w:t>Exceptions</w:t>
            </w:r>
          </w:p>
        </w:tc>
        <w:tc>
          <w:tcPr>
            <w:tcW w:w="7055" w:type="dxa"/>
          </w:tcPr>
          <w:p w14:paraId="2DCC8058" w14:textId="77777777" w:rsidR="00FC5566" w:rsidRPr="00FC5566" w:rsidRDefault="00FC5566" w:rsidP="00FC5566">
            <w:pPr>
              <w:widowControl w:val="0"/>
              <w:autoSpaceDE w:val="0"/>
              <w:autoSpaceDN w:val="0"/>
              <w:ind w:left="119" w:right="79"/>
              <w:rPr>
                <w:spacing w:val="-2"/>
                <w:sz w:val="16"/>
                <w:szCs w:val="16"/>
              </w:rPr>
            </w:pPr>
          </w:p>
        </w:tc>
      </w:tr>
      <w:tr w:rsidR="00FC5566" w:rsidRPr="00FC5566" w14:paraId="69E9A6CA" w14:textId="77777777" w:rsidTr="00B247D5">
        <w:trPr>
          <w:trHeight w:val="374"/>
        </w:trPr>
        <w:tc>
          <w:tcPr>
            <w:tcW w:w="1056" w:type="dxa"/>
          </w:tcPr>
          <w:p w14:paraId="3DCEA0FD"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Adopt</w:t>
            </w:r>
          </w:p>
        </w:tc>
        <w:tc>
          <w:tcPr>
            <w:tcW w:w="2419" w:type="dxa"/>
          </w:tcPr>
          <w:p w14:paraId="3B02DCC8" w14:textId="77777777" w:rsidR="00FC5566" w:rsidRPr="00FC5566" w:rsidRDefault="00FC5566" w:rsidP="00FC5566">
            <w:pPr>
              <w:widowControl w:val="0"/>
              <w:autoSpaceDE w:val="0"/>
              <w:autoSpaceDN w:val="0"/>
              <w:ind w:left="110" w:right="44"/>
              <w:rPr>
                <w:sz w:val="16"/>
                <w:szCs w:val="16"/>
              </w:rPr>
            </w:pPr>
            <w:r w:rsidRPr="00FC5566">
              <w:rPr>
                <w:sz w:val="16"/>
                <w:szCs w:val="16"/>
              </w:rPr>
              <w:t>Item (3.)</w:t>
            </w:r>
          </w:p>
        </w:tc>
        <w:tc>
          <w:tcPr>
            <w:tcW w:w="7055" w:type="dxa"/>
          </w:tcPr>
          <w:p w14:paraId="77DCBA72" w14:textId="77777777" w:rsidR="00FC5566" w:rsidRPr="00FC5566" w:rsidRDefault="00FC5566" w:rsidP="00FC5566">
            <w:pPr>
              <w:widowControl w:val="0"/>
              <w:autoSpaceDE w:val="0"/>
              <w:autoSpaceDN w:val="0"/>
              <w:ind w:left="119" w:right="79"/>
              <w:rPr>
                <w:spacing w:val="-2"/>
                <w:sz w:val="16"/>
                <w:szCs w:val="16"/>
              </w:rPr>
            </w:pPr>
            <w:r w:rsidRPr="00FC5566">
              <w:rPr>
                <w:spacing w:val="-2"/>
                <w:sz w:val="16"/>
                <w:szCs w:val="16"/>
              </w:rPr>
              <w:t>3. For Group R-2 and R-3 occupancies, the outdoor air ventilation system may operate intermittently when the ventilation system is interlocked with the local air handling equipment and operates whenever the equipment is in cooling or heating mode.</w:t>
            </w:r>
          </w:p>
        </w:tc>
      </w:tr>
      <w:tr w:rsidR="00FC5566" w:rsidRPr="00FC5566" w14:paraId="645D77A1" w14:textId="77777777" w:rsidTr="00B247D5">
        <w:trPr>
          <w:trHeight w:val="259"/>
        </w:trPr>
        <w:tc>
          <w:tcPr>
            <w:tcW w:w="1056" w:type="dxa"/>
          </w:tcPr>
          <w:p w14:paraId="43B08B7E"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419" w:type="dxa"/>
          </w:tcPr>
          <w:p w14:paraId="66E44121" w14:textId="77777777" w:rsidR="00FC5566" w:rsidRPr="00FC5566" w:rsidRDefault="00FC5566" w:rsidP="00FC5566">
            <w:pPr>
              <w:widowControl w:val="0"/>
              <w:autoSpaceDE w:val="0"/>
              <w:autoSpaceDN w:val="0"/>
              <w:ind w:left="110" w:right="44"/>
              <w:rPr>
                <w:sz w:val="16"/>
                <w:szCs w:val="16"/>
              </w:rPr>
            </w:pPr>
            <w:r w:rsidRPr="00FC5566">
              <w:rPr>
                <w:sz w:val="16"/>
                <w:szCs w:val="16"/>
              </w:rPr>
              <w:t>Chapter 11, Refrigeration.</w:t>
            </w:r>
          </w:p>
        </w:tc>
        <w:tc>
          <w:tcPr>
            <w:tcW w:w="7055" w:type="dxa"/>
          </w:tcPr>
          <w:p w14:paraId="5DA37F74" w14:textId="77777777" w:rsidR="00FC5566" w:rsidRPr="00FC5566" w:rsidRDefault="00FC5566" w:rsidP="00FC5566">
            <w:pPr>
              <w:widowControl w:val="0"/>
              <w:autoSpaceDE w:val="0"/>
              <w:autoSpaceDN w:val="0"/>
              <w:ind w:left="110" w:right="44"/>
              <w:rPr>
                <w:spacing w:val="-2"/>
                <w:sz w:val="16"/>
                <w:szCs w:val="16"/>
              </w:rPr>
            </w:pPr>
          </w:p>
        </w:tc>
      </w:tr>
      <w:tr w:rsidR="00FC5566" w:rsidRPr="00FC5566" w14:paraId="0B605EC3" w14:textId="77777777" w:rsidTr="00B247D5">
        <w:trPr>
          <w:trHeight w:val="184"/>
        </w:trPr>
        <w:tc>
          <w:tcPr>
            <w:tcW w:w="1056" w:type="dxa"/>
          </w:tcPr>
          <w:p w14:paraId="70C34A4E" w14:textId="77777777" w:rsidR="00FC5566" w:rsidRPr="00FC5566" w:rsidRDefault="00FC5566" w:rsidP="00FC5566">
            <w:pPr>
              <w:widowControl w:val="0"/>
              <w:autoSpaceDE w:val="0"/>
              <w:autoSpaceDN w:val="0"/>
              <w:jc w:val="center"/>
              <w:rPr>
                <w:sz w:val="16"/>
                <w:szCs w:val="16"/>
              </w:rPr>
            </w:pPr>
            <w:r w:rsidRPr="00FC5566">
              <w:rPr>
                <w:spacing w:val="-2"/>
                <w:sz w:val="16"/>
                <w:szCs w:val="16"/>
              </w:rPr>
              <w:t>Amend</w:t>
            </w:r>
          </w:p>
        </w:tc>
        <w:tc>
          <w:tcPr>
            <w:tcW w:w="2419" w:type="dxa"/>
          </w:tcPr>
          <w:p w14:paraId="0F0684FB" w14:textId="77777777" w:rsidR="00FC5566" w:rsidRPr="00FC5566" w:rsidRDefault="00FC5566" w:rsidP="00FC5566">
            <w:pPr>
              <w:widowControl w:val="0"/>
              <w:autoSpaceDE w:val="0"/>
              <w:autoSpaceDN w:val="0"/>
              <w:ind w:left="110" w:right="44"/>
              <w:rPr>
                <w:sz w:val="16"/>
                <w:szCs w:val="16"/>
              </w:rPr>
            </w:pPr>
            <w:r w:rsidRPr="00FC5566">
              <w:rPr>
                <w:sz w:val="16"/>
                <w:szCs w:val="16"/>
              </w:rPr>
              <w:t>Section 1107.4, Piping Materials Standards.</w:t>
            </w:r>
          </w:p>
        </w:tc>
        <w:tc>
          <w:tcPr>
            <w:tcW w:w="7055" w:type="dxa"/>
          </w:tcPr>
          <w:p w14:paraId="0828415E" w14:textId="77777777" w:rsidR="00FC5566" w:rsidRPr="00FC5566" w:rsidRDefault="00FC5566" w:rsidP="00FC5566">
            <w:pPr>
              <w:widowControl w:val="0"/>
              <w:autoSpaceDE w:val="0"/>
              <w:autoSpaceDN w:val="0"/>
              <w:ind w:left="110" w:right="44"/>
              <w:rPr>
                <w:spacing w:val="-2"/>
                <w:sz w:val="16"/>
                <w:szCs w:val="16"/>
              </w:rPr>
            </w:pPr>
            <w:r w:rsidRPr="00FC5566">
              <w:rPr>
                <w:spacing w:val="-2"/>
                <w:sz w:val="16"/>
                <w:szCs w:val="16"/>
              </w:rPr>
              <w:t>Refrigerant pipe shall conform to one or more of the standards listed in Table 1107.4. For refrigeration systems used in residential occupancies serving only a single dwelling unit or sleeping unit, refrigerant piping and tubing shall be limited to aluminum, copper, and copper alloy. The exterior of the pipe shall be protected from corrosion and degradation.</w:t>
            </w:r>
          </w:p>
        </w:tc>
      </w:tr>
      <w:tr w:rsidR="00FC5566" w:rsidRPr="00FC5566" w14:paraId="1F5A2195" w14:textId="77777777" w:rsidTr="00B247D5">
        <w:trPr>
          <w:trHeight w:val="181"/>
        </w:trPr>
        <w:tc>
          <w:tcPr>
            <w:tcW w:w="1056" w:type="dxa"/>
          </w:tcPr>
          <w:p w14:paraId="0B200761" w14:textId="77777777" w:rsidR="00FC5566" w:rsidRPr="00FC5566" w:rsidRDefault="00FC5566" w:rsidP="00FC5566">
            <w:pPr>
              <w:widowControl w:val="0"/>
              <w:autoSpaceDE w:val="0"/>
              <w:autoSpaceDN w:val="0"/>
              <w:jc w:val="center"/>
              <w:rPr>
                <w:sz w:val="16"/>
                <w:szCs w:val="16"/>
              </w:rPr>
            </w:pPr>
            <w:r w:rsidRPr="00FC5566">
              <w:rPr>
                <w:spacing w:val="-2"/>
                <w:sz w:val="16"/>
                <w:szCs w:val="16"/>
              </w:rPr>
              <w:t>Amend</w:t>
            </w:r>
          </w:p>
        </w:tc>
        <w:tc>
          <w:tcPr>
            <w:tcW w:w="2419" w:type="dxa"/>
          </w:tcPr>
          <w:p w14:paraId="66C7D1FA" w14:textId="77777777" w:rsidR="00FC5566" w:rsidRPr="00FC5566" w:rsidRDefault="00FC5566" w:rsidP="00FC5566">
            <w:pPr>
              <w:widowControl w:val="0"/>
              <w:autoSpaceDE w:val="0"/>
              <w:autoSpaceDN w:val="0"/>
              <w:ind w:left="110" w:right="44"/>
              <w:rPr>
                <w:sz w:val="16"/>
                <w:szCs w:val="16"/>
              </w:rPr>
            </w:pPr>
            <w:r w:rsidRPr="00FC5566">
              <w:rPr>
                <w:sz w:val="16"/>
                <w:szCs w:val="16"/>
              </w:rPr>
              <w:t>Section 1107.5, Pipe Fittings.</w:t>
            </w:r>
          </w:p>
        </w:tc>
        <w:tc>
          <w:tcPr>
            <w:tcW w:w="7055" w:type="dxa"/>
          </w:tcPr>
          <w:p w14:paraId="1ACF5770" w14:textId="77777777" w:rsidR="00FC5566" w:rsidRPr="00FC5566" w:rsidRDefault="00FC5566" w:rsidP="00FC5566">
            <w:pPr>
              <w:widowControl w:val="0"/>
              <w:autoSpaceDE w:val="0"/>
              <w:autoSpaceDN w:val="0"/>
              <w:ind w:left="110" w:right="44"/>
              <w:rPr>
                <w:sz w:val="16"/>
                <w:szCs w:val="16"/>
                <w:highlight w:val="yellow"/>
              </w:rPr>
            </w:pPr>
            <w:r w:rsidRPr="00FC5566">
              <w:rPr>
                <w:spacing w:val="-2"/>
                <w:sz w:val="16"/>
                <w:szCs w:val="16"/>
              </w:rPr>
              <w:t>Refrigerant pipe fittings shall be approved for installation with the piping materials to be installed and shall conform to one or more of the standards listed in Table 1107.5 or shall be listed and labeled as complying with UL 207. For refrigeration systems used in residential occupancies serving only a single dwelling unit or sleeping unit, refrigerant fittings shall be limited to aluminum, copper, copper alloys, stainless steel, and steel.</w:t>
            </w:r>
          </w:p>
        </w:tc>
      </w:tr>
      <w:tr w:rsidR="00FC5566" w:rsidRPr="00FC5566" w14:paraId="7BC80E59" w14:textId="77777777" w:rsidTr="00B247D5">
        <w:trPr>
          <w:trHeight w:val="360"/>
        </w:trPr>
        <w:tc>
          <w:tcPr>
            <w:tcW w:w="1056" w:type="dxa"/>
          </w:tcPr>
          <w:p w14:paraId="5FC705F4"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419" w:type="dxa"/>
          </w:tcPr>
          <w:p w14:paraId="713C3DA6" w14:textId="77777777" w:rsidR="00FC5566" w:rsidRPr="00FC5566" w:rsidRDefault="00FC5566" w:rsidP="00FC5566">
            <w:pPr>
              <w:widowControl w:val="0"/>
              <w:autoSpaceDE w:val="0"/>
              <w:autoSpaceDN w:val="0"/>
              <w:ind w:left="110" w:right="44"/>
              <w:rPr>
                <w:sz w:val="16"/>
                <w:szCs w:val="16"/>
              </w:rPr>
            </w:pPr>
            <w:r w:rsidRPr="00FC5566">
              <w:rPr>
                <w:sz w:val="16"/>
                <w:szCs w:val="16"/>
              </w:rPr>
              <w:t>Section 1109.2.5, Refrigerant Pipe Shafts.</w:t>
            </w:r>
          </w:p>
        </w:tc>
        <w:tc>
          <w:tcPr>
            <w:tcW w:w="7055" w:type="dxa"/>
          </w:tcPr>
          <w:p w14:paraId="2F160B9B" w14:textId="77777777" w:rsidR="00FC5566" w:rsidRPr="00FC5566" w:rsidRDefault="00FC5566" w:rsidP="00FC5566">
            <w:pPr>
              <w:widowControl w:val="0"/>
              <w:autoSpaceDE w:val="0"/>
              <w:autoSpaceDN w:val="0"/>
              <w:ind w:left="110" w:right="44"/>
              <w:rPr>
                <w:spacing w:val="-2"/>
                <w:sz w:val="16"/>
                <w:szCs w:val="16"/>
              </w:rPr>
            </w:pPr>
          </w:p>
        </w:tc>
      </w:tr>
      <w:tr w:rsidR="00FC5566" w:rsidRPr="00FC5566" w14:paraId="6A7736E2" w14:textId="77777777" w:rsidTr="00B247D5">
        <w:trPr>
          <w:trHeight w:val="255"/>
        </w:trPr>
        <w:tc>
          <w:tcPr>
            <w:tcW w:w="1056" w:type="dxa"/>
          </w:tcPr>
          <w:p w14:paraId="44DB72C1"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419" w:type="dxa"/>
          </w:tcPr>
          <w:p w14:paraId="31CE2ADC" w14:textId="77777777" w:rsidR="00FC5566" w:rsidRPr="00FC5566" w:rsidRDefault="00FC5566" w:rsidP="00FC5566">
            <w:pPr>
              <w:widowControl w:val="0"/>
              <w:autoSpaceDE w:val="0"/>
              <w:autoSpaceDN w:val="0"/>
              <w:ind w:left="110" w:right="44"/>
              <w:rPr>
                <w:sz w:val="16"/>
                <w:szCs w:val="16"/>
              </w:rPr>
            </w:pPr>
            <w:r w:rsidRPr="00FC5566">
              <w:rPr>
                <w:sz w:val="16"/>
                <w:szCs w:val="16"/>
              </w:rPr>
              <w:t>Exceptions</w:t>
            </w:r>
          </w:p>
        </w:tc>
        <w:tc>
          <w:tcPr>
            <w:tcW w:w="7055" w:type="dxa"/>
          </w:tcPr>
          <w:p w14:paraId="4D4EFE1B" w14:textId="77777777" w:rsidR="00FC5566" w:rsidRPr="00FC5566" w:rsidRDefault="00FC5566" w:rsidP="00FC5566">
            <w:pPr>
              <w:widowControl w:val="0"/>
              <w:autoSpaceDE w:val="0"/>
              <w:autoSpaceDN w:val="0"/>
              <w:ind w:left="110" w:right="44"/>
              <w:rPr>
                <w:spacing w:val="-2"/>
                <w:sz w:val="16"/>
                <w:szCs w:val="16"/>
              </w:rPr>
            </w:pPr>
          </w:p>
        </w:tc>
      </w:tr>
      <w:tr w:rsidR="00FC5566" w:rsidRPr="00FC5566" w14:paraId="382FCC71" w14:textId="77777777" w:rsidTr="00B247D5">
        <w:trPr>
          <w:trHeight w:val="435"/>
        </w:trPr>
        <w:tc>
          <w:tcPr>
            <w:tcW w:w="1056" w:type="dxa"/>
          </w:tcPr>
          <w:p w14:paraId="7A817D93" w14:textId="77777777" w:rsidR="00FC5566" w:rsidRPr="00FC5566" w:rsidRDefault="00FC5566" w:rsidP="00FC5566">
            <w:pPr>
              <w:widowControl w:val="0"/>
              <w:autoSpaceDE w:val="0"/>
              <w:autoSpaceDN w:val="0"/>
              <w:jc w:val="center"/>
              <w:rPr>
                <w:sz w:val="16"/>
                <w:szCs w:val="16"/>
              </w:rPr>
            </w:pPr>
            <w:r w:rsidRPr="00FC5566">
              <w:rPr>
                <w:spacing w:val="-2"/>
                <w:sz w:val="16"/>
                <w:szCs w:val="16"/>
              </w:rPr>
              <w:t>Amend</w:t>
            </w:r>
          </w:p>
        </w:tc>
        <w:tc>
          <w:tcPr>
            <w:tcW w:w="2419" w:type="dxa"/>
          </w:tcPr>
          <w:p w14:paraId="54BB6BCF" w14:textId="77777777" w:rsidR="00FC5566" w:rsidRPr="00FC5566" w:rsidRDefault="00FC5566" w:rsidP="00FC5566">
            <w:pPr>
              <w:widowControl w:val="0"/>
              <w:autoSpaceDE w:val="0"/>
              <w:autoSpaceDN w:val="0"/>
              <w:ind w:left="110" w:right="44"/>
              <w:rPr>
                <w:sz w:val="16"/>
                <w:szCs w:val="16"/>
              </w:rPr>
            </w:pPr>
            <w:r w:rsidRPr="00FC5566">
              <w:rPr>
                <w:sz w:val="16"/>
                <w:szCs w:val="16"/>
              </w:rPr>
              <w:t>Item (2.)</w:t>
            </w:r>
          </w:p>
        </w:tc>
        <w:tc>
          <w:tcPr>
            <w:tcW w:w="7055" w:type="dxa"/>
          </w:tcPr>
          <w:p w14:paraId="3523C455" w14:textId="77777777" w:rsidR="00FC5566" w:rsidRPr="00FC5566" w:rsidRDefault="00FC5566" w:rsidP="00FC5566">
            <w:pPr>
              <w:widowControl w:val="0"/>
              <w:autoSpaceDE w:val="0"/>
              <w:autoSpaceDN w:val="0"/>
              <w:ind w:left="110" w:right="44"/>
              <w:rPr>
                <w:sz w:val="16"/>
                <w:szCs w:val="16"/>
                <w:highlight w:val="yellow"/>
              </w:rPr>
            </w:pPr>
            <w:r w:rsidRPr="00FC5566">
              <w:rPr>
                <w:spacing w:val="-2"/>
                <w:sz w:val="16"/>
                <w:szCs w:val="16"/>
              </w:rPr>
              <w:t>Piping in a direct refrigeration system where the refrigerant quantity does not exceed the limits of Table 1103.1 for the smallest occupied space through which the piping passes.</w:t>
            </w:r>
          </w:p>
        </w:tc>
      </w:tr>
      <w:tr w:rsidR="00FC5566" w:rsidRPr="00FC5566" w14:paraId="455C307A" w14:textId="77777777" w:rsidTr="00B247D5">
        <w:trPr>
          <w:trHeight w:val="318"/>
        </w:trPr>
        <w:tc>
          <w:tcPr>
            <w:tcW w:w="1056" w:type="dxa"/>
          </w:tcPr>
          <w:p w14:paraId="1CC2E38B"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419" w:type="dxa"/>
          </w:tcPr>
          <w:p w14:paraId="7BA012D3" w14:textId="77777777" w:rsidR="00FC5566" w:rsidRPr="00FC5566" w:rsidRDefault="00FC5566" w:rsidP="00FC5566">
            <w:pPr>
              <w:widowControl w:val="0"/>
              <w:autoSpaceDE w:val="0"/>
              <w:autoSpaceDN w:val="0"/>
              <w:ind w:left="110" w:right="44"/>
              <w:rPr>
                <w:spacing w:val="-2"/>
                <w:sz w:val="16"/>
                <w:szCs w:val="16"/>
              </w:rPr>
            </w:pPr>
            <w:r w:rsidRPr="00FC5566">
              <w:rPr>
                <w:spacing w:val="-2"/>
                <w:sz w:val="16"/>
                <w:szCs w:val="16"/>
              </w:rPr>
              <w:t>Section 1109.2.7, Pipe Identification.</w:t>
            </w:r>
          </w:p>
        </w:tc>
        <w:tc>
          <w:tcPr>
            <w:tcW w:w="7055" w:type="dxa"/>
          </w:tcPr>
          <w:p w14:paraId="46FF25DC" w14:textId="77777777" w:rsidR="00FC5566" w:rsidRPr="00FC5566" w:rsidRDefault="00FC5566" w:rsidP="00FC5566">
            <w:pPr>
              <w:widowControl w:val="0"/>
              <w:autoSpaceDE w:val="0"/>
              <w:autoSpaceDN w:val="0"/>
              <w:ind w:left="110" w:right="44"/>
              <w:rPr>
                <w:spacing w:val="-2"/>
                <w:sz w:val="16"/>
                <w:szCs w:val="16"/>
              </w:rPr>
            </w:pPr>
          </w:p>
        </w:tc>
      </w:tr>
      <w:tr w:rsidR="00FC5566" w:rsidRPr="00FC5566" w14:paraId="25287C20" w14:textId="77777777" w:rsidTr="00B247D5">
        <w:trPr>
          <w:trHeight w:val="318"/>
        </w:trPr>
        <w:tc>
          <w:tcPr>
            <w:tcW w:w="1056" w:type="dxa"/>
          </w:tcPr>
          <w:p w14:paraId="7CBCA410" w14:textId="77777777" w:rsidR="00FC5566" w:rsidRPr="00FC5566" w:rsidRDefault="00FC5566" w:rsidP="00FC5566">
            <w:pPr>
              <w:widowControl w:val="0"/>
              <w:autoSpaceDE w:val="0"/>
              <w:autoSpaceDN w:val="0"/>
              <w:jc w:val="center"/>
              <w:rPr>
                <w:sz w:val="16"/>
                <w:szCs w:val="16"/>
              </w:rPr>
            </w:pPr>
            <w:r w:rsidRPr="00FC5566">
              <w:rPr>
                <w:spacing w:val="-2"/>
                <w:sz w:val="16"/>
                <w:szCs w:val="16"/>
              </w:rPr>
              <w:t>Adopt</w:t>
            </w:r>
          </w:p>
        </w:tc>
        <w:tc>
          <w:tcPr>
            <w:tcW w:w="2419" w:type="dxa"/>
          </w:tcPr>
          <w:p w14:paraId="6BEF01A8" w14:textId="77777777" w:rsidR="00FC5566" w:rsidRPr="00FC5566" w:rsidRDefault="00FC5566" w:rsidP="00FC5566">
            <w:pPr>
              <w:widowControl w:val="0"/>
              <w:autoSpaceDE w:val="0"/>
              <w:autoSpaceDN w:val="0"/>
              <w:ind w:left="110" w:right="44"/>
              <w:rPr>
                <w:sz w:val="16"/>
                <w:szCs w:val="16"/>
              </w:rPr>
            </w:pPr>
            <w:r w:rsidRPr="00FC5566">
              <w:rPr>
                <w:spacing w:val="-2"/>
                <w:sz w:val="16"/>
                <w:szCs w:val="16"/>
              </w:rPr>
              <w:t>Exception</w:t>
            </w:r>
          </w:p>
        </w:tc>
        <w:tc>
          <w:tcPr>
            <w:tcW w:w="7055" w:type="dxa"/>
          </w:tcPr>
          <w:p w14:paraId="4B1F7002" w14:textId="77777777" w:rsidR="00FC5566" w:rsidRPr="00FC5566" w:rsidRDefault="00FC5566" w:rsidP="00FC5566">
            <w:pPr>
              <w:widowControl w:val="0"/>
              <w:autoSpaceDE w:val="0"/>
              <w:autoSpaceDN w:val="0"/>
              <w:ind w:left="110" w:right="44"/>
              <w:rPr>
                <w:b/>
                <w:bCs/>
                <w:spacing w:val="-2"/>
                <w:sz w:val="16"/>
                <w:szCs w:val="16"/>
              </w:rPr>
            </w:pPr>
            <w:r w:rsidRPr="00FC5566">
              <w:rPr>
                <w:b/>
                <w:bCs/>
                <w:spacing w:val="-2"/>
                <w:sz w:val="16"/>
                <w:szCs w:val="16"/>
              </w:rPr>
              <w:t>Exception:</w:t>
            </w:r>
          </w:p>
          <w:p w14:paraId="1018DED0" w14:textId="77777777" w:rsidR="00FC5566" w:rsidRPr="00FC5566" w:rsidRDefault="00FC5566" w:rsidP="00FC5566">
            <w:pPr>
              <w:widowControl w:val="0"/>
              <w:autoSpaceDE w:val="0"/>
              <w:autoSpaceDN w:val="0"/>
              <w:ind w:left="110" w:right="44"/>
              <w:rPr>
                <w:color w:val="FF0000"/>
                <w:sz w:val="16"/>
                <w:szCs w:val="16"/>
                <w:highlight w:val="yellow"/>
              </w:rPr>
            </w:pPr>
            <w:r w:rsidRPr="00FC5566">
              <w:rPr>
                <w:spacing w:val="-2"/>
                <w:sz w:val="16"/>
                <w:szCs w:val="16"/>
              </w:rPr>
              <w:t>For refrigeration systems used in residential occupancies serving only a single dwelling unit or sleeping unit pipe identification shall not be required.</w:t>
            </w:r>
          </w:p>
        </w:tc>
      </w:tr>
      <w:tr w:rsidR="00FC5566" w:rsidRPr="00FC5566" w14:paraId="456BD4F4" w14:textId="77777777" w:rsidTr="00B247D5">
        <w:trPr>
          <w:trHeight w:val="369"/>
        </w:trPr>
        <w:tc>
          <w:tcPr>
            <w:tcW w:w="1056" w:type="dxa"/>
          </w:tcPr>
          <w:p w14:paraId="1D2E91B2" w14:textId="77777777" w:rsidR="00FC5566" w:rsidRPr="00FC5566" w:rsidRDefault="00FC5566" w:rsidP="00FC5566">
            <w:pPr>
              <w:widowControl w:val="0"/>
              <w:autoSpaceDE w:val="0"/>
              <w:autoSpaceDN w:val="0"/>
              <w:jc w:val="center"/>
              <w:rPr>
                <w:sz w:val="16"/>
                <w:szCs w:val="16"/>
              </w:rPr>
            </w:pPr>
            <w:r w:rsidRPr="00FC5566">
              <w:rPr>
                <w:spacing w:val="-2"/>
                <w:sz w:val="16"/>
                <w:szCs w:val="16"/>
              </w:rPr>
              <w:t>Amend</w:t>
            </w:r>
          </w:p>
        </w:tc>
        <w:tc>
          <w:tcPr>
            <w:tcW w:w="2419" w:type="dxa"/>
          </w:tcPr>
          <w:p w14:paraId="1E982ABD" w14:textId="77777777" w:rsidR="00FC5566" w:rsidRPr="00FC5566" w:rsidRDefault="00FC5566" w:rsidP="00FC5566">
            <w:pPr>
              <w:widowControl w:val="0"/>
              <w:autoSpaceDE w:val="0"/>
              <w:autoSpaceDN w:val="0"/>
              <w:ind w:left="110" w:right="44"/>
              <w:rPr>
                <w:sz w:val="16"/>
                <w:szCs w:val="16"/>
              </w:rPr>
            </w:pPr>
            <w:r w:rsidRPr="00FC5566">
              <w:rPr>
                <w:sz w:val="16"/>
                <w:szCs w:val="16"/>
              </w:rPr>
              <w:t>Section 1109.3.2, Shaft Ventilation.</w:t>
            </w:r>
          </w:p>
        </w:tc>
        <w:tc>
          <w:tcPr>
            <w:tcW w:w="7055" w:type="dxa"/>
          </w:tcPr>
          <w:p w14:paraId="4EAC5CAA" w14:textId="77777777" w:rsidR="00FC5566" w:rsidRPr="00FC5566" w:rsidRDefault="00FC5566" w:rsidP="00FC5566">
            <w:pPr>
              <w:widowControl w:val="0"/>
              <w:autoSpaceDE w:val="0"/>
              <w:autoSpaceDN w:val="0"/>
              <w:ind w:left="110" w:right="44"/>
              <w:rPr>
                <w:sz w:val="16"/>
                <w:szCs w:val="16"/>
                <w:highlight w:val="yellow"/>
              </w:rPr>
            </w:pPr>
            <w:r w:rsidRPr="00FC5566">
              <w:rPr>
                <w:spacing w:val="-2"/>
                <w:sz w:val="16"/>
                <w:szCs w:val="16"/>
              </w:rPr>
              <w:t xml:space="preserve">Refrigerant pipe shafts with systems using Group A2L or B2L refrigerant shall be naturally or mechanically ventilated. Refrigerant pipe shafts with one or more systems using any Group A2, A3, B2 or B3 refrigerant shall be continuously mechanically ventilated and shall include a refrigerant detector. The shaft ventilation exhaust outlet shall comply with Section 501.3.1. Naturally ventilated shafts shall have a pipe, duct or conduit </w:t>
            </w:r>
            <w:r w:rsidRPr="00FC5566">
              <w:rPr>
                <w:spacing w:val="-2"/>
                <w:sz w:val="16"/>
                <w:szCs w:val="16"/>
              </w:rPr>
              <w:lastRenderedPageBreak/>
              <w:t>not less than 4 inches (102 mm) in diameter that connects to the lowest point of the shaft and extends to the outdoors. The pipe, duct or conduit shall be level or pitched downward to the outdoors. Mechanically ventilated shafts shall have a minimum airflow velocity in accordance with Table 1109.3.2. The mechanical ventilation shall be continuously operated or activated by a refrigerant detector. Systems utilizing a refrigerant detector shall activate the mechanical ventilation at a maximum refrigerant concentration of 25 percent of the lower flammable limit of the refrigerant. The detector, or a sampling tube that draws air to the detector, shall be located in an area where refrigerant from a leak will concentrate. The shaft shall not be required to be ventilated for double-wall refrigerant pipe where the interstitial space of the double-wall pipe is vented to the outdoors. For refrigeration systems used in residential occupancies serving only a single dwelling unit or sleeping unit, shaft ventilation shall not be required where the pipe or tube is continuous without fittings in the shaft.</w:t>
            </w:r>
          </w:p>
        </w:tc>
      </w:tr>
      <w:tr w:rsidR="00FC5566" w:rsidRPr="00FC5566" w14:paraId="20120DC6" w14:textId="77777777" w:rsidTr="00B247D5">
        <w:trPr>
          <w:trHeight w:val="366"/>
        </w:trPr>
        <w:tc>
          <w:tcPr>
            <w:tcW w:w="1056" w:type="dxa"/>
            <w:tcBorders>
              <w:top w:val="single" w:sz="6" w:space="0" w:color="000000"/>
              <w:left w:val="single" w:sz="6" w:space="0" w:color="000000"/>
              <w:bottom w:val="single" w:sz="6" w:space="0" w:color="000000"/>
              <w:right w:val="single" w:sz="6" w:space="0" w:color="000000"/>
            </w:tcBorders>
          </w:tcPr>
          <w:p w14:paraId="54D55D65"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lastRenderedPageBreak/>
              <w:t>Amend</w:t>
            </w:r>
          </w:p>
        </w:tc>
        <w:tc>
          <w:tcPr>
            <w:tcW w:w="2419" w:type="dxa"/>
            <w:tcBorders>
              <w:top w:val="single" w:sz="6" w:space="0" w:color="000000"/>
              <w:left w:val="single" w:sz="6" w:space="0" w:color="000000"/>
              <w:bottom w:val="single" w:sz="6" w:space="0" w:color="000000"/>
              <w:right w:val="single" w:sz="6" w:space="0" w:color="000000"/>
            </w:tcBorders>
          </w:tcPr>
          <w:p w14:paraId="186CD3D8" w14:textId="77777777" w:rsidR="00FC5566" w:rsidRPr="00FC5566" w:rsidRDefault="00FC5566" w:rsidP="00FC5566">
            <w:pPr>
              <w:widowControl w:val="0"/>
              <w:autoSpaceDE w:val="0"/>
              <w:autoSpaceDN w:val="0"/>
              <w:ind w:left="110" w:right="44"/>
              <w:rPr>
                <w:sz w:val="16"/>
                <w:szCs w:val="16"/>
              </w:rPr>
            </w:pPr>
            <w:r w:rsidRPr="00FC5566">
              <w:rPr>
                <w:sz w:val="16"/>
                <w:szCs w:val="16"/>
              </w:rPr>
              <w:t>Chapter 15, Reference Standards.</w:t>
            </w:r>
          </w:p>
        </w:tc>
        <w:tc>
          <w:tcPr>
            <w:tcW w:w="7055" w:type="dxa"/>
            <w:tcBorders>
              <w:top w:val="single" w:sz="6" w:space="0" w:color="000000"/>
              <w:left w:val="single" w:sz="6" w:space="0" w:color="000000"/>
              <w:bottom w:val="single" w:sz="6" w:space="0" w:color="000000"/>
              <w:right w:val="single" w:sz="6" w:space="0" w:color="000000"/>
            </w:tcBorders>
          </w:tcPr>
          <w:p w14:paraId="2207CB61" w14:textId="77777777" w:rsidR="00FC5566" w:rsidRPr="00FC5566" w:rsidRDefault="00FC5566" w:rsidP="00FC5566">
            <w:pPr>
              <w:widowControl w:val="0"/>
              <w:autoSpaceDE w:val="0"/>
              <w:autoSpaceDN w:val="0"/>
              <w:ind w:left="110" w:right="44"/>
              <w:rPr>
                <w:spacing w:val="-2"/>
                <w:sz w:val="16"/>
                <w:szCs w:val="16"/>
              </w:rPr>
            </w:pPr>
          </w:p>
        </w:tc>
      </w:tr>
      <w:tr w:rsidR="00FC5566" w:rsidRPr="00FC5566" w14:paraId="4319EFD8" w14:textId="77777777" w:rsidTr="00B247D5">
        <w:trPr>
          <w:trHeight w:val="366"/>
        </w:trPr>
        <w:tc>
          <w:tcPr>
            <w:tcW w:w="1056" w:type="dxa"/>
            <w:tcBorders>
              <w:top w:val="single" w:sz="6" w:space="0" w:color="000000"/>
              <w:left w:val="single" w:sz="6" w:space="0" w:color="000000"/>
              <w:bottom w:val="single" w:sz="6" w:space="0" w:color="000000"/>
              <w:right w:val="single" w:sz="6" w:space="0" w:color="000000"/>
            </w:tcBorders>
          </w:tcPr>
          <w:p w14:paraId="6FA72DFB"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419" w:type="dxa"/>
            <w:tcBorders>
              <w:top w:val="single" w:sz="6" w:space="0" w:color="000000"/>
              <w:left w:val="single" w:sz="6" w:space="0" w:color="000000"/>
              <w:bottom w:val="single" w:sz="6" w:space="0" w:color="000000"/>
              <w:right w:val="single" w:sz="6" w:space="0" w:color="000000"/>
            </w:tcBorders>
          </w:tcPr>
          <w:p w14:paraId="7B9BFA34" w14:textId="77777777" w:rsidR="00FC5566" w:rsidRPr="00FC5566" w:rsidRDefault="00FC5566" w:rsidP="00FC5566">
            <w:pPr>
              <w:widowControl w:val="0"/>
              <w:autoSpaceDE w:val="0"/>
              <w:autoSpaceDN w:val="0"/>
              <w:ind w:left="110" w:right="44"/>
              <w:rPr>
                <w:sz w:val="16"/>
                <w:szCs w:val="16"/>
              </w:rPr>
            </w:pPr>
            <w:r w:rsidRPr="00FC5566">
              <w:rPr>
                <w:sz w:val="16"/>
                <w:szCs w:val="16"/>
              </w:rPr>
              <w:t>ASHRAE</w:t>
            </w:r>
          </w:p>
        </w:tc>
        <w:tc>
          <w:tcPr>
            <w:tcW w:w="7055" w:type="dxa"/>
            <w:tcBorders>
              <w:top w:val="single" w:sz="6" w:space="0" w:color="000000"/>
              <w:left w:val="single" w:sz="6" w:space="0" w:color="000000"/>
              <w:bottom w:val="single" w:sz="6" w:space="0" w:color="000000"/>
              <w:right w:val="single" w:sz="6" w:space="0" w:color="000000"/>
            </w:tcBorders>
          </w:tcPr>
          <w:p w14:paraId="29DA9F31" w14:textId="77777777" w:rsidR="00FC5566" w:rsidRPr="00FC5566" w:rsidRDefault="00FC5566" w:rsidP="00FC5566">
            <w:pPr>
              <w:widowControl w:val="0"/>
              <w:autoSpaceDE w:val="0"/>
              <w:autoSpaceDN w:val="0"/>
              <w:ind w:left="110" w:right="44"/>
              <w:rPr>
                <w:spacing w:val="-2"/>
                <w:sz w:val="16"/>
                <w:szCs w:val="16"/>
              </w:rPr>
            </w:pPr>
          </w:p>
        </w:tc>
      </w:tr>
      <w:tr w:rsidR="00FC5566" w:rsidRPr="00FC5566" w14:paraId="783D2CF8" w14:textId="77777777" w:rsidTr="00B247D5">
        <w:trPr>
          <w:trHeight w:val="366"/>
        </w:trPr>
        <w:tc>
          <w:tcPr>
            <w:tcW w:w="1056" w:type="dxa"/>
            <w:tcBorders>
              <w:top w:val="single" w:sz="6" w:space="0" w:color="000000"/>
              <w:left w:val="single" w:sz="6" w:space="0" w:color="000000"/>
              <w:bottom w:val="single" w:sz="6" w:space="0" w:color="000000"/>
              <w:right w:val="single" w:sz="6" w:space="0" w:color="000000"/>
            </w:tcBorders>
          </w:tcPr>
          <w:p w14:paraId="55131187" w14:textId="77777777" w:rsidR="00FC5566" w:rsidRPr="00FC5566" w:rsidRDefault="00FC5566" w:rsidP="00FC5566">
            <w:pPr>
              <w:widowControl w:val="0"/>
              <w:autoSpaceDE w:val="0"/>
              <w:autoSpaceDN w:val="0"/>
              <w:jc w:val="center"/>
              <w:rPr>
                <w:sz w:val="16"/>
                <w:szCs w:val="16"/>
              </w:rPr>
            </w:pPr>
            <w:r w:rsidRPr="00FC5566">
              <w:rPr>
                <w:spacing w:val="-2"/>
                <w:sz w:val="16"/>
                <w:szCs w:val="16"/>
              </w:rPr>
              <w:t>Adopt</w:t>
            </w:r>
          </w:p>
        </w:tc>
        <w:tc>
          <w:tcPr>
            <w:tcW w:w="2419" w:type="dxa"/>
            <w:tcBorders>
              <w:top w:val="single" w:sz="6" w:space="0" w:color="000000"/>
              <w:left w:val="single" w:sz="6" w:space="0" w:color="000000"/>
              <w:bottom w:val="single" w:sz="6" w:space="0" w:color="000000"/>
              <w:right w:val="single" w:sz="6" w:space="0" w:color="000000"/>
            </w:tcBorders>
          </w:tcPr>
          <w:p w14:paraId="57943CA3" w14:textId="77777777" w:rsidR="00FC5566" w:rsidRPr="00FC5566" w:rsidRDefault="00FC5566" w:rsidP="00FC5566">
            <w:pPr>
              <w:widowControl w:val="0"/>
              <w:autoSpaceDE w:val="0"/>
              <w:autoSpaceDN w:val="0"/>
              <w:ind w:left="110" w:right="44"/>
              <w:rPr>
                <w:sz w:val="16"/>
                <w:szCs w:val="16"/>
              </w:rPr>
            </w:pPr>
            <w:r w:rsidRPr="00FC5566">
              <w:rPr>
                <w:sz w:val="16"/>
                <w:szCs w:val="16"/>
              </w:rPr>
              <w:t>15.2-2022</w:t>
            </w:r>
          </w:p>
        </w:tc>
        <w:tc>
          <w:tcPr>
            <w:tcW w:w="7055" w:type="dxa"/>
            <w:tcBorders>
              <w:top w:val="single" w:sz="6" w:space="0" w:color="000000"/>
              <w:left w:val="single" w:sz="6" w:space="0" w:color="000000"/>
              <w:bottom w:val="single" w:sz="6" w:space="0" w:color="000000"/>
              <w:right w:val="single" w:sz="6" w:space="0" w:color="000000"/>
            </w:tcBorders>
          </w:tcPr>
          <w:p w14:paraId="6CE715D3" w14:textId="77777777" w:rsidR="00FC5566" w:rsidRPr="00FC5566" w:rsidRDefault="00FC5566" w:rsidP="00FC5566">
            <w:pPr>
              <w:widowControl w:val="0"/>
              <w:autoSpaceDE w:val="0"/>
              <w:autoSpaceDN w:val="0"/>
              <w:ind w:left="110" w:right="44"/>
              <w:rPr>
                <w:spacing w:val="-2"/>
                <w:sz w:val="16"/>
                <w:szCs w:val="16"/>
              </w:rPr>
            </w:pPr>
            <w:r w:rsidRPr="00FC5566">
              <w:rPr>
                <w:spacing w:val="-2"/>
                <w:sz w:val="16"/>
                <w:szCs w:val="16"/>
              </w:rPr>
              <w:t>Safety Standard for Refrigeration Systems in Residential Applications</w:t>
            </w:r>
          </w:p>
        </w:tc>
      </w:tr>
      <w:tr w:rsidR="00FC5566" w:rsidRPr="00FC5566" w14:paraId="4B254699" w14:textId="77777777" w:rsidTr="00B247D5">
        <w:trPr>
          <w:trHeight w:val="368"/>
        </w:trPr>
        <w:tc>
          <w:tcPr>
            <w:tcW w:w="1056" w:type="dxa"/>
            <w:tcBorders>
              <w:top w:val="single" w:sz="6" w:space="0" w:color="000000"/>
              <w:left w:val="single" w:sz="6" w:space="0" w:color="000000"/>
              <w:bottom w:val="single" w:sz="6" w:space="0" w:color="000000"/>
              <w:right w:val="single" w:sz="6" w:space="0" w:color="000000"/>
            </w:tcBorders>
          </w:tcPr>
          <w:p w14:paraId="5DF326E5"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419" w:type="dxa"/>
            <w:tcBorders>
              <w:top w:val="single" w:sz="6" w:space="0" w:color="000000"/>
              <w:left w:val="single" w:sz="6" w:space="0" w:color="000000"/>
              <w:bottom w:val="single" w:sz="6" w:space="0" w:color="000000"/>
              <w:right w:val="single" w:sz="6" w:space="0" w:color="000000"/>
            </w:tcBorders>
          </w:tcPr>
          <w:p w14:paraId="54280252" w14:textId="77777777" w:rsidR="00FC5566" w:rsidRPr="00FC5566" w:rsidRDefault="00FC5566" w:rsidP="00FC5566">
            <w:pPr>
              <w:widowControl w:val="0"/>
              <w:autoSpaceDE w:val="0"/>
              <w:autoSpaceDN w:val="0"/>
              <w:ind w:left="110" w:right="44"/>
              <w:rPr>
                <w:sz w:val="16"/>
                <w:szCs w:val="16"/>
              </w:rPr>
            </w:pPr>
            <w:r w:rsidRPr="00FC5566">
              <w:rPr>
                <w:sz w:val="16"/>
                <w:szCs w:val="16"/>
              </w:rPr>
              <w:t>UL</w:t>
            </w:r>
          </w:p>
        </w:tc>
        <w:tc>
          <w:tcPr>
            <w:tcW w:w="7055" w:type="dxa"/>
            <w:tcBorders>
              <w:top w:val="single" w:sz="6" w:space="0" w:color="000000"/>
              <w:left w:val="single" w:sz="6" w:space="0" w:color="000000"/>
              <w:bottom w:val="single" w:sz="6" w:space="0" w:color="000000"/>
              <w:right w:val="single" w:sz="6" w:space="0" w:color="000000"/>
            </w:tcBorders>
          </w:tcPr>
          <w:p w14:paraId="1DEDE98B" w14:textId="77777777" w:rsidR="00FC5566" w:rsidRPr="00FC5566" w:rsidRDefault="00FC5566" w:rsidP="00FC5566">
            <w:pPr>
              <w:widowControl w:val="0"/>
              <w:autoSpaceDE w:val="0"/>
              <w:autoSpaceDN w:val="0"/>
              <w:ind w:left="110" w:right="44"/>
              <w:rPr>
                <w:sz w:val="16"/>
                <w:szCs w:val="16"/>
              </w:rPr>
            </w:pPr>
          </w:p>
        </w:tc>
      </w:tr>
      <w:tr w:rsidR="00FC5566" w:rsidRPr="00FC5566" w14:paraId="3D48CD0D" w14:textId="77777777" w:rsidTr="00B247D5">
        <w:trPr>
          <w:trHeight w:val="368"/>
        </w:trPr>
        <w:tc>
          <w:tcPr>
            <w:tcW w:w="1056" w:type="dxa"/>
            <w:tcBorders>
              <w:top w:val="single" w:sz="6" w:space="0" w:color="000000"/>
              <w:left w:val="single" w:sz="6" w:space="0" w:color="000000"/>
              <w:bottom w:val="single" w:sz="6" w:space="0" w:color="000000"/>
              <w:right w:val="single" w:sz="6" w:space="0" w:color="000000"/>
            </w:tcBorders>
          </w:tcPr>
          <w:p w14:paraId="701231E6"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419" w:type="dxa"/>
            <w:tcBorders>
              <w:top w:val="single" w:sz="6" w:space="0" w:color="000000"/>
              <w:left w:val="single" w:sz="6" w:space="0" w:color="000000"/>
              <w:bottom w:val="single" w:sz="6" w:space="0" w:color="000000"/>
              <w:right w:val="single" w:sz="6" w:space="0" w:color="000000"/>
            </w:tcBorders>
          </w:tcPr>
          <w:p w14:paraId="051127FD" w14:textId="77777777" w:rsidR="00FC5566" w:rsidRPr="00FC5566" w:rsidRDefault="00FC5566" w:rsidP="00FC5566">
            <w:pPr>
              <w:widowControl w:val="0"/>
              <w:autoSpaceDE w:val="0"/>
              <w:autoSpaceDN w:val="0"/>
              <w:ind w:left="110" w:right="44"/>
              <w:rPr>
                <w:sz w:val="16"/>
                <w:szCs w:val="16"/>
              </w:rPr>
            </w:pPr>
            <w:r w:rsidRPr="00FC5566">
              <w:rPr>
                <w:sz w:val="16"/>
                <w:szCs w:val="16"/>
              </w:rPr>
              <w:t>207-2009</w:t>
            </w:r>
          </w:p>
        </w:tc>
        <w:tc>
          <w:tcPr>
            <w:tcW w:w="7055" w:type="dxa"/>
            <w:tcBorders>
              <w:top w:val="single" w:sz="6" w:space="0" w:color="000000"/>
              <w:left w:val="single" w:sz="6" w:space="0" w:color="000000"/>
              <w:bottom w:val="single" w:sz="6" w:space="0" w:color="000000"/>
              <w:right w:val="single" w:sz="6" w:space="0" w:color="000000"/>
            </w:tcBorders>
          </w:tcPr>
          <w:p w14:paraId="7E37C9E2" w14:textId="77777777" w:rsidR="00FC5566" w:rsidRPr="00FC5566" w:rsidRDefault="00FC5566" w:rsidP="00FC5566">
            <w:pPr>
              <w:widowControl w:val="0"/>
              <w:autoSpaceDE w:val="0"/>
              <w:autoSpaceDN w:val="0"/>
              <w:ind w:left="110" w:right="44"/>
              <w:rPr>
                <w:sz w:val="16"/>
                <w:szCs w:val="16"/>
              </w:rPr>
            </w:pPr>
            <w:r w:rsidRPr="00FC5566">
              <w:rPr>
                <w:sz w:val="16"/>
                <w:szCs w:val="16"/>
              </w:rPr>
              <w:t>Refrigerant-Containing Components and Accessories, Nonelectrical—With Revisions Through 2022.</w:t>
            </w:r>
          </w:p>
        </w:tc>
      </w:tr>
    </w:tbl>
    <w:p w14:paraId="2CEF3F92"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both"/>
        <w:outlineLvl w:val="3"/>
        <w:rPr>
          <w:kern w:val="2"/>
        </w:rPr>
        <w:sectPr w:rsidR="00FC5566" w:rsidRPr="00FC5566" w:rsidSect="00FC5566">
          <w:type w:val="continuous"/>
          <w:pgSz w:w="12240" w:h="15840"/>
          <w:pgMar w:top="720" w:right="864" w:bottom="317" w:left="864" w:header="576" w:footer="432" w:gutter="0"/>
          <w:cols w:space="720"/>
          <w:docGrid w:linePitch="360"/>
        </w:sectPr>
      </w:pPr>
    </w:p>
    <w:p w14:paraId="71668154"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both"/>
        <w:outlineLvl w:val="3"/>
        <w:rPr>
          <w:kern w:val="2"/>
        </w:rPr>
      </w:pPr>
    </w:p>
    <w:p w14:paraId="047C63B0"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p>
    <w:p w14:paraId="33090744"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p>
    <w:p w14:paraId="7C689B9C"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 xml:space="preserve">Promulgated in accordance with R.S. 37:3727-3750. </w:t>
      </w:r>
    </w:p>
    <w:p w14:paraId="54269CB1"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 xml:space="preserve">Promulgated by the Department of Public Safety and Corrections, State Uniform Construction Code Council, LR 33:291 (February 2007), amended LR 34:93 (January 2008), LR 34:883 (May 2008), LR 34:2205 (October 2008), LR 35:1904 (September 2009), LR 36:2574 (November 2010), effective January 1, 2011, LR 37:601 (February 2011), LR 37:913 (March 2011), repromulgated LR 37:2187 (July 2011), repromulgated LR 37:2726 (September 2011), LR 37:3065 (October 2011), LR 38:1994 (August 2012), amended by the Department of Public Safety and Corrections, Uniform Construction Code Council, LR 39:1825 (July 2013), LR 39:2512 (September 2013), LR 40:2609 (December 2014), amended by the Department of Public Safety and Corrections, </w:t>
      </w:r>
      <w:r w:rsidRPr="00FC5566">
        <w:rPr>
          <w:kern w:val="2"/>
          <w:sz w:val="18"/>
        </w:rPr>
        <w:br w:type="column"/>
      </w:r>
      <w:r w:rsidRPr="00FC5566">
        <w:rPr>
          <w:kern w:val="2"/>
          <w:sz w:val="18"/>
        </w:rPr>
        <w:t>Office of State Fire Marshall, LR 41:2386 (November 2015), amended by the Department of Public Safety and Corrections, Office of the State Fire Marshal, Uniform Construction Code Council, LR 44:81 (January 2018), repromulgated LR 45:918 (July 2019), LR 48:2588 (October 2022), amended by the Office of the Governor, Uniform Construction Code Commission LR 52:</w:t>
      </w:r>
    </w:p>
    <w:p w14:paraId="6856173A"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§111.</w:t>
      </w:r>
      <w:r w:rsidRPr="00FC5566">
        <w:rPr>
          <w:b/>
          <w:kern w:val="2"/>
        </w:rPr>
        <w:tab/>
        <w:t xml:space="preserve">International Plumbing Code </w:t>
      </w:r>
    </w:p>
    <w:p w14:paraId="49C5FF9C"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r>
      <w:r w:rsidRPr="00FC5566">
        <w:rPr>
          <w:i/>
          <w:iCs/>
          <w:kern w:val="2"/>
        </w:rPr>
        <w:t>International Plumbing Code</w:t>
      </w:r>
      <w:r w:rsidRPr="00FC5566">
        <w:rPr>
          <w:kern w:val="2"/>
        </w:rPr>
        <w:t xml:space="preserve"> (IPC), 2024 Edition. The applicable standards referenced in that code are included for the regulation of construction within this state. The appendices of that code may be adopted as needed, but the specific appendix or appendices shall be referenced by name or letter designation at the time of adoption. Furthermore, IPC shall be amended as follows and shall only apply to the International Plumbing Code.</w:t>
      </w:r>
    </w:p>
    <w:p w14:paraId="4BEBE0F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sectPr w:rsidR="00FC5566" w:rsidRPr="00FC5566" w:rsidSect="00FC5566">
          <w:type w:val="continuous"/>
          <w:pgSz w:w="12240" w:h="15840"/>
          <w:pgMar w:top="720" w:right="864" w:bottom="317" w:left="864" w:header="576" w:footer="432" w:gutter="0"/>
          <w:cols w:num="2" w:space="720"/>
          <w:docGrid w:linePitch="360"/>
        </w:sectPr>
      </w:pPr>
    </w:p>
    <w:p w14:paraId="3321F650"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p w14:paraId="38F336B3" w14:textId="77777777" w:rsidR="00FC5566" w:rsidRPr="00FC5566" w:rsidRDefault="00FC5566" w:rsidP="00FC5566">
      <w:pPr>
        <w:widowControl w:val="0"/>
        <w:autoSpaceDE w:val="0"/>
        <w:autoSpaceDN w:val="0"/>
        <w:jc w:val="center"/>
        <w:rPr>
          <w:spacing w:val="-2"/>
          <w:sz w:val="16"/>
          <w:szCs w:val="16"/>
        </w:rPr>
        <w:sectPr w:rsidR="00FC5566" w:rsidRPr="00FC5566" w:rsidSect="00FC5566">
          <w:type w:val="continuous"/>
          <w:pgSz w:w="12240" w:h="15840"/>
          <w:pgMar w:top="720" w:right="864" w:bottom="317" w:left="864" w:header="576" w:footer="432" w:gutter="0"/>
          <w:cols w:num="2" w:space="720"/>
          <w:docGrid w:linePitch="360"/>
        </w:sectPr>
      </w:pPr>
    </w:p>
    <w:tbl>
      <w:tblPr>
        <w:tblW w:w="10530"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72"/>
        <w:gridCol w:w="188"/>
        <w:gridCol w:w="2227"/>
        <w:gridCol w:w="5963"/>
        <w:gridCol w:w="1080"/>
      </w:tblGrid>
      <w:tr w:rsidR="00FC5566" w:rsidRPr="00FC5566" w14:paraId="509FA125" w14:textId="77777777" w:rsidTr="00B247D5">
        <w:trPr>
          <w:trHeight w:val="187"/>
        </w:trPr>
        <w:tc>
          <w:tcPr>
            <w:tcW w:w="1072" w:type="dxa"/>
          </w:tcPr>
          <w:p w14:paraId="6586507C" w14:textId="77777777" w:rsidR="00FC5566" w:rsidRPr="00FC5566" w:rsidRDefault="00FC5566" w:rsidP="00FC5566">
            <w:pPr>
              <w:widowControl w:val="0"/>
              <w:autoSpaceDE w:val="0"/>
              <w:autoSpaceDN w:val="0"/>
              <w:jc w:val="center"/>
              <w:rPr>
                <w:sz w:val="16"/>
                <w:szCs w:val="16"/>
              </w:rPr>
            </w:pPr>
            <w:r w:rsidRPr="00FC5566">
              <w:rPr>
                <w:spacing w:val="-2"/>
                <w:sz w:val="16"/>
                <w:szCs w:val="16"/>
              </w:rPr>
              <w:t>Amend</w:t>
            </w:r>
          </w:p>
        </w:tc>
        <w:tc>
          <w:tcPr>
            <w:tcW w:w="2415" w:type="dxa"/>
            <w:gridSpan w:val="2"/>
          </w:tcPr>
          <w:p w14:paraId="6CCA8E9E" w14:textId="77777777" w:rsidR="00FC5566" w:rsidRPr="00FC5566" w:rsidRDefault="00FC5566" w:rsidP="00FC5566">
            <w:pPr>
              <w:widowControl w:val="0"/>
              <w:autoSpaceDE w:val="0"/>
              <w:autoSpaceDN w:val="0"/>
              <w:ind w:left="108" w:right="85"/>
              <w:rPr>
                <w:sz w:val="16"/>
                <w:szCs w:val="16"/>
              </w:rPr>
            </w:pPr>
            <w:r w:rsidRPr="00FC5566">
              <w:rPr>
                <w:sz w:val="16"/>
                <w:szCs w:val="16"/>
              </w:rPr>
              <w:t>Chapter</w:t>
            </w:r>
            <w:r w:rsidRPr="00FC5566">
              <w:rPr>
                <w:spacing w:val="-7"/>
                <w:sz w:val="16"/>
                <w:szCs w:val="16"/>
              </w:rPr>
              <w:t xml:space="preserve"> </w:t>
            </w:r>
            <w:r w:rsidRPr="00FC5566">
              <w:rPr>
                <w:spacing w:val="-10"/>
                <w:sz w:val="16"/>
                <w:szCs w:val="16"/>
              </w:rPr>
              <w:t xml:space="preserve">1, </w:t>
            </w:r>
            <w:r w:rsidRPr="00FC5566">
              <w:rPr>
                <w:spacing w:val="-2"/>
                <w:sz w:val="16"/>
                <w:szCs w:val="16"/>
              </w:rPr>
              <w:t>Scope and Administration</w:t>
            </w:r>
          </w:p>
        </w:tc>
        <w:tc>
          <w:tcPr>
            <w:tcW w:w="7043" w:type="dxa"/>
            <w:gridSpan w:val="2"/>
          </w:tcPr>
          <w:p w14:paraId="31CE40FB" w14:textId="77777777" w:rsidR="00FC5566" w:rsidRPr="00FC5566" w:rsidRDefault="00FC5566" w:rsidP="00FC5566">
            <w:pPr>
              <w:widowControl w:val="0"/>
              <w:autoSpaceDE w:val="0"/>
              <w:autoSpaceDN w:val="0"/>
              <w:ind w:left="91" w:right="90"/>
              <w:rPr>
                <w:sz w:val="16"/>
                <w:szCs w:val="16"/>
              </w:rPr>
            </w:pPr>
          </w:p>
        </w:tc>
      </w:tr>
      <w:tr w:rsidR="00FC5566" w:rsidRPr="00FC5566" w14:paraId="19A67CDA" w14:textId="77777777" w:rsidTr="00B247D5">
        <w:trPr>
          <w:trHeight w:val="187"/>
        </w:trPr>
        <w:tc>
          <w:tcPr>
            <w:tcW w:w="1072" w:type="dxa"/>
          </w:tcPr>
          <w:p w14:paraId="16F5D89E" w14:textId="77777777" w:rsidR="00FC5566" w:rsidRPr="00FC5566" w:rsidRDefault="00FC5566" w:rsidP="00FC5566">
            <w:pPr>
              <w:widowControl w:val="0"/>
              <w:autoSpaceDE w:val="0"/>
              <w:autoSpaceDN w:val="0"/>
              <w:jc w:val="center"/>
              <w:rPr>
                <w:sz w:val="16"/>
                <w:szCs w:val="16"/>
              </w:rPr>
            </w:pPr>
            <w:r w:rsidRPr="00FC5566">
              <w:rPr>
                <w:spacing w:val="-2"/>
                <w:sz w:val="16"/>
                <w:szCs w:val="16"/>
              </w:rPr>
              <w:t>Amend</w:t>
            </w:r>
          </w:p>
        </w:tc>
        <w:tc>
          <w:tcPr>
            <w:tcW w:w="2415" w:type="dxa"/>
            <w:gridSpan w:val="2"/>
          </w:tcPr>
          <w:p w14:paraId="7083E682" w14:textId="77777777" w:rsidR="00FC5566" w:rsidRPr="00FC5566" w:rsidRDefault="00FC5566" w:rsidP="00FC5566">
            <w:pPr>
              <w:widowControl w:val="0"/>
              <w:autoSpaceDE w:val="0"/>
              <w:autoSpaceDN w:val="0"/>
              <w:ind w:left="108" w:right="85"/>
              <w:rPr>
                <w:sz w:val="16"/>
                <w:szCs w:val="16"/>
              </w:rPr>
            </w:pPr>
            <w:r w:rsidRPr="00FC5566">
              <w:rPr>
                <w:sz w:val="16"/>
                <w:szCs w:val="16"/>
              </w:rPr>
              <w:t>Section</w:t>
            </w:r>
            <w:r w:rsidRPr="00FC5566">
              <w:rPr>
                <w:spacing w:val="-6"/>
                <w:sz w:val="16"/>
                <w:szCs w:val="16"/>
              </w:rPr>
              <w:t xml:space="preserve"> </w:t>
            </w:r>
            <w:r w:rsidRPr="00FC5566">
              <w:rPr>
                <w:sz w:val="16"/>
                <w:szCs w:val="16"/>
              </w:rPr>
              <w:t>[A]</w:t>
            </w:r>
            <w:r w:rsidRPr="00FC5566">
              <w:rPr>
                <w:spacing w:val="-5"/>
                <w:sz w:val="16"/>
                <w:szCs w:val="16"/>
              </w:rPr>
              <w:t xml:space="preserve"> </w:t>
            </w:r>
            <w:r w:rsidRPr="00FC5566">
              <w:rPr>
                <w:sz w:val="16"/>
                <w:szCs w:val="16"/>
              </w:rPr>
              <w:t>101.2,</w:t>
            </w:r>
            <w:r w:rsidRPr="00FC5566">
              <w:rPr>
                <w:spacing w:val="-5"/>
                <w:sz w:val="16"/>
                <w:szCs w:val="16"/>
              </w:rPr>
              <w:t xml:space="preserve"> </w:t>
            </w:r>
            <w:r w:rsidRPr="00FC5566">
              <w:rPr>
                <w:spacing w:val="-2"/>
                <w:sz w:val="16"/>
                <w:szCs w:val="16"/>
              </w:rPr>
              <w:t>Scope.</w:t>
            </w:r>
          </w:p>
        </w:tc>
        <w:tc>
          <w:tcPr>
            <w:tcW w:w="7043" w:type="dxa"/>
            <w:gridSpan w:val="2"/>
          </w:tcPr>
          <w:p w14:paraId="0F2F0383" w14:textId="77777777" w:rsidR="00FC5566" w:rsidRPr="00FC5566" w:rsidRDefault="00FC5566" w:rsidP="00FC5566">
            <w:pPr>
              <w:widowControl w:val="0"/>
              <w:autoSpaceDE w:val="0"/>
              <w:autoSpaceDN w:val="0"/>
              <w:ind w:left="91" w:right="90"/>
              <w:rPr>
                <w:sz w:val="16"/>
                <w:szCs w:val="16"/>
              </w:rPr>
            </w:pPr>
            <w:r w:rsidRPr="00FC5566">
              <w:rPr>
                <w:sz w:val="16"/>
                <w:szCs w:val="16"/>
              </w:rPr>
              <w:t>The provisions of this code shall apply to the erection, installation, alteration, repairs, relocation, replacement, addition to, use or maintenance of plumbing systems within this jurisdiction. The installation of fuel gas distribution piping and equipment, fuel-gas-fired water heaters and water heater venting systems shall be regulated by the International Fuel Gas Code. Provisions in the appendices shall not apply unless specifically adopted.</w:t>
            </w:r>
          </w:p>
        </w:tc>
      </w:tr>
      <w:tr w:rsidR="00FC5566" w:rsidRPr="00FC5566" w14:paraId="47DE88A7" w14:textId="77777777" w:rsidTr="00B247D5">
        <w:trPr>
          <w:trHeight w:val="187"/>
        </w:trPr>
        <w:tc>
          <w:tcPr>
            <w:tcW w:w="1072" w:type="dxa"/>
          </w:tcPr>
          <w:p w14:paraId="23107CE1" w14:textId="77777777" w:rsidR="00FC5566" w:rsidRPr="00FC5566" w:rsidRDefault="00FC5566" w:rsidP="00FC5566">
            <w:pPr>
              <w:widowControl w:val="0"/>
              <w:autoSpaceDE w:val="0"/>
              <w:autoSpaceDN w:val="0"/>
              <w:jc w:val="center"/>
              <w:rPr>
                <w:sz w:val="16"/>
                <w:szCs w:val="16"/>
              </w:rPr>
            </w:pPr>
            <w:r w:rsidRPr="00FC5566">
              <w:rPr>
                <w:spacing w:val="-2"/>
                <w:sz w:val="16"/>
                <w:szCs w:val="16"/>
              </w:rPr>
              <w:t>Adopt</w:t>
            </w:r>
          </w:p>
        </w:tc>
        <w:tc>
          <w:tcPr>
            <w:tcW w:w="2415" w:type="dxa"/>
            <w:gridSpan w:val="2"/>
          </w:tcPr>
          <w:p w14:paraId="4A939ABB" w14:textId="77777777" w:rsidR="00FC5566" w:rsidRPr="00FC5566" w:rsidRDefault="00FC5566" w:rsidP="00FC5566">
            <w:pPr>
              <w:widowControl w:val="0"/>
              <w:autoSpaceDE w:val="0"/>
              <w:autoSpaceDN w:val="0"/>
              <w:ind w:left="108" w:right="85"/>
              <w:rPr>
                <w:sz w:val="16"/>
                <w:szCs w:val="16"/>
              </w:rPr>
            </w:pPr>
            <w:r w:rsidRPr="00FC5566">
              <w:rPr>
                <w:sz w:val="16"/>
                <w:szCs w:val="16"/>
              </w:rPr>
              <w:t>Item</w:t>
            </w:r>
            <w:r w:rsidRPr="00FC5566">
              <w:rPr>
                <w:spacing w:val="-6"/>
                <w:sz w:val="16"/>
                <w:szCs w:val="16"/>
              </w:rPr>
              <w:t xml:space="preserve"> </w:t>
            </w:r>
            <w:r w:rsidRPr="00FC5566">
              <w:rPr>
                <w:spacing w:val="-4"/>
                <w:sz w:val="16"/>
                <w:szCs w:val="16"/>
              </w:rPr>
              <w:t>(a.)</w:t>
            </w:r>
          </w:p>
        </w:tc>
        <w:tc>
          <w:tcPr>
            <w:tcW w:w="7043" w:type="dxa"/>
            <w:gridSpan w:val="2"/>
          </w:tcPr>
          <w:p w14:paraId="1BA3CD5B" w14:textId="77777777" w:rsidR="00FC5566" w:rsidRPr="00FC5566" w:rsidRDefault="00FC5566" w:rsidP="00FC5566">
            <w:pPr>
              <w:widowControl w:val="0"/>
              <w:autoSpaceDE w:val="0"/>
              <w:autoSpaceDN w:val="0"/>
              <w:ind w:left="91" w:right="90"/>
              <w:rPr>
                <w:sz w:val="16"/>
                <w:szCs w:val="16"/>
              </w:rPr>
            </w:pPr>
            <w:r w:rsidRPr="00FC5566">
              <w:rPr>
                <w:sz w:val="16"/>
                <w:szCs w:val="16"/>
              </w:rPr>
              <w:t>(a.)</w:t>
            </w:r>
            <w:r w:rsidRPr="00FC5566">
              <w:rPr>
                <w:spacing w:val="38"/>
                <w:sz w:val="16"/>
                <w:szCs w:val="16"/>
              </w:rPr>
              <w:t xml:space="preserve"> </w:t>
            </w:r>
            <w:r w:rsidRPr="00FC5566">
              <w:rPr>
                <w:sz w:val="16"/>
                <w:szCs w:val="16"/>
              </w:rPr>
              <w:t>Nothing</w:t>
            </w:r>
            <w:r w:rsidRPr="00FC5566">
              <w:rPr>
                <w:spacing w:val="-3"/>
                <w:sz w:val="16"/>
                <w:szCs w:val="16"/>
              </w:rPr>
              <w:t xml:space="preserve"> </w:t>
            </w:r>
            <w:r w:rsidRPr="00FC5566">
              <w:rPr>
                <w:sz w:val="16"/>
                <w:szCs w:val="16"/>
              </w:rPr>
              <w:t>in</w:t>
            </w:r>
            <w:r w:rsidRPr="00FC5566">
              <w:rPr>
                <w:spacing w:val="-3"/>
                <w:sz w:val="16"/>
                <w:szCs w:val="16"/>
              </w:rPr>
              <w:t xml:space="preserve"> </w:t>
            </w:r>
            <w:r w:rsidRPr="00FC5566">
              <w:rPr>
                <w:sz w:val="16"/>
                <w:szCs w:val="16"/>
              </w:rPr>
              <w:t>this</w:t>
            </w:r>
            <w:r w:rsidRPr="00FC5566">
              <w:rPr>
                <w:spacing w:val="-2"/>
                <w:sz w:val="16"/>
                <w:szCs w:val="16"/>
              </w:rPr>
              <w:t xml:space="preserve"> </w:t>
            </w:r>
            <w:r w:rsidRPr="00FC5566">
              <w:rPr>
                <w:sz w:val="16"/>
                <w:szCs w:val="16"/>
              </w:rPr>
              <w:t>Part</w:t>
            </w:r>
            <w:r w:rsidRPr="00FC5566">
              <w:rPr>
                <w:spacing w:val="-1"/>
                <w:sz w:val="16"/>
                <w:szCs w:val="16"/>
              </w:rPr>
              <w:t xml:space="preserve"> </w:t>
            </w:r>
            <w:r w:rsidRPr="00FC5566">
              <w:rPr>
                <w:sz w:val="16"/>
                <w:szCs w:val="16"/>
              </w:rPr>
              <w:t>or</w:t>
            </w:r>
            <w:r w:rsidRPr="00FC5566">
              <w:rPr>
                <w:spacing w:val="-3"/>
                <w:sz w:val="16"/>
                <w:szCs w:val="16"/>
              </w:rPr>
              <w:t xml:space="preserve"> </w:t>
            </w:r>
            <w:r w:rsidRPr="00FC5566">
              <w:rPr>
                <w:sz w:val="16"/>
                <w:szCs w:val="16"/>
              </w:rPr>
              <w:t>any</w:t>
            </w:r>
            <w:r w:rsidRPr="00FC5566">
              <w:rPr>
                <w:spacing w:val="-3"/>
                <w:sz w:val="16"/>
                <w:szCs w:val="16"/>
              </w:rPr>
              <w:t xml:space="preserve"> </w:t>
            </w:r>
            <w:r w:rsidRPr="00FC5566">
              <w:rPr>
                <w:sz w:val="16"/>
                <w:szCs w:val="16"/>
              </w:rPr>
              <w:t>provision</w:t>
            </w:r>
            <w:r w:rsidRPr="00FC5566">
              <w:rPr>
                <w:spacing w:val="-1"/>
                <w:sz w:val="16"/>
                <w:szCs w:val="16"/>
              </w:rPr>
              <w:t xml:space="preserve"> </w:t>
            </w:r>
            <w:r w:rsidRPr="00FC5566">
              <w:rPr>
                <w:sz w:val="16"/>
                <w:szCs w:val="16"/>
              </w:rPr>
              <w:t>adopted</w:t>
            </w:r>
            <w:r w:rsidRPr="00FC5566">
              <w:rPr>
                <w:spacing w:val="-1"/>
                <w:sz w:val="16"/>
                <w:szCs w:val="16"/>
              </w:rPr>
              <w:t xml:space="preserve"> </w:t>
            </w:r>
            <w:r w:rsidRPr="00FC5566">
              <w:rPr>
                <w:sz w:val="16"/>
                <w:szCs w:val="16"/>
              </w:rPr>
              <w:t>pursuant</w:t>
            </w:r>
            <w:r w:rsidRPr="00FC5566">
              <w:rPr>
                <w:spacing w:val="-1"/>
                <w:sz w:val="16"/>
                <w:szCs w:val="16"/>
              </w:rPr>
              <w:t xml:space="preserve"> </w:t>
            </w:r>
            <w:r w:rsidRPr="00FC5566">
              <w:rPr>
                <w:sz w:val="16"/>
                <w:szCs w:val="16"/>
              </w:rPr>
              <w:t>to</w:t>
            </w:r>
            <w:r w:rsidRPr="00FC5566">
              <w:rPr>
                <w:spacing w:val="-3"/>
                <w:sz w:val="16"/>
                <w:szCs w:val="16"/>
              </w:rPr>
              <w:t xml:space="preserve"> </w:t>
            </w:r>
            <w:r w:rsidRPr="00FC5566">
              <w:rPr>
                <w:sz w:val="16"/>
                <w:szCs w:val="16"/>
              </w:rPr>
              <w:t>this</w:t>
            </w:r>
            <w:r w:rsidRPr="00FC5566">
              <w:rPr>
                <w:spacing w:val="-2"/>
                <w:sz w:val="16"/>
                <w:szCs w:val="16"/>
              </w:rPr>
              <w:t xml:space="preserve"> </w:t>
            </w:r>
            <w:r w:rsidRPr="00FC5566">
              <w:rPr>
                <w:sz w:val="16"/>
                <w:szCs w:val="16"/>
              </w:rPr>
              <w:t>Part</w:t>
            </w:r>
            <w:r w:rsidRPr="00FC5566">
              <w:rPr>
                <w:spacing w:val="-1"/>
                <w:sz w:val="16"/>
                <w:szCs w:val="16"/>
              </w:rPr>
              <w:t xml:space="preserve"> </w:t>
            </w:r>
            <w:r w:rsidRPr="00FC5566">
              <w:rPr>
                <w:sz w:val="16"/>
                <w:szCs w:val="16"/>
              </w:rPr>
              <w:t>shall</w:t>
            </w:r>
            <w:r w:rsidRPr="00FC5566">
              <w:rPr>
                <w:spacing w:val="-1"/>
                <w:sz w:val="16"/>
                <w:szCs w:val="16"/>
              </w:rPr>
              <w:t xml:space="preserve"> </w:t>
            </w:r>
            <w:r w:rsidRPr="00FC5566">
              <w:rPr>
                <w:sz w:val="16"/>
                <w:szCs w:val="16"/>
              </w:rPr>
              <w:t>prohibit</w:t>
            </w:r>
            <w:r w:rsidRPr="00FC5566">
              <w:rPr>
                <w:spacing w:val="-1"/>
                <w:sz w:val="16"/>
                <w:szCs w:val="16"/>
              </w:rPr>
              <w:t xml:space="preserve"> </w:t>
            </w:r>
            <w:r w:rsidRPr="00FC5566">
              <w:rPr>
                <w:sz w:val="16"/>
                <w:szCs w:val="16"/>
              </w:rPr>
              <w:t>the</w:t>
            </w:r>
            <w:r w:rsidRPr="00FC5566">
              <w:rPr>
                <w:spacing w:val="-1"/>
                <w:sz w:val="16"/>
                <w:szCs w:val="16"/>
              </w:rPr>
              <w:t xml:space="preserve"> </w:t>
            </w:r>
            <w:r w:rsidRPr="00FC5566">
              <w:rPr>
                <w:sz w:val="16"/>
                <w:szCs w:val="16"/>
              </w:rPr>
              <w:t>Department</w:t>
            </w:r>
            <w:r w:rsidRPr="00FC5566">
              <w:rPr>
                <w:spacing w:val="-1"/>
                <w:sz w:val="16"/>
                <w:szCs w:val="16"/>
              </w:rPr>
              <w:t xml:space="preserve"> </w:t>
            </w:r>
            <w:r w:rsidRPr="00FC5566">
              <w:rPr>
                <w:sz w:val="16"/>
                <w:szCs w:val="16"/>
              </w:rPr>
              <w:t>of Health from</w:t>
            </w:r>
            <w:r w:rsidRPr="00FC5566">
              <w:rPr>
                <w:spacing w:val="40"/>
                <w:sz w:val="16"/>
                <w:szCs w:val="16"/>
              </w:rPr>
              <w:t xml:space="preserve"> </w:t>
            </w:r>
            <w:r w:rsidRPr="00FC5566">
              <w:rPr>
                <w:sz w:val="16"/>
                <w:szCs w:val="16"/>
              </w:rPr>
              <w:t>the</w:t>
            </w:r>
            <w:r w:rsidRPr="00FC5566">
              <w:rPr>
                <w:spacing w:val="-5"/>
                <w:sz w:val="16"/>
                <w:szCs w:val="16"/>
              </w:rPr>
              <w:t xml:space="preserve"> </w:t>
            </w:r>
            <w:r w:rsidRPr="00FC5566">
              <w:rPr>
                <w:sz w:val="16"/>
                <w:szCs w:val="16"/>
              </w:rPr>
              <w:t>following:</w:t>
            </w:r>
          </w:p>
          <w:p w14:paraId="7609D23B" w14:textId="77777777" w:rsidR="00FC5566" w:rsidRPr="00FC5566" w:rsidRDefault="00FC5566" w:rsidP="00FC5566">
            <w:pPr>
              <w:widowControl w:val="0"/>
              <w:autoSpaceDE w:val="0"/>
              <w:autoSpaceDN w:val="0"/>
              <w:ind w:left="91" w:right="90"/>
              <w:rPr>
                <w:sz w:val="16"/>
                <w:szCs w:val="16"/>
              </w:rPr>
            </w:pPr>
            <w:r w:rsidRPr="00FC5566">
              <w:rPr>
                <w:sz w:val="16"/>
                <w:szCs w:val="16"/>
              </w:rPr>
              <w:t xml:space="preserve">1. Regulating stored water temperatures through enforcement of the </w:t>
            </w:r>
            <w:r w:rsidRPr="00FC5566">
              <w:rPr>
                <w:i/>
                <w:sz w:val="16"/>
                <w:szCs w:val="16"/>
              </w:rPr>
              <w:t>Sanitary Code</w:t>
            </w:r>
            <w:r w:rsidRPr="00FC5566">
              <w:rPr>
                <w:sz w:val="16"/>
                <w:szCs w:val="16"/>
              </w:rPr>
              <w:t>; and</w:t>
            </w:r>
          </w:p>
          <w:p w14:paraId="71D307C8" w14:textId="77777777" w:rsidR="00FC5566" w:rsidRPr="00FC5566" w:rsidRDefault="00FC5566" w:rsidP="00FC5566">
            <w:pPr>
              <w:widowControl w:val="0"/>
              <w:autoSpaceDE w:val="0"/>
              <w:autoSpaceDN w:val="0"/>
              <w:ind w:left="91" w:right="90"/>
              <w:rPr>
                <w:sz w:val="16"/>
                <w:szCs w:val="16"/>
              </w:rPr>
            </w:pPr>
            <w:r w:rsidRPr="00FC5566">
              <w:rPr>
                <w:sz w:val="16"/>
                <w:szCs w:val="16"/>
              </w:rPr>
              <w:t>2. Regulating medical gas and medical vacuum systems.</w:t>
            </w:r>
          </w:p>
        </w:tc>
      </w:tr>
      <w:tr w:rsidR="00FC5566" w:rsidRPr="00FC5566" w14:paraId="090DA121" w14:textId="77777777" w:rsidTr="00B247D5">
        <w:trPr>
          <w:trHeight w:val="274"/>
        </w:trPr>
        <w:tc>
          <w:tcPr>
            <w:tcW w:w="1072" w:type="dxa"/>
          </w:tcPr>
          <w:p w14:paraId="3F2D5864" w14:textId="77777777" w:rsidR="00FC5566" w:rsidRPr="00FC5566" w:rsidRDefault="00FC5566" w:rsidP="00FC5566">
            <w:pPr>
              <w:widowControl w:val="0"/>
              <w:autoSpaceDE w:val="0"/>
              <w:autoSpaceDN w:val="0"/>
              <w:jc w:val="center"/>
              <w:rPr>
                <w:sz w:val="16"/>
                <w:szCs w:val="16"/>
              </w:rPr>
            </w:pPr>
            <w:r w:rsidRPr="00FC5566">
              <w:rPr>
                <w:spacing w:val="-2"/>
                <w:sz w:val="16"/>
                <w:szCs w:val="16"/>
              </w:rPr>
              <w:t>Amend</w:t>
            </w:r>
          </w:p>
        </w:tc>
        <w:tc>
          <w:tcPr>
            <w:tcW w:w="2415" w:type="dxa"/>
            <w:gridSpan w:val="2"/>
          </w:tcPr>
          <w:p w14:paraId="49A4D97B" w14:textId="77777777" w:rsidR="00FC5566" w:rsidRPr="00FC5566" w:rsidRDefault="00FC5566" w:rsidP="00FC5566">
            <w:pPr>
              <w:widowControl w:val="0"/>
              <w:autoSpaceDE w:val="0"/>
              <w:autoSpaceDN w:val="0"/>
              <w:ind w:left="108" w:right="85"/>
              <w:rPr>
                <w:sz w:val="16"/>
                <w:szCs w:val="16"/>
              </w:rPr>
            </w:pPr>
            <w:r w:rsidRPr="00FC5566">
              <w:rPr>
                <w:sz w:val="16"/>
                <w:szCs w:val="16"/>
              </w:rPr>
              <w:t>Chapter</w:t>
            </w:r>
            <w:r w:rsidRPr="00FC5566">
              <w:rPr>
                <w:spacing w:val="-7"/>
                <w:sz w:val="16"/>
                <w:szCs w:val="16"/>
              </w:rPr>
              <w:t xml:space="preserve"> </w:t>
            </w:r>
            <w:r w:rsidRPr="00FC5566">
              <w:rPr>
                <w:sz w:val="16"/>
                <w:szCs w:val="16"/>
              </w:rPr>
              <w:t>2,</w:t>
            </w:r>
            <w:r w:rsidRPr="00FC5566">
              <w:rPr>
                <w:spacing w:val="-4"/>
                <w:sz w:val="16"/>
                <w:szCs w:val="16"/>
              </w:rPr>
              <w:t xml:space="preserve"> </w:t>
            </w:r>
            <w:r w:rsidRPr="00FC5566">
              <w:rPr>
                <w:spacing w:val="-2"/>
                <w:sz w:val="16"/>
                <w:szCs w:val="16"/>
              </w:rPr>
              <w:t>Definitions.</w:t>
            </w:r>
          </w:p>
        </w:tc>
        <w:tc>
          <w:tcPr>
            <w:tcW w:w="7043" w:type="dxa"/>
            <w:gridSpan w:val="2"/>
          </w:tcPr>
          <w:p w14:paraId="543825C4" w14:textId="77777777" w:rsidR="00FC5566" w:rsidRPr="00FC5566" w:rsidRDefault="00FC5566" w:rsidP="00FC5566">
            <w:pPr>
              <w:widowControl w:val="0"/>
              <w:autoSpaceDE w:val="0"/>
              <w:autoSpaceDN w:val="0"/>
              <w:ind w:left="91" w:right="90"/>
              <w:rPr>
                <w:sz w:val="16"/>
                <w:szCs w:val="16"/>
                <w:highlight w:val="yellow"/>
              </w:rPr>
            </w:pPr>
          </w:p>
        </w:tc>
      </w:tr>
      <w:tr w:rsidR="00FC5566" w:rsidRPr="00FC5566" w14:paraId="5B602F1A" w14:textId="77777777" w:rsidTr="00B247D5">
        <w:trPr>
          <w:trHeight w:val="187"/>
        </w:trPr>
        <w:tc>
          <w:tcPr>
            <w:tcW w:w="1072" w:type="dxa"/>
          </w:tcPr>
          <w:p w14:paraId="6AEB290E" w14:textId="77777777" w:rsidR="00FC5566" w:rsidRPr="00FC5566" w:rsidRDefault="00FC5566" w:rsidP="00FC5566">
            <w:pPr>
              <w:widowControl w:val="0"/>
              <w:autoSpaceDE w:val="0"/>
              <w:autoSpaceDN w:val="0"/>
              <w:jc w:val="center"/>
              <w:rPr>
                <w:sz w:val="16"/>
                <w:szCs w:val="16"/>
              </w:rPr>
            </w:pPr>
            <w:r w:rsidRPr="00FC5566">
              <w:rPr>
                <w:spacing w:val="-2"/>
                <w:sz w:val="16"/>
                <w:szCs w:val="16"/>
              </w:rPr>
              <w:t>Adopt</w:t>
            </w:r>
          </w:p>
        </w:tc>
        <w:tc>
          <w:tcPr>
            <w:tcW w:w="2415" w:type="dxa"/>
            <w:gridSpan w:val="2"/>
          </w:tcPr>
          <w:p w14:paraId="5A92F585" w14:textId="77777777" w:rsidR="00FC5566" w:rsidRPr="00FC5566" w:rsidRDefault="00FC5566" w:rsidP="00FC5566">
            <w:pPr>
              <w:widowControl w:val="0"/>
              <w:autoSpaceDE w:val="0"/>
              <w:autoSpaceDN w:val="0"/>
              <w:ind w:left="108" w:right="85"/>
              <w:rPr>
                <w:sz w:val="16"/>
                <w:szCs w:val="16"/>
              </w:rPr>
            </w:pPr>
            <w:r w:rsidRPr="00FC5566">
              <w:rPr>
                <w:i/>
                <w:sz w:val="16"/>
                <w:szCs w:val="16"/>
              </w:rPr>
              <w:t>Adult</w:t>
            </w:r>
            <w:r w:rsidRPr="00FC5566">
              <w:rPr>
                <w:i/>
                <w:spacing w:val="-3"/>
                <w:sz w:val="16"/>
                <w:szCs w:val="16"/>
              </w:rPr>
              <w:t xml:space="preserve"> </w:t>
            </w:r>
            <w:r w:rsidRPr="00FC5566">
              <w:rPr>
                <w:i/>
                <w:sz w:val="16"/>
                <w:szCs w:val="16"/>
              </w:rPr>
              <w:t>Day</w:t>
            </w:r>
            <w:r w:rsidRPr="00FC5566">
              <w:rPr>
                <w:i/>
                <w:spacing w:val="-5"/>
                <w:sz w:val="16"/>
                <w:szCs w:val="16"/>
              </w:rPr>
              <w:t xml:space="preserve"> </w:t>
            </w:r>
            <w:r w:rsidRPr="00FC5566">
              <w:rPr>
                <w:i/>
                <w:sz w:val="16"/>
                <w:szCs w:val="16"/>
              </w:rPr>
              <w:t>Care</w:t>
            </w:r>
            <w:r w:rsidRPr="00FC5566">
              <w:rPr>
                <w:i/>
                <w:spacing w:val="-5"/>
                <w:sz w:val="16"/>
                <w:szCs w:val="16"/>
              </w:rPr>
              <w:t xml:space="preserve"> </w:t>
            </w:r>
            <w:r w:rsidRPr="00FC5566">
              <w:rPr>
                <w:i/>
                <w:spacing w:val="-2"/>
                <w:sz w:val="16"/>
                <w:szCs w:val="16"/>
              </w:rPr>
              <w:t>Center</w:t>
            </w:r>
          </w:p>
        </w:tc>
        <w:tc>
          <w:tcPr>
            <w:tcW w:w="7043" w:type="dxa"/>
            <w:gridSpan w:val="2"/>
          </w:tcPr>
          <w:p w14:paraId="52E1DDD6" w14:textId="77777777" w:rsidR="00FC5566" w:rsidRPr="00FC5566" w:rsidRDefault="00FC5566" w:rsidP="00FC5566">
            <w:pPr>
              <w:widowControl w:val="0"/>
              <w:autoSpaceDE w:val="0"/>
              <w:autoSpaceDN w:val="0"/>
              <w:ind w:left="91" w:right="90"/>
              <w:jc w:val="both"/>
              <w:rPr>
                <w:sz w:val="16"/>
                <w:szCs w:val="16"/>
              </w:rPr>
            </w:pPr>
            <w:r w:rsidRPr="00FC5566">
              <w:rPr>
                <w:sz w:val="16"/>
                <w:szCs w:val="16"/>
              </w:rPr>
              <w:t>Adult Day Care Center. Any place or facility, operated by any person for</w:t>
            </w:r>
            <w:r w:rsidRPr="00FC5566">
              <w:rPr>
                <w:spacing w:val="12"/>
                <w:sz w:val="16"/>
                <w:szCs w:val="16"/>
              </w:rPr>
              <w:t xml:space="preserve"> </w:t>
            </w:r>
            <w:r w:rsidRPr="00FC5566">
              <w:rPr>
                <w:sz w:val="16"/>
                <w:szCs w:val="16"/>
              </w:rPr>
              <w:t>the primary purpose of providing care, supervision and guidance</w:t>
            </w:r>
            <w:r w:rsidRPr="00FC5566">
              <w:rPr>
                <w:spacing w:val="40"/>
                <w:sz w:val="16"/>
                <w:szCs w:val="16"/>
              </w:rPr>
              <w:t xml:space="preserve"> </w:t>
            </w:r>
            <w:r w:rsidRPr="00FC5566">
              <w:rPr>
                <w:sz w:val="16"/>
                <w:szCs w:val="16"/>
              </w:rPr>
              <w:t>of</w:t>
            </w:r>
            <w:r w:rsidRPr="00FC5566">
              <w:rPr>
                <w:spacing w:val="-2"/>
                <w:sz w:val="16"/>
                <w:szCs w:val="16"/>
              </w:rPr>
              <w:t xml:space="preserve"> </w:t>
            </w:r>
            <w:r w:rsidRPr="00FC5566">
              <w:rPr>
                <w:sz w:val="16"/>
                <w:szCs w:val="16"/>
              </w:rPr>
              <w:t>10 or</w:t>
            </w:r>
            <w:r w:rsidRPr="00FC5566">
              <w:rPr>
                <w:spacing w:val="-2"/>
                <w:sz w:val="16"/>
                <w:szCs w:val="16"/>
              </w:rPr>
              <w:t xml:space="preserve"> </w:t>
            </w:r>
            <w:r w:rsidRPr="00FC5566">
              <w:rPr>
                <w:sz w:val="16"/>
                <w:szCs w:val="16"/>
              </w:rPr>
              <w:t>more</w:t>
            </w:r>
            <w:r w:rsidRPr="00FC5566">
              <w:rPr>
                <w:spacing w:val="-3"/>
                <w:sz w:val="16"/>
                <w:szCs w:val="16"/>
              </w:rPr>
              <w:t xml:space="preserve"> </w:t>
            </w:r>
            <w:r w:rsidRPr="00FC5566">
              <w:rPr>
                <w:sz w:val="16"/>
                <w:szCs w:val="16"/>
              </w:rPr>
              <w:t>people</w:t>
            </w:r>
            <w:r w:rsidRPr="00FC5566">
              <w:rPr>
                <w:spacing w:val="-3"/>
                <w:sz w:val="16"/>
                <w:szCs w:val="16"/>
              </w:rPr>
              <w:t xml:space="preserve"> </w:t>
            </w:r>
            <w:r w:rsidRPr="00FC5566">
              <w:rPr>
                <w:sz w:val="16"/>
                <w:szCs w:val="16"/>
              </w:rPr>
              <w:t>18 years</w:t>
            </w:r>
            <w:r w:rsidRPr="00FC5566">
              <w:rPr>
                <w:spacing w:val="-1"/>
                <w:sz w:val="16"/>
                <w:szCs w:val="16"/>
              </w:rPr>
              <w:t xml:space="preserve"> </w:t>
            </w:r>
            <w:r w:rsidRPr="00FC5566">
              <w:rPr>
                <w:sz w:val="16"/>
                <w:szCs w:val="16"/>
              </w:rPr>
              <w:t>and older, not related to</w:t>
            </w:r>
            <w:r w:rsidRPr="00FC5566">
              <w:rPr>
                <w:spacing w:val="-2"/>
                <w:sz w:val="16"/>
                <w:szCs w:val="16"/>
              </w:rPr>
              <w:t xml:space="preserve"> </w:t>
            </w:r>
            <w:r w:rsidRPr="00FC5566">
              <w:rPr>
                <w:sz w:val="16"/>
                <w:szCs w:val="16"/>
              </w:rPr>
              <w:t>the</w:t>
            </w:r>
            <w:r w:rsidRPr="00FC5566">
              <w:rPr>
                <w:spacing w:val="-3"/>
                <w:sz w:val="16"/>
                <w:szCs w:val="16"/>
              </w:rPr>
              <w:t xml:space="preserve"> </w:t>
            </w:r>
            <w:r w:rsidRPr="00FC5566">
              <w:rPr>
                <w:sz w:val="16"/>
                <w:szCs w:val="16"/>
              </w:rPr>
              <w:t>caregiver</w:t>
            </w:r>
            <w:r w:rsidRPr="00FC5566">
              <w:rPr>
                <w:spacing w:val="-2"/>
                <w:sz w:val="16"/>
                <w:szCs w:val="16"/>
              </w:rPr>
              <w:t xml:space="preserve"> </w:t>
            </w:r>
            <w:r w:rsidRPr="00FC5566">
              <w:rPr>
                <w:sz w:val="16"/>
                <w:szCs w:val="16"/>
              </w:rPr>
              <w:t>and</w:t>
            </w:r>
            <w:r w:rsidRPr="00FC5566">
              <w:rPr>
                <w:spacing w:val="-2"/>
                <w:sz w:val="16"/>
                <w:szCs w:val="16"/>
              </w:rPr>
              <w:t xml:space="preserve"> </w:t>
            </w:r>
            <w:r w:rsidRPr="00FC5566">
              <w:rPr>
                <w:sz w:val="16"/>
                <w:szCs w:val="16"/>
              </w:rPr>
              <w:t>unaccompanied</w:t>
            </w:r>
            <w:r w:rsidRPr="00FC5566">
              <w:rPr>
                <w:spacing w:val="-2"/>
                <w:sz w:val="16"/>
                <w:szCs w:val="16"/>
              </w:rPr>
              <w:t xml:space="preserve"> </w:t>
            </w:r>
            <w:r w:rsidRPr="00FC5566">
              <w:rPr>
                <w:sz w:val="16"/>
                <w:szCs w:val="16"/>
              </w:rPr>
              <w:t>by</w:t>
            </w:r>
            <w:r w:rsidRPr="00FC5566">
              <w:rPr>
                <w:spacing w:val="-4"/>
                <w:sz w:val="16"/>
                <w:szCs w:val="16"/>
              </w:rPr>
              <w:t xml:space="preserve"> </w:t>
            </w:r>
            <w:r w:rsidRPr="00FC5566">
              <w:rPr>
                <w:sz w:val="16"/>
                <w:szCs w:val="16"/>
              </w:rPr>
              <w:t>parent or</w:t>
            </w:r>
            <w:r w:rsidRPr="00FC5566">
              <w:rPr>
                <w:spacing w:val="-2"/>
                <w:sz w:val="16"/>
                <w:szCs w:val="16"/>
              </w:rPr>
              <w:t xml:space="preserve"> </w:t>
            </w:r>
            <w:r w:rsidRPr="00FC5566">
              <w:rPr>
                <w:sz w:val="16"/>
                <w:szCs w:val="16"/>
              </w:rPr>
              <w:t>guardian, on a</w:t>
            </w:r>
            <w:r w:rsidRPr="00FC5566">
              <w:rPr>
                <w:spacing w:val="40"/>
                <w:sz w:val="16"/>
                <w:szCs w:val="16"/>
              </w:rPr>
              <w:t xml:space="preserve"> </w:t>
            </w:r>
            <w:r w:rsidRPr="00FC5566">
              <w:rPr>
                <w:sz w:val="16"/>
                <w:szCs w:val="16"/>
              </w:rPr>
              <w:t>regular basis, for</w:t>
            </w:r>
            <w:r w:rsidRPr="00FC5566">
              <w:rPr>
                <w:spacing w:val="-2"/>
                <w:sz w:val="16"/>
                <w:szCs w:val="16"/>
              </w:rPr>
              <w:t xml:space="preserve"> </w:t>
            </w:r>
            <w:r w:rsidRPr="00FC5566">
              <w:rPr>
                <w:sz w:val="16"/>
                <w:szCs w:val="16"/>
              </w:rPr>
              <w:t>a total of</w:t>
            </w:r>
            <w:r w:rsidRPr="00FC5566">
              <w:rPr>
                <w:spacing w:val="-2"/>
                <w:sz w:val="16"/>
                <w:szCs w:val="16"/>
              </w:rPr>
              <w:t xml:space="preserve"> </w:t>
            </w:r>
            <w:r w:rsidRPr="00FC5566">
              <w:rPr>
                <w:sz w:val="16"/>
                <w:szCs w:val="16"/>
              </w:rPr>
              <w:t>at least 20 hours</w:t>
            </w:r>
            <w:r w:rsidRPr="00FC5566">
              <w:rPr>
                <w:spacing w:val="-1"/>
                <w:sz w:val="16"/>
                <w:szCs w:val="16"/>
              </w:rPr>
              <w:t xml:space="preserve"> </w:t>
            </w:r>
            <w:r w:rsidRPr="00FC5566">
              <w:rPr>
                <w:sz w:val="16"/>
                <w:szCs w:val="16"/>
              </w:rPr>
              <w:t>in a continuous seven day</w:t>
            </w:r>
            <w:r w:rsidRPr="00FC5566">
              <w:rPr>
                <w:spacing w:val="-2"/>
                <w:sz w:val="16"/>
                <w:szCs w:val="16"/>
              </w:rPr>
              <w:t xml:space="preserve"> </w:t>
            </w:r>
            <w:r w:rsidRPr="00FC5566">
              <w:rPr>
                <w:sz w:val="16"/>
                <w:szCs w:val="16"/>
              </w:rPr>
              <w:t>week in a place other than the person's</w:t>
            </w:r>
            <w:r w:rsidRPr="00FC5566">
              <w:rPr>
                <w:spacing w:val="-1"/>
                <w:sz w:val="16"/>
                <w:szCs w:val="16"/>
              </w:rPr>
              <w:t xml:space="preserve"> </w:t>
            </w:r>
            <w:r w:rsidRPr="00FC5566">
              <w:rPr>
                <w:sz w:val="16"/>
                <w:szCs w:val="16"/>
              </w:rPr>
              <w:t>home.</w:t>
            </w:r>
          </w:p>
          <w:p w14:paraId="3E083182" w14:textId="77777777" w:rsidR="00FC5566" w:rsidRPr="00FC5566" w:rsidRDefault="00FC5566" w:rsidP="00FC5566">
            <w:pPr>
              <w:widowControl w:val="0"/>
              <w:autoSpaceDE w:val="0"/>
              <w:autoSpaceDN w:val="0"/>
              <w:ind w:left="91" w:right="90"/>
              <w:rPr>
                <w:sz w:val="16"/>
                <w:szCs w:val="16"/>
              </w:rPr>
            </w:pPr>
            <w:r w:rsidRPr="00FC5566">
              <w:rPr>
                <w:sz w:val="16"/>
                <w:szCs w:val="16"/>
              </w:rPr>
              <w:t>This</w:t>
            </w:r>
            <w:r w:rsidRPr="00FC5566">
              <w:rPr>
                <w:spacing w:val="-7"/>
                <w:sz w:val="16"/>
                <w:szCs w:val="16"/>
              </w:rPr>
              <w:t xml:space="preserve"> </w:t>
            </w:r>
            <w:r w:rsidRPr="00FC5566">
              <w:rPr>
                <w:sz w:val="16"/>
                <w:szCs w:val="16"/>
              </w:rPr>
              <w:t>definition</w:t>
            </w:r>
            <w:r w:rsidRPr="00FC5566">
              <w:rPr>
                <w:spacing w:val="-6"/>
                <w:sz w:val="16"/>
                <w:szCs w:val="16"/>
              </w:rPr>
              <w:t xml:space="preserve"> </w:t>
            </w:r>
            <w:r w:rsidRPr="00FC5566">
              <w:rPr>
                <w:sz w:val="16"/>
                <w:szCs w:val="16"/>
              </w:rPr>
              <w:t>would</w:t>
            </w:r>
            <w:r w:rsidRPr="00FC5566">
              <w:rPr>
                <w:spacing w:val="-6"/>
                <w:sz w:val="16"/>
                <w:szCs w:val="16"/>
              </w:rPr>
              <w:t xml:space="preserve"> </w:t>
            </w:r>
            <w:r w:rsidRPr="00FC5566">
              <w:rPr>
                <w:sz w:val="16"/>
                <w:szCs w:val="16"/>
              </w:rPr>
              <w:t>not</w:t>
            </w:r>
            <w:r w:rsidRPr="00FC5566">
              <w:rPr>
                <w:spacing w:val="-7"/>
                <w:sz w:val="16"/>
                <w:szCs w:val="16"/>
              </w:rPr>
              <w:t xml:space="preserve"> </w:t>
            </w:r>
            <w:r w:rsidRPr="00FC5566">
              <w:rPr>
                <w:sz w:val="16"/>
                <w:szCs w:val="16"/>
              </w:rPr>
              <w:t>include</w:t>
            </w:r>
            <w:r w:rsidRPr="00FC5566">
              <w:rPr>
                <w:spacing w:val="-9"/>
                <w:sz w:val="16"/>
                <w:szCs w:val="16"/>
              </w:rPr>
              <w:t xml:space="preserve"> </w:t>
            </w:r>
            <w:r w:rsidRPr="00FC5566">
              <w:rPr>
                <w:sz w:val="16"/>
                <w:szCs w:val="16"/>
              </w:rPr>
              <w:t>Applied</w:t>
            </w:r>
            <w:r w:rsidRPr="00FC5566">
              <w:rPr>
                <w:spacing w:val="-7"/>
                <w:sz w:val="16"/>
                <w:szCs w:val="16"/>
              </w:rPr>
              <w:t xml:space="preserve"> </w:t>
            </w:r>
            <w:r w:rsidRPr="00FC5566">
              <w:rPr>
                <w:sz w:val="16"/>
                <w:szCs w:val="16"/>
              </w:rPr>
              <w:t>Behavior</w:t>
            </w:r>
            <w:r w:rsidRPr="00FC5566">
              <w:rPr>
                <w:spacing w:val="-8"/>
                <w:sz w:val="16"/>
                <w:szCs w:val="16"/>
              </w:rPr>
              <w:t xml:space="preserve"> </w:t>
            </w:r>
            <w:r w:rsidRPr="00FC5566">
              <w:rPr>
                <w:sz w:val="16"/>
                <w:szCs w:val="16"/>
              </w:rPr>
              <w:t>Analyst</w:t>
            </w:r>
            <w:r w:rsidRPr="00FC5566">
              <w:rPr>
                <w:spacing w:val="-5"/>
                <w:sz w:val="16"/>
                <w:szCs w:val="16"/>
              </w:rPr>
              <w:t xml:space="preserve"> </w:t>
            </w:r>
            <w:r w:rsidRPr="00FC5566">
              <w:rPr>
                <w:spacing w:val="-2"/>
                <w:sz w:val="16"/>
                <w:szCs w:val="16"/>
              </w:rPr>
              <w:t>occupancies.</w:t>
            </w:r>
          </w:p>
        </w:tc>
      </w:tr>
      <w:tr w:rsidR="00FC5566" w:rsidRPr="00FC5566" w14:paraId="4B7757C8" w14:textId="77777777" w:rsidTr="00B247D5">
        <w:trPr>
          <w:trHeight w:val="187"/>
        </w:trPr>
        <w:tc>
          <w:tcPr>
            <w:tcW w:w="1072" w:type="dxa"/>
          </w:tcPr>
          <w:p w14:paraId="13FBE159" w14:textId="77777777" w:rsidR="00FC5566" w:rsidRPr="00FC5566" w:rsidRDefault="00FC5566" w:rsidP="00FC5566">
            <w:pPr>
              <w:widowControl w:val="0"/>
              <w:autoSpaceDE w:val="0"/>
              <w:autoSpaceDN w:val="0"/>
              <w:jc w:val="center"/>
              <w:rPr>
                <w:sz w:val="16"/>
                <w:szCs w:val="16"/>
              </w:rPr>
            </w:pPr>
            <w:r w:rsidRPr="00FC5566">
              <w:rPr>
                <w:spacing w:val="-2"/>
                <w:sz w:val="16"/>
                <w:szCs w:val="16"/>
              </w:rPr>
              <w:t>Adopt</w:t>
            </w:r>
          </w:p>
        </w:tc>
        <w:tc>
          <w:tcPr>
            <w:tcW w:w="2415" w:type="dxa"/>
            <w:gridSpan w:val="2"/>
          </w:tcPr>
          <w:p w14:paraId="4100D232" w14:textId="77777777" w:rsidR="00FC5566" w:rsidRPr="00FC5566" w:rsidRDefault="00FC5566" w:rsidP="00FC5566">
            <w:pPr>
              <w:widowControl w:val="0"/>
              <w:autoSpaceDE w:val="0"/>
              <w:autoSpaceDN w:val="0"/>
              <w:ind w:left="108" w:right="85"/>
              <w:rPr>
                <w:sz w:val="16"/>
                <w:szCs w:val="16"/>
              </w:rPr>
            </w:pPr>
            <w:r w:rsidRPr="00FC5566">
              <w:rPr>
                <w:i/>
                <w:sz w:val="16"/>
                <w:szCs w:val="16"/>
              </w:rPr>
              <w:t>Barometric</w:t>
            </w:r>
            <w:r w:rsidRPr="00FC5566">
              <w:rPr>
                <w:i/>
                <w:spacing w:val="-8"/>
                <w:sz w:val="16"/>
                <w:szCs w:val="16"/>
              </w:rPr>
              <w:t xml:space="preserve"> </w:t>
            </w:r>
            <w:r w:rsidRPr="00FC5566">
              <w:rPr>
                <w:i/>
                <w:spacing w:val="-4"/>
                <w:sz w:val="16"/>
                <w:szCs w:val="16"/>
              </w:rPr>
              <w:t>Loop</w:t>
            </w:r>
          </w:p>
        </w:tc>
        <w:tc>
          <w:tcPr>
            <w:tcW w:w="7043" w:type="dxa"/>
            <w:gridSpan w:val="2"/>
          </w:tcPr>
          <w:p w14:paraId="578CB136" w14:textId="77777777" w:rsidR="00FC5566" w:rsidRPr="00FC5566" w:rsidRDefault="00FC5566" w:rsidP="00FC5566">
            <w:pPr>
              <w:widowControl w:val="0"/>
              <w:autoSpaceDE w:val="0"/>
              <w:autoSpaceDN w:val="0"/>
              <w:ind w:left="91" w:right="90"/>
              <w:rPr>
                <w:sz w:val="16"/>
                <w:szCs w:val="16"/>
              </w:rPr>
            </w:pPr>
            <w:r w:rsidRPr="00FC5566">
              <w:rPr>
                <w:sz w:val="16"/>
                <w:szCs w:val="16"/>
              </w:rPr>
              <w:t>Barometric Loop. A</w:t>
            </w:r>
            <w:r w:rsidRPr="00FC5566">
              <w:rPr>
                <w:spacing w:val="-4"/>
                <w:sz w:val="16"/>
                <w:szCs w:val="16"/>
              </w:rPr>
              <w:t xml:space="preserve"> </w:t>
            </w:r>
            <w:r w:rsidRPr="00FC5566">
              <w:rPr>
                <w:sz w:val="16"/>
                <w:szCs w:val="16"/>
              </w:rPr>
              <w:t>fabricated piping arrangement rising at least</w:t>
            </w:r>
            <w:r w:rsidRPr="00FC5566">
              <w:rPr>
                <w:spacing w:val="-1"/>
                <w:sz w:val="16"/>
                <w:szCs w:val="16"/>
              </w:rPr>
              <w:t xml:space="preserve"> </w:t>
            </w:r>
            <w:r w:rsidRPr="00FC5566">
              <w:rPr>
                <w:sz w:val="16"/>
                <w:szCs w:val="16"/>
              </w:rPr>
              <w:t>35</w:t>
            </w:r>
            <w:r w:rsidRPr="00FC5566">
              <w:rPr>
                <w:spacing w:val="1"/>
                <w:sz w:val="16"/>
                <w:szCs w:val="16"/>
              </w:rPr>
              <w:t xml:space="preserve"> </w:t>
            </w:r>
            <w:r w:rsidRPr="00FC5566">
              <w:rPr>
                <w:sz w:val="16"/>
                <w:szCs w:val="16"/>
              </w:rPr>
              <w:t>feet</w:t>
            </w:r>
            <w:r w:rsidRPr="00FC5566">
              <w:rPr>
                <w:spacing w:val="1"/>
                <w:sz w:val="16"/>
                <w:szCs w:val="16"/>
              </w:rPr>
              <w:t xml:space="preserve"> </w:t>
            </w:r>
            <w:r w:rsidRPr="00FC5566">
              <w:rPr>
                <w:sz w:val="16"/>
                <w:szCs w:val="16"/>
              </w:rPr>
              <w:t>at</w:t>
            </w:r>
            <w:r w:rsidRPr="00FC5566">
              <w:rPr>
                <w:spacing w:val="1"/>
                <w:sz w:val="16"/>
                <w:szCs w:val="16"/>
              </w:rPr>
              <w:t xml:space="preserve"> </w:t>
            </w:r>
            <w:r w:rsidRPr="00FC5566">
              <w:rPr>
                <w:sz w:val="16"/>
                <w:szCs w:val="16"/>
              </w:rPr>
              <w:t>its</w:t>
            </w:r>
            <w:r w:rsidRPr="00FC5566">
              <w:rPr>
                <w:spacing w:val="-2"/>
                <w:sz w:val="16"/>
                <w:szCs w:val="16"/>
              </w:rPr>
              <w:t xml:space="preserve"> </w:t>
            </w:r>
            <w:r w:rsidRPr="00FC5566">
              <w:rPr>
                <w:sz w:val="16"/>
                <w:szCs w:val="16"/>
              </w:rPr>
              <w:t>topmost</w:t>
            </w:r>
            <w:r w:rsidRPr="00FC5566">
              <w:rPr>
                <w:spacing w:val="-1"/>
                <w:sz w:val="16"/>
                <w:szCs w:val="16"/>
              </w:rPr>
              <w:t xml:space="preserve"> </w:t>
            </w:r>
            <w:r w:rsidRPr="00FC5566">
              <w:rPr>
                <w:sz w:val="16"/>
                <w:szCs w:val="16"/>
              </w:rPr>
              <w:t>point</w:t>
            </w:r>
            <w:r w:rsidRPr="00FC5566">
              <w:rPr>
                <w:spacing w:val="-3"/>
                <w:sz w:val="16"/>
                <w:szCs w:val="16"/>
              </w:rPr>
              <w:t xml:space="preserve"> </w:t>
            </w:r>
            <w:r w:rsidRPr="00FC5566">
              <w:rPr>
                <w:sz w:val="16"/>
                <w:szCs w:val="16"/>
              </w:rPr>
              <w:t>above the</w:t>
            </w:r>
            <w:r w:rsidRPr="00FC5566">
              <w:rPr>
                <w:spacing w:val="-1"/>
                <w:sz w:val="16"/>
                <w:szCs w:val="16"/>
              </w:rPr>
              <w:t xml:space="preserve"> </w:t>
            </w:r>
            <w:r w:rsidRPr="00FC5566">
              <w:rPr>
                <w:sz w:val="16"/>
                <w:szCs w:val="16"/>
              </w:rPr>
              <w:t>highest</w:t>
            </w:r>
            <w:r w:rsidRPr="00FC5566">
              <w:rPr>
                <w:spacing w:val="-1"/>
                <w:sz w:val="16"/>
                <w:szCs w:val="16"/>
              </w:rPr>
              <w:t xml:space="preserve"> </w:t>
            </w:r>
            <w:r w:rsidRPr="00FC5566">
              <w:rPr>
                <w:sz w:val="16"/>
                <w:szCs w:val="16"/>
              </w:rPr>
              <w:t>fixture</w:t>
            </w:r>
            <w:r w:rsidRPr="00FC5566">
              <w:rPr>
                <w:spacing w:val="-1"/>
                <w:sz w:val="16"/>
                <w:szCs w:val="16"/>
              </w:rPr>
              <w:t xml:space="preserve"> </w:t>
            </w:r>
            <w:r w:rsidRPr="00FC5566">
              <w:rPr>
                <w:sz w:val="16"/>
                <w:szCs w:val="16"/>
              </w:rPr>
              <w:t>it</w:t>
            </w:r>
            <w:r w:rsidRPr="00FC5566">
              <w:rPr>
                <w:spacing w:val="-1"/>
                <w:sz w:val="16"/>
                <w:szCs w:val="16"/>
              </w:rPr>
              <w:t xml:space="preserve"> </w:t>
            </w:r>
            <w:r w:rsidRPr="00FC5566">
              <w:rPr>
                <w:sz w:val="16"/>
                <w:szCs w:val="16"/>
              </w:rPr>
              <w:t>supplies.</w:t>
            </w:r>
            <w:r w:rsidRPr="00FC5566">
              <w:rPr>
                <w:spacing w:val="1"/>
                <w:sz w:val="16"/>
                <w:szCs w:val="16"/>
              </w:rPr>
              <w:t xml:space="preserve"> </w:t>
            </w:r>
            <w:r w:rsidRPr="00FC5566">
              <w:rPr>
                <w:sz w:val="16"/>
                <w:szCs w:val="16"/>
              </w:rPr>
              <w:t xml:space="preserve">It </w:t>
            </w:r>
            <w:r w:rsidRPr="00FC5566">
              <w:rPr>
                <w:spacing w:val="-5"/>
                <w:sz w:val="16"/>
                <w:szCs w:val="16"/>
              </w:rPr>
              <w:t>is</w:t>
            </w:r>
            <w:r w:rsidRPr="00FC5566">
              <w:rPr>
                <w:sz w:val="16"/>
                <w:szCs w:val="16"/>
              </w:rPr>
              <w:t xml:space="preserve"> utilized</w:t>
            </w:r>
            <w:r w:rsidRPr="00FC5566">
              <w:rPr>
                <w:spacing w:val="-5"/>
                <w:sz w:val="16"/>
                <w:szCs w:val="16"/>
              </w:rPr>
              <w:t xml:space="preserve"> </w:t>
            </w:r>
            <w:r w:rsidRPr="00FC5566">
              <w:rPr>
                <w:sz w:val="16"/>
                <w:szCs w:val="16"/>
              </w:rPr>
              <w:t>in</w:t>
            </w:r>
            <w:r w:rsidRPr="00FC5566">
              <w:rPr>
                <w:spacing w:val="-7"/>
                <w:sz w:val="16"/>
                <w:szCs w:val="16"/>
              </w:rPr>
              <w:t xml:space="preserve"> </w:t>
            </w:r>
            <w:r w:rsidRPr="00FC5566">
              <w:rPr>
                <w:sz w:val="16"/>
                <w:szCs w:val="16"/>
              </w:rPr>
              <w:t>water</w:t>
            </w:r>
            <w:r w:rsidRPr="00FC5566">
              <w:rPr>
                <w:spacing w:val="-6"/>
                <w:sz w:val="16"/>
                <w:szCs w:val="16"/>
              </w:rPr>
              <w:t xml:space="preserve"> </w:t>
            </w:r>
            <w:r w:rsidRPr="00FC5566">
              <w:rPr>
                <w:sz w:val="16"/>
                <w:szCs w:val="16"/>
              </w:rPr>
              <w:t>supply</w:t>
            </w:r>
            <w:r w:rsidRPr="00FC5566">
              <w:rPr>
                <w:spacing w:val="-9"/>
                <w:sz w:val="16"/>
                <w:szCs w:val="16"/>
              </w:rPr>
              <w:t xml:space="preserve"> </w:t>
            </w:r>
            <w:r w:rsidRPr="00FC5566">
              <w:rPr>
                <w:sz w:val="16"/>
                <w:szCs w:val="16"/>
              </w:rPr>
              <w:t>systems</w:t>
            </w:r>
            <w:r w:rsidRPr="00FC5566">
              <w:rPr>
                <w:spacing w:val="-5"/>
                <w:sz w:val="16"/>
                <w:szCs w:val="16"/>
              </w:rPr>
              <w:t xml:space="preserve"> </w:t>
            </w:r>
            <w:r w:rsidRPr="00FC5566">
              <w:rPr>
                <w:sz w:val="16"/>
                <w:szCs w:val="16"/>
              </w:rPr>
              <w:t>to</w:t>
            </w:r>
            <w:r w:rsidRPr="00FC5566">
              <w:rPr>
                <w:spacing w:val="-7"/>
                <w:sz w:val="16"/>
                <w:szCs w:val="16"/>
              </w:rPr>
              <w:t xml:space="preserve"> </w:t>
            </w:r>
            <w:r w:rsidRPr="00FC5566">
              <w:rPr>
                <w:sz w:val="16"/>
                <w:szCs w:val="16"/>
              </w:rPr>
              <w:t>protect</w:t>
            </w:r>
            <w:r w:rsidRPr="00FC5566">
              <w:rPr>
                <w:spacing w:val="-5"/>
                <w:sz w:val="16"/>
                <w:szCs w:val="16"/>
              </w:rPr>
              <w:t xml:space="preserve"> </w:t>
            </w:r>
            <w:r w:rsidRPr="00FC5566">
              <w:rPr>
                <w:sz w:val="16"/>
                <w:szCs w:val="16"/>
              </w:rPr>
              <w:t>against</w:t>
            </w:r>
            <w:r w:rsidRPr="00FC5566">
              <w:rPr>
                <w:spacing w:val="-6"/>
                <w:sz w:val="16"/>
                <w:szCs w:val="16"/>
              </w:rPr>
              <w:t xml:space="preserve"> </w:t>
            </w:r>
            <w:r w:rsidRPr="00FC5566">
              <w:rPr>
                <w:sz w:val="16"/>
                <w:szCs w:val="16"/>
              </w:rPr>
              <w:t>backsiphonage</w:t>
            </w:r>
            <w:r w:rsidRPr="00FC5566">
              <w:rPr>
                <w:spacing w:val="-7"/>
                <w:sz w:val="16"/>
                <w:szCs w:val="16"/>
              </w:rPr>
              <w:t xml:space="preserve"> </w:t>
            </w:r>
            <w:r w:rsidRPr="00FC5566">
              <w:rPr>
                <w:spacing w:val="-2"/>
                <w:sz w:val="16"/>
                <w:szCs w:val="16"/>
              </w:rPr>
              <w:t>backflow.</w:t>
            </w:r>
          </w:p>
        </w:tc>
      </w:tr>
      <w:tr w:rsidR="00FC5566" w:rsidRPr="00FC5566" w14:paraId="784BB9EF"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3C6F7477" w14:textId="77777777" w:rsidR="00FC5566" w:rsidRPr="00FC5566" w:rsidRDefault="00FC5566" w:rsidP="00FC5566">
            <w:pPr>
              <w:widowControl w:val="0"/>
              <w:autoSpaceDE w:val="0"/>
              <w:autoSpaceDN w:val="0"/>
              <w:jc w:val="center"/>
              <w:rPr>
                <w:sz w:val="16"/>
                <w:szCs w:val="16"/>
              </w:rPr>
            </w:pPr>
            <w:r w:rsidRPr="00FC5566">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1AD3C6C9" w14:textId="77777777" w:rsidR="00FC5566" w:rsidRPr="00FC5566" w:rsidRDefault="00FC5566" w:rsidP="00FC5566">
            <w:pPr>
              <w:widowControl w:val="0"/>
              <w:autoSpaceDE w:val="0"/>
              <w:autoSpaceDN w:val="0"/>
              <w:ind w:left="108" w:right="85"/>
              <w:rPr>
                <w:i/>
                <w:sz w:val="16"/>
                <w:szCs w:val="16"/>
              </w:rPr>
            </w:pPr>
            <w:r w:rsidRPr="00FC5566">
              <w:rPr>
                <w:i/>
                <w:sz w:val="16"/>
                <w:szCs w:val="16"/>
              </w:rPr>
              <w:t>Water Supplier</w:t>
            </w:r>
          </w:p>
        </w:tc>
        <w:tc>
          <w:tcPr>
            <w:tcW w:w="7043" w:type="dxa"/>
            <w:gridSpan w:val="2"/>
            <w:tcBorders>
              <w:top w:val="single" w:sz="6" w:space="0" w:color="000000"/>
              <w:left w:val="single" w:sz="6" w:space="0" w:color="000000"/>
              <w:bottom w:val="single" w:sz="6" w:space="0" w:color="000000"/>
              <w:right w:val="single" w:sz="6" w:space="0" w:color="000000"/>
            </w:tcBorders>
          </w:tcPr>
          <w:p w14:paraId="497DC06C" w14:textId="77777777" w:rsidR="00FC5566" w:rsidRPr="00FC5566" w:rsidRDefault="00FC5566" w:rsidP="00FC5566">
            <w:pPr>
              <w:widowControl w:val="0"/>
              <w:autoSpaceDE w:val="0"/>
              <w:autoSpaceDN w:val="0"/>
              <w:ind w:left="91" w:right="90"/>
              <w:jc w:val="both"/>
              <w:rPr>
                <w:sz w:val="16"/>
                <w:szCs w:val="16"/>
              </w:rPr>
            </w:pPr>
            <w:r w:rsidRPr="00FC5566">
              <w:rPr>
                <w:sz w:val="16"/>
                <w:szCs w:val="16"/>
              </w:rPr>
              <w:t>Water Supplier. A person who owns or operates a water supply system including, but not limited to, a person who owns or operates a public water system.</w:t>
            </w:r>
          </w:p>
        </w:tc>
      </w:tr>
      <w:tr w:rsidR="00FC5566" w:rsidRPr="00FC5566" w14:paraId="0D102BAD" w14:textId="77777777" w:rsidTr="00B247D5">
        <w:trPr>
          <w:trHeight w:val="274"/>
        </w:trPr>
        <w:tc>
          <w:tcPr>
            <w:tcW w:w="1072" w:type="dxa"/>
            <w:tcBorders>
              <w:top w:val="single" w:sz="6" w:space="0" w:color="000000"/>
              <w:left w:val="single" w:sz="6" w:space="0" w:color="000000"/>
              <w:bottom w:val="single" w:sz="6" w:space="0" w:color="000000"/>
              <w:right w:val="single" w:sz="6" w:space="0" w:color="000000"/>
            </w:tcBorders>
          </w:tcPr>
          <w:p w14:paraId="0C2909B4" w14:textId="77777777" w:rsidR="00FC5566" w:rsidRPr="00FC5566" w:rsidRDefault="00FC5566" w:rsidP="00FC5566">
            <w:pPr>
              <w:widowControl w:val="0"/>
              <w:autoSpaceDE w:val="0"/>
              <w:autoSpaceDN w:val="0"/>
              <w:jc w:val="center"/>
              <w:rPr>
                <w:sz w:val="16"/>
                <w:szCs w:val="16"/>
                <w:highlight w:val="yellow"/>
              </w:rPr>
            </w:pPr>
            <w:r w:rsidRPr="00FC5566">
              <w:rPr>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1D65E5E1" w14:textId="77777777" w:rsidR="00FC5566" w:rsidRPr="00FC5566" w:rsidRDefault="00FC5566" w:rsidP="00FC5566">
            <w:pPr>
              <w:widowControl w:val="0"/>
              <w:autoSpaceDE w:val="0"/>
              <w:autoSpaceDN w:val="0"/>
              <w:ind w:left="108" w:right="85"/>
              <w:rPr>
                <w:i/>
                <w:sz w:val="16"/>
                <w:szCs w:val="16"/>
                <w:highlight w:val="yellow"/>
              </w:rPr>
            </w:pPr>
            <w:r w:rsidRPr="00FC5566">
              <w:rPr>
                <w:iCs/>
                <w:sz w:val="16"/>
                <w:szCs w:val="16"/>
              </w:rPr>
              <w:t>Chapter 3, General Regulations</w:t>
            </w:r>
          </w:p>
        </w:tc>
        <w:tc>
          <w:tcPr>
            <w:tcW w:w="7043" w:type="dxa"/>
            <w:gridSpan w:val="2"/>
            <w:tcBorders>
              <w:top w:val="single" w:sz="6" w:space="0" w:color="000000"/>
              <w:left w:val="single" w:sz="6" w:space="0" w:color="000000"/>
              <w:bottom w:val="single" w:sz="6" w:space="0" w:color="000000"/>
              <w:right w:val="single" w:sz="6" w:space="0" w:color="000000"/>
            </w:tcBorders>
          </w:tcPr>
          <w:p w14:paraId="6930B803" w14:textId="77777777" w:rsidR="00FC5566" w:rsidRPr="00FC5566" w:rsidRDefault="00FC5566" w:rsidP="00FC5566">
            <w:pPr>
              <w:widowControl w:val="0"/>
              <w:autoSpaceDE w:val="0"/>
              <w:autoSpaceDN w:val="0"/>
              <w:ind w:left="91" w:right="90"/>
              <w:rPr>
                <w:sz w:val="16"/>
                <w:szCs w:val="16"/>
                <w:highlight w:val="yellow"/>
              </w:rPr>
            </w:pPr>
          </w:p>
        </w:tc>
      </w:tr>
      <w:tr w:rsidR="00FC5566" w:rsidRPr="00FC5566" w14:paraId="02A9EE5E"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4068447E"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7B187BE6" w14:textId="77777777" w:rsidR="00FC5566" w:rsidRPr="00FC5566" w:rsidRDefault="00FC5566" w:rsidP="00FC5566">
            <w:pPr>
              <w:widowControl w:val="0"/>
              <w:autoSpaceDE w:val="0"/>
              <w:autoSpaceDN w:val="0"/>
              <w:ind w:left="108" w:right="85"/>
              <w:rPr>
                <w:iCs/>
                <w:sz w:val="16"/>
                <w:szCs w:val="16"/>
              </w:rPr>
            </w:pPr>
            <w:r w:rsidRPr="00FC5566">
              <w:rPr>
                <w:iCs/>
                <w:sz w:val="16"/>
                <w:szCs w:val="16"/>
              </w:rPr>
              <w:t>Section 305.9, Protection of Plumbing System from Potential Legionella Growth.</w:t>
            </w:r>
          </w:p>
        </w:tc>
        <w:tc>
          <w:tcPr>
            <w:tcW w:w="7043" w:type="dxa"/>
            <w:gridSpan w:val="2"/>
            <w:tcBorders>
              <w:top w:val="single" w:sz="6" w:space="0" w:color="000000"/>
              <w:left w:val="single" w:sz="6" w:space="0" w:color="000000"/>
              <w:bottom w:val="single" w:sz="6" w:space="0" w:color="000000"/>
              <w:right w:val="single" w:sz="6" w:space="0" w:color="000000"/>
            </w:tcBorders>
          </w:tcPr>
          <w:p w14:paraId="7556167F" w14:textId="77777777" w:rsidR="00FC5566" w:rsidRPr="00FC5566" w:rsidRDefault="00FC5566" w:rsidP="00FC5566">
            <w:pPr>
              <w:widowControl w:val="0"/>
              <w:autoSpaceDE w:val="0"/>
              <w:autoSpaceDN w:val="0"/>
              <w:ind w:left="91" w:right="90"/>
              <w:rPr>
                <w:sz w:val="16"/>
                <w:szCs w:val="16"/>
              </w:rPr>
            </w:pPr>
            <w:r w:rsidRPr="00FC5566">
              <w:rPr>
                <w:sz w:val="16"/>
                <w:szCs w:val="16"/>
              </w:rPr>
              <w:t>In occupancies other than single family dwelling units, Legionella risk management shall be in accordance with ASHRAE 188 and ASHRAE Guideline 12.</w:t>
            </w:r>
          </w:p>
        </w:tc>
      </w:tr>
      <w:tr w:rsidR="00FC5566" w:rsidRPr="00FC5566" w14:paraId="11C20F26"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4C2A32BC" w14:textId="77777777" w:rsidR="00FC5566" w:rsidRPr="00FC5566" w:rsidRDefault="00FC5566" w:rsidP="00FC5566">
            <w:pPr>
              <w:widowControl w:val="0"/>
              <w:autoSpaceDE w:val="0"/>
              <w:autoSpaceDN w:val="0"/>
              <w:jc w:val="center"/>
              <w:rPr>
                <w:sz w:val="16"/>
                <w:szCs w:val="16"/>
                <w:highlight w:val="yellow"/>
              </w:rPr>
            </w:pPr>
            <w:r w:rsidRPr="00FC5566">
              <w:rPr>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09E9450C" w14:textId="77777777" w:rsidR="00FC5566" w:rsidRPr="00FC5566" w:rsidRDefault="00FC5566" w:rsidP="00FC5566">
            <w:pPr>
              <w:widowControl w:val="0"/>
              <w:autoSpaceDE w:val="0"/>
              <w:autoSpaceDN w:val="0"/>
              <w:ind w:left="108" w:right="85"/>
              <w:rPr>
                <w:i/>
                <w:sz w:val="16"/>
                <w:szCs w:val="16"/>
                <w:highlight w:val="yellow"/>
              </w:rPr>
            </w:pPr>
            <w:r w:rsidRPr="00FC5566">
              <w:rPr>
                <w:iCs/>
                <w:sz w:val="16"/>
                <w:szCs w:val="16"/>
              </w:rPr>
              <w:t>Section 312.5, Water Supply System Test.</w:t>
            </w:r>
          </w:p>
        </w:tc>
        <w:tc>
          <w:tcPr>
            <w:tcW w:w="7043" w:type="dxa"/>
            <w:gridSpan w:val="2"/>
            <w:tcBorders>
              <w:top w:val="single" w:sz="6" w:space="0" w:color="000000"/>
              <w:left w:val="single" w:sz="6" w:space="0" w:color="000000"/>
              <w:bottom w:val="single" w:sz="6" w:space="0" w:color="000000"/>
              <w:right w:val="single" w:sz="6" w:space="0" w:color="000000"/>
            </w:tcBorders>
          </w:tcPr>
          <w:p w14:paraId="550A934F" w14:textId="77777777" w:rsidR="00FC5566" w:rsidRPr="00FC5566" w:rsidRDefault="00FC5566" w:rsidP="00FC5566">
            <w:pPr>
              <w:widowControl w:val="0"/>
              <w:autoSpaceDE w:val="0"/>
              <w:autoSpaceDN w:val="0"/>
              <w:ind w:left="91" w:right="90"/>
              <w:rPr>
                <w:sz w:val="16"/>
                <w:szCs w:val="16"/>
                <w:highlight w:val="yellow"/>
              </w:rPr>
            </w:pPr>
            <w:r w:rsidRPr="00FC5566">
              <w:rPr>
                <w:sz w:val="16"/>
                <w:szCs w:val="16"/>
              </w:rPr>
              <w:t>Upon completion of a section of or the entire water supply system, during the rough-in inspection, the system, or portion completed, shall be tested and proved tight under a hydrostatic water pressure not less than 1.5 times the working pressure of the system, but not less than 100 psi; or, for piping systems other than plastic, by an air test of not less than 50 psi (344 kPa). This pressure shall be held for not less than 15 minutes. The water utilized for tests shall be obtained from a potable source of supply. The required tests shall be performed in accordance with this section and Section 111.</w:t>
            </w:r>
          </w:p>
        </w:tc>
      </w:tr>
      <w:tr w:rsidR="00FC5566" w:rsidRPr="00FC5566" w14:paraId="3463D23E"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5CCBE94A" w14:textId="77777777" w:rsidR="00FC5566" w:rsidRPr="00FC5566" w:rsidRDefault="00FC5566" w:rsidP="00FC5566">
            <w:pPr>
              <w:widowControl w:val="0"/>
              <w:autoSpaceDE w:val="0"/>
              <w:autoSpaceDN w:val="0"/>
              <w:jc w:val="center"/>
              <w:rPr>
                <w:sz w:val="16"/>
                <w:szCs w:val="16"/>
              </w:rPr>
            </w:pPr>
            <w:r w:rsidRPr="00FC5566">
              <w:rPr>
                <w:spacing w:val="-2"/>
                <w:sz w:val="16"/>
                <w:szCs w:val="16"/>
              </w:rPr>
              <w:lastRenderedPageBreak/>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15C19679" w14:textId="77777777" w:rsidR="00FC5566" w:rsidRPr="00FC5566" w:rsidRDefault="00FC5566" w:rsidP="00FC5566">
            <w:pPr>
              <w:ind w:left="96" w:right="58"/>
              <w:rPr>
                <w:iCs/>
                <w:sz w:val="16"/>
                <w:szCs w:val="16"/>
              </w:rPr>
            </w:pPr>
            <w:r w:rsidRPr="00FC5566">
              <w:rPr>
                <w:iCs/>
                <w:sz w:val="16"/>
                <w:szCs w:val="16"/>
              </w:rPr>
              <w:t>Section 312.11 Installation, Inspection and Testing of Backflow Prevention Assemblies,</w:t>
            </w:r>
          </w:p>
          <w:p w14:paraId="3EB66A96" w14:textId="77777777" w:rsidR="00FC5566" w:rsidRPr="00FC5566" w:rsidRDefault="00FC5566" w:rsidP="00FC5566">
            <w:pPr>
              <w:widowControl w:val="0"/>
              <w:autoSpaceDE w:val="0"/>
              <w:autoSpaceDN w:val="0"/>
              <w:ind w:left="108" w:right="85"/>
              <w:rPr>
                <w:i/>
                <w:sz w:val="16"/>
                <w:szCs w:val="16"/>
              </w:rPr>
            </w:pPr>
            <w:r w:rsidRPr="00FC5566">
              <w:rPr>
                <w:iCs/>
                <w:sz w:val="16"/>
                <w:szCs w:val="16"/>
              </w:rPr>
              <w:t>Barometric Loops and Air Gaps.</w:t>
            </w:r>
          </w:p>
        </w:tc>
        <w:tc>
          <w:tcPr>
            <w:tcW w:w="7043" w:type="dxa"/>
            <w:gridSpan w:val="2"/>
            <w:tcBorders>
              <w:top w:val="single" w:sz="6" w:space="0" w:color="000000"/>
              <w:left w:val="single" w:sz="6" w:space="0" w:color="000000"/>
              <w:bottom w:val="single" w:sz="6" w:space="0" w:color="000000"/>
              <w:right w:val="single" w:sz="6" w:space="0" w:color="000000"/>
            </w:tcBorders>
          </w:tcPr>
          <w:p w14:paraId="7723D308" w14:textId="77777777" w:rsidR="00FC5566" w:rsidRPr="00FC5566" w:rsidRDefault="00FC5566" w:rsidP="00FC5566">
            <w:pPr>
              <w:widowControl w:val="0"/>
              <w:autoSpaceDE w:val="0"/>
              <w:autoSpaceDN w:val="0"/>
              <w:ind w:left="91" w:right="90"/>
              <w:rPr>
                <w:sz w:val="16"/>
                <w:szCs w:val="16"/>
              </w:rPr>
            </w:pPr>
            <w:r w:rsidRPr="00FC5566">
              <w:rPr>
                <w:sz w:val="16"/>
                <w:szCs w:val="16"/>
              </w:rPr>
              <w:t>Installation, inspection and testing shall comply with Sections 312.11.1 through 312.11.3.</w:t>
            </w:r>
          </w:p>
        </w:tc>
      </w:tr>
      <w:tr w:rsidR="00FC5566" w:rsidRPr="00FC5566" w14:paraId="52C0ADF5"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74856392" w14:textId="77777777" w:rsidR="00FC5566" w:rsidRPr="00FC5566" w:rsidRDefault="00FC5566" w:rsidP="00FC5566">
            <w:pPr>
              <w:jc w:val="center"/>
              <w:rPr>
                <w:spacing w:val="-2"/>
                <w:sz w:val="16"/>
                <w:szCs w:val="16"/>
              </w:rPr>
            </w:pPr>
            <w:r w:rsidRPr="00FC5566">
              <w:rPr>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3C49CA15" w14:textId="77777777" w:rsidR="00FC5566" w:rsidRPr="00FC5566" w:rsidRDefault="00FC5566" w:rsidP="00FC5566">
            <w:pPr>
              <w:ind w:left="108" w:right="85"/>
              <w:rPr>
                <w:i/>
                <w:sz w:val="16"/>
                <w:szCs w:val="16"/>
              </w:rPr>
            </w:pPr>
            <w:r w:rsidRPr="00FC5566">
              <w:rPr>
                <w:iCs/>
                <w:sz w:val="16"/>
                <w:szCs w:val="16"/>
              </w:rPr>
              <w:t>Section 312.11.1, Inspections.</w:t>
            </w:r>
          </w:p>
        </w:tc>
        <w:tc>
          <w:tcPr>
            <w:tcW w:w="7043" w:type="dxa"/>
            <w:gridSpan w:val="2"/>
            <w:tcBorders>
              <w:top w:val="single" w:sz="6" w:space="0" w:color="000000"/>
              <w:left w:val="single" w:sz="6" w:space="0" w:color="000000"/>
              <w:bottom w:val="single" w:sz="6" w:space="0" w:color="000000"/>
              <w:right w:val="single" w:sz="6" w:space="0" w:color="000000"/>
            </w:tcBorders>
          </w:tcPr>
          <w:p w14:paraId="75DA4CC9" w14:textId="77777777" w:rsidR="00FC5566" w:rsidRPr="00FC5566" w:rsidRDefault="00FC5566" w:rsidP="00FC5566">
            <w:pPr>
              <w:ind w:left="91" w:right="90"/>
              <w:rPr>
                <w:sz w:val="16"/>
                <w:szCs w:val="16"/>
              </w:rPr>
            </w:pPr>
            <w:r w:rsidRPr="00FC5566">
              <w:rPr>
                <w:sz w:val="16"/>
                <w:szCs w:val="16"/>
              </w:rPr>
              <w:t>Annual inspections shall be made of all backflow prevention assemblies, barometric loops and air gaps to determine whether they are operable, properly installed and maintained, and meet testing/code requirements. Inspections of backflow prevention devices including barometric loops and air gaps used to protect high degree of hazard cross connections shall be documented in writing and the report provided to the owner of the backflow prevention device.</w:t>
            </w:r>
          </w:p>
        </w:tc>
      </w:tr>
      <w:tr w:rsidR="00FC5566" w:rsidRPr="00FC5566" w14:paraId="0804CF54"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44DE826B" w14:textId="77777777" w:rsidR="00FC5566" w:rsidRPr="00FC5566" w:rsidRDefault="00FC5566" w:rsidP="00FC5566">
            <w:pPr>
              <w:jc w:val="center"/>
              <w:rPr>
                <w:spacing w:val="-2"/>
                <w:sz w:val="16"/>
                <w:szCs w:val="16"/>
              </w:rPr>
            </w:pPr>
            <w:r w:rsidRPr="00FC5566">
              <w:rPr>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273E2AB9" w14:textId="77777777" w:rsidR="00FC5566" w:rsidRPr="00FC5566" w:rsidRDefault="00FC5566" w:rsidP="00FC5566">
            <w:pPr>
              <w:ind w:left="108" w:right="85"/>
              <w:rPr>
                <w:i/>
                <w:sz w:val="16"/>
                <w:szCs w:val="16"/>
              </w:rPr>
            </w:pPr>
            <w:r w:rsidRPr="00FC5566">
              <w:rPr>
                <w:iCs/>
                <w:sz w:val="16"/>
                <w:szCs w:val="16"/>
              </w:rPr>
              <w:t>Section 312.11.2, Testing.</w:t>
            </w:r>
          </w:p>
        </w:tc>
        <w:tc>
          <w:tcPr>
            <w:tcW w:w="7043" w:type="dxa"/>
            <w:gridSpan w:val="2"/>
            <w:tcBorders>
              <w:top w:val="single" w:sz="6" w:space="0" w:color="000000"/>
              <w:left w:val="single" w:sz="6" w:space="0" w:color="000000"/>
              <w:bottom w:val="single" w:sz="6" w:space="0" w:color="000000"/>
              <w:right w:val="single" w:sz="6" w:space="0" w:color="000000"/>
            </w:tcBorders>
          </w:tcPr>
          <w:p w14:paraId="16F9CB9C" w14:textId="77777777" w:rsidR="00FC5566" w:rsidRPr="00FC5566" w:rsidRDefault="00FC5566" w:rsidP="00FC5566">
            <w:pPr>
              <w:ind w:left="91" w:right="90"/>
              <w:rPr>
                <w:sz w:val="16"/>
                <w:szCs w:val="16"/>
              </w:rPr>
            </w:pPr>
            <w:r w:rsidRPr="00FC5566">
              <w:rPr>
                <w:sz w:val="16"/>
                <w:szCs w:val="16"/>
              </w:rPr>
              <w:t>Reduced pressure principle, double-check, pressure vacuum breaker, reduced pressure detector fire protection, double check detector fire protection, and spill-resistant vacuum breaker backflow preventer assemblies shall be tested at the time of installation, immediately after repairs or relocation and at least annually. The testing procedure shall be performed in accordance with one of the following standards: ASSE 5013, ASSE 5015, ASSE 5020, ASSE 5047, ASSE 5048, ASSE 5052, ASSE 5056, CSA B64.10.1, USC’s FCCC and HR’s “Manual of Cross-Connection Control”, or UFL’s TREEO’s “Backflow Prevention—Theory and Practice”. Any backflow preventer which is found to be defective shall be repaired. Test gauges shall comply with ASSE 1064.</w:t>
            </w:r>
          </w:p>
        </w:tc>
      </w:tr>
      <w:tr w:rsidR="00FC5566" w:rsidRPr="00FC5566" w14:paraId="01E47BB5"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3B929113" w14:textId="77777777" w:rsidR="00FC5566" w:rsidRPr="00FC5566" w:rsidRDefault="00FC5566" w:rsidP="00FC5566">
            <w:pPr>
              <w:jc w:val="center"/>
              <w:rPr>
                <w:spacing w:val="-2"/>
                <w:sz w:val="16"/>
                <w:szCs w:val="16"/>
              </w:rPr>
            </w:pPr>
            <w:r w:rsidRPr="00FC5566">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00D44B4A" w14:textId="77777777" w:rsidR="00FC5566" w:rsidRPr="00FC5566" w:rsidRDefault="00FC5566" w:rsidP="00FC5566">
            <w:pPr>
              <w:ind w:left="96" w:right="58"/>
              <w:rPr>
                <w:iCs/>
                <w:sz w:val="16"/>
                <w:szCs w:val="16"/>
              </w:rPr>
            </w:pPr>
            <w:r w:rsidRPr="00FC5566">
              <w:rPr>
                <w:iCs/>
                <w:sz w:val="16"/>
                <w:szCs w:val="16"/>
              </w:rPr>
              <w:t>Section 312.11.3, Owner</w:t>
            </w:r>
          </w:p>
          <w:p w14:paraId="6B591100" w14:textId="77777777" w:rsidR="00FC5566" w:rsidRPr="00FC5566" w:rsidRDefault="00FC5566" w:rsidP="00FC5566">
            <w:pPr>
              <w:ind w:left="108" w:right="85"/>
              <w:rPr>
                <w:i/>
                <w:sz w:val="16"/>
                <w:szCs w:val="16"/>
              </w:rPr>
            </w:pPr>
            <w:r w:rsidRPr="00FC5566">
              <w:rPr>
                <w:iCs/>
                <w:sz w:val="16"/>
                <w:szCs w:val="16"/>
              </w:rPr>
              <w:t>Responsibilities.</w:t>
            </w:r>
          </w:p>
        </w:tc>
        <w:tc>
          <w:tcPr>
            <w:tcW w:w="7043" w:type="dxa"/>
            <w:gridSpan w:val="2"/>
            <w:tcBorders>
              <w:top w:val="single" w:sz="6" w:space="0" w:color="000000"/>
              <w:left w:val="single" w:sz="6" w:space="0" w:color="000000"/>
              <w:bottom w:val="single" w:sz="6" w:space="0" w:color="000000"/>
              <w:right w:val="single" w:sz="6" w:space="0" w:color="000000"/>
            </w:tcBorders>
          </w:tcPr>
          <w:p w14:paraId="52EE12E7" w14:textId="77777777" w:rsidR="00FC5566" w:rsidRPr="00FC5566" w:rsidRDefault="00FC5566" w:rsidP="00FC5566">
            <w:pPr>
              <w:ind w:left="91" w:right="90"/>
              <w:rPr>
                <w:sz w:val="16"/>
                <w:szCs w:val="16"/>
              </w:rPr>
            </w:pPr>
            <w:r w:rsidRPr="00FC5566">
              <w:rPr>
                <w:sz w:val="16"/>
                <w:szCs w:val="16"/>
              </w:rPr>
              <w:t>The owner of the backflow prevention assemblies shall comply with the following:</w:t>
            </w:r>
          </w:p>
          <w:p w14:paraId="12580E7F" w14:textId="77777777" w:rsidR="00FC5566" w:rsidRPr="00FC5566" w:rsidRDefault="00FC5566" w:rsidP="00FC5566">
            <w:pPr>
              <w:ind w:left="91" w:right="90"/>
              <w:rPr>
                <w:sz w:val="16"/>
                <w:szCs w:val="16"/>
              </w:rPr>
            </w:pPr>
            <w:r w:rsidRPr="00FC5566">
              <w:rPr>
                <w:sz w:val="16"/>
                <w:szCs w:val="16"/>
              </w:rPr>
              <w:t>1. It shall be the duty of the owner of the backflow prevention assembly to see that these tests are made in a timely manner in accord with the frequency of field testing specified in 312.10.2 of this code.</w:t>
            </w:r>
          </w:p>
          <w:p w14:paraId="5730EB29" w14:textId="77777777" w:rsidR="00FC5566" w:rsidRPr="00FC5566" w:rsidRDefault="00FC5566" w:rsidP="00FC5566">
            <w:pPr>
              <w:ind w:left="91" w:right="90"/>
              <w:rPr>
                <w:sz w:val="16"/>
                <w:szCs w:val="16"/>
              </w:rPr>
            </w:pPr>
            <w:r w:rsidRPr="00FC5566">
              <w:rPr>
                <w:sz w:val="16"/>
                <w:szCs w:val="16"/>
              </w:rPr>
              <w:t>2. The owner shall notify the building official, and/or water supplier (for those devices associated with</w:t>
            </w:r>
          </w:p>
          <w:p w14:paraId="0ABA799C" w14:textId="77777777" w:rsidR="00FC5566" w:rsidRPr="00FC5566" w:rsidRDefault="00FC5566" w:rsidP="00FC5566">
            <w:pPr>
              <w:ind w:left="91" w:right="90"/>
              <w:rPr>
                <w:sz w:val="16"/>
                <w:szCs w:val="16"/>
              </w:rPr>
            </w:pPr>
            <w:r w:rsidRPr="00FC5566">
              <w:rPr>
                <w:sz w:val="16"/>
                <w:szCs w:val="16"/>
              </w:rPr>
              <w:t>containment) in advance when the tests are to be undertaken so that the building official and/or water supplier may witness the tests if so desired.</w:t>
            </w:r>
          </w:p>
          <w:p w14:paraId="2ED816DC" w14:textId="77777777" w:rsidR="00FC5566" w:rsidRPr="00FC5566" w:rsidRDefault="00FC5566" w:rsidP="00FC5566">
            <w:pPr>
              <w:ind w:left="91" w:right="90"/>
              <w:rPr>
                <w:sz w:val="16"/>
                <w:szCs w:val="16"/>
              </w:rPr>
            </w:pPr>
            <w:r w:rsidRPr="00FC5566">
              <w:rPr>
                <w:sz w:val="16"/>
                <w:szCs w:val="16"/>
              </w:rPr>
              <w:t>3. Upon completion, the owner shall provide records of such tests, repairs, overhauls, or replacements to the building official or water supplier (for those devices associated with containment). In addition, all records shall be kept by the owner of the backflow prevention device or method for at least five years and, upon specific request, shall be made available to the building official or water supplier.</w:t>
            </w:r>
          </w:p>
          <w:p w14:paraId="32F1D0D0" w14:textId="77777777" w:rsidR="00FC5566" w:rsidRPr="00FC5566" w:rsidRDefault="00FC5566" w:rsidP="00FC5566">
            <w:pPr>
              <w:ind w:left="91" w:right="90"/>
              <w:rPr>
                <w:sz w:val="16"/>
                <w:szCs w:val="16"/>
              </w:rPr>
            </w:pPr>
            <w:r w:rsidRPr="00FC5566">
              <w:rPr>
                <w:sz w:val="16"/>
                <w:szCs w:val="16"/>
              </w:rPr>
              <w:t>4. All tests, repairs, overhauls or replacements shall be at the expense of the owner of the backflow preventer.</w:t>
            </w:r>
          </w:p>
        </w:tc>
      </w:tr>
      <w:tr w:rsidR="00FC5566" w:rsidRPr="00FC5566" w14:paraId="4E60A185"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356A6E73" w14:textId="77777777" w:rsidR="00FC5566" w:rsidRPr="00FC5566" w:rsidRDefault="00FC5566" w:rsidP="00FC5566">
            <w:pPr>
              <w:jc w:val="center"/>
              <w:rPr>
                <w:spacing w:val="-2"/>
                <w:sz w:val="16"/>
                <w:szCs w:val="16"/>
              </w:rPr>
            </w:pPr>
            <w:r w:rsidRPr="00FC5566">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4F1C0540" w14:textId="77777777" w:rsidR="00FC5566" w:rsidRPr="00FC5566" w:rsidRDefault="00FC5566" w:rsidP="00FC5566">
            <w:pPr>
              <w:ind w:left="108" w:right="85"/>
              <w:rPr>
                <w:iCs/>
                <w:sz w:val="16"/>
                <w:szCs w:val="16"/>
              </w:rPr>
            </w:pPr>
            <w:r w:rsidRPr="00FC5566">
              <w:rPr>
                <w:iCs/>
                <w:sz w:val="16"/>
                <w:szCs w:val="16"/>
              </w:rPr>
              <w:t>Section 312.12, Inspections of Tunneled Piping.</w:t>
            </w:r>
          </w:p>
        </w:tc>
        <w:tc>
          <w:tcPr>
            <w:tcW w:w="7043" w:type="dxa"/>
            <w:gridSpan w:val="2"/>
            <w:tcBorders>
              <w:top w:val="single" w:sz="6" w:space="0" w:color="000000"/>
              <w:left w:val="single" w:sz="6" w:space="0" w:color="000000"/>
              <w:bottom w:val="single" w:sz="6" w:space="0" w:color="000000"/>
              <w:right w:val="single" w:sz="6" w:space="0" w:color="000000"/>
            </w:tcBorders>
          </w:tcPr>
          <w:p w14:paraId="01024012" w14:textId="77777777" w:rsidR="00FC5566" w:rsidRPr="00FC5566" w:rsidRDefault="00FC5566" w:rsidP="00FC5566">
            <w:pPr>
              <w:ind w:left="91" w:right="90"/>
              <w:rPr>
                <w:sz w:val="16"/>
                <w:szCs w:val="16"/>
              </w:rPr>
            </w:pPr>
            <w:r w:rsidRPr="00FC5566">
              <w:rPr>
                <w:sz w:val="16"/>
                <w:szCs w:val="16"/>
              </w:rPr>
              <w:t xml:space="preserve">Where pipes are to be installed by tunneling, jacking or a combination of both, all necessary inspections of the piping system shall be coordinated with the local authority having jurisdiction. </w:t>
            </w:r>
          </w:p>
        </w:tc>
      </w:tr>
      <w:tr w:rsidR="00FC5566" w:rsidRPr="00FC5566" w14:paraId="7CF002D5"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6C2140E2" w14:textId="77777777" w:rsidR="00FC5566" w:rsidRPr="00FC5566" w:rsidRDefault="00FC5566" w:rsidP="00FC5566">
            <w:pPr>
              <w:jc w:val="center"/>
              <w:rPr>
                <w:spacing w:val="-2"/>
                <w:sz w:val="16"/>
                <w:szCs w:val="16"/>
                <w:highlight w:val="yellow"/>
              </w:rPr>
            </w:pPr>
            <w:r w:rsidRPr="00FC5566">
              <w:rPr>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52C3140A" w14:textId="77777777" w:rsidR="00FC5566" w:rsidRPr="00FC5566" w:rsidRDefault="00FC5566" w:rsidP="00FC5566">
            <w:pPr>
              <w:ind w:left="108" w:right="85"/>
              <w:rPr>
                <w:i/>
                <w:sz w:val="16"/>
                <w:szCs w:val="16"/>
                <w:highlight w:val="yellow"/>
              </w:rPr>
            </w:pPr>
            <w:r w:rsidRPr="00FC5566">
              <w:rPr>
                <w:iCs/>
                <w:sz w:val="16"/>
                <w:szCs w:val="16"/>
              </w:rPr>
              <w:t>Chapter 4, Fixtures, Faucets and Fixture Fittings.</w:t>
            </w:r>
          </w:p>
        </w:tc>
        <w:tc>
          <w:tcPr>
            <w:tcW w:w="7043" w:type="dxa"/>
            <w:gridSpan w:val="2"/>
            <w:tcBorders>
              <w:top w:val="single" w:sz="6" w:space="0" w:color="000000"/>
              <w:left w:val="single" w:sz="6" w:space="0" w:color="000000"/>
              <w:bottom w:val="single" w:sz="6" w:space="0" w:color="000000"/>
              <w:right w:val="single" w:sz="6" w:space="0" w:color="000000"/>
            </w:tcBorders>
          </w:tcPr>
          <w:p w14:paraId="20E499E1" w14:textId="77777777" w:rsidR="00FC5566" w:rsidRPr="00FC5566" w:rsidRDefault="00FC5566" w:rsidP="00FC5566">
            <w:pPr>
              <w:ind w:left="91" w:right="90"/>
              <w:rPr>
                <w:sz w:val="16"/>
                <w:szCs w:val="16"/>
                <w:highlight w:val="yellow"/>
              </w:rPr>
            </w:pPr>
          </w:p>
        </w:tc>
      </w:tr>
      <w:tr w:rsidR="00FC5566" w:rsidRPr="00FC5566" w14:paraId="50FE7868" w14:textId="77777777" w:rsidTr="00B247D5">
        <w:trPr>
          <w:trHeight w:val="274"/>
        </w:trPr>
        <w:tc>
          <w:tcPr>
            <w:tcW w:w="1072" w:type="dxa"/>
            <w:tcBorders>
              <w:top w:val="single" w:sz="6" w:space="0" w:color="000000"/>
              <w:left w:val="single" w:sz="6" w:space="0" w:color="000000"/>
              <w:bottom w:val="single" w:sz="6" w:space="0" w:color="000000"/>
              <w:right w:val="single" w:sz="6" w:space="0" w:color="000000"/>
            </w:tcBorders>
          </w:tcPr>
          <w:p w14:paraId="1EA9AB21" w14:textId="77777777" w:rsidR="00FC5566" w:rsidRPr="00FC5566" w:rsidRDefault="00FC5566" w:rsidP="00FC5566">
            <w:pPr>
              <w:jc w:val="center"/>
              <w:rPr>
                <w:spacing w:val="-2"/>
                <w:sz w:val="16"/>
                <w:szCs w:val="16"/>
              </w:rPr>
            </w:pPr>
            <w:r w:rsidRPr="00FC5566">
              <w:rPr>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6E16CD4E" w14:textId="77777777" w:rsidR="00FC5566" w:rsidRPr="00FC5566" w:rsidRDefault="00FC5566" w:rsidP="00FC5566">
            <w:pPr>
              <w:ind w:left="96" w:right="58"/>
              <w:rPr>
                <w:i/>
                <w:sz w:val="16"/>
                <w:szCs w:val="16"/>
              </w:rPr>
            </w:pPr>
            <w:r w:rsidRPr="00FC5566">
              <w:rPr>
                <w:iCs/>
                <w:sz w:val="16"/>
                <w:szCs w:val="16"/>
              </w:rPr>
              <w:t xml:space="preserve">Section heading (Section 403.1) </w:t>
            </w:r>
          </w:p>
        </w:tc>
        <w:tc>
          <w:tcPr>
            <w:tcW w:w="7043" w:type="dxa"/>
            <w:gridSpan w:val="2"/>
            <w:tcBorders>
              <w:top w:val="single" w:sz="6" w:space="0" w:color="000000"/>
              <w:left w:val="single" w:sz="6" w:space="0" w:color="000000"/>
              <w:bottom w:val="single" w:sz="6" w:space="0" w:color="000000"/>
              <w:right w:val="single" w:sz="6" w:space="0" w:color="000000"/>
            </w:tcBorders>
          </w:tcPr>
          <w:p w14:paraId="7BCF0BA3" w14:textId="77777777" w:rsidR="00FC5566" w:rsidRPr="00FC5566" w:rsidRDefault="00FC5566" w:rsidP="00FC5566">
            <w:pPr>
              <w:ind w:left="91" w:right="90"/>
              <w:rPr>
                <w:sz w:val="16"/>
                <w:szCs w:val="16"/>
              </w:rPr>
            </w:pPr>
            <w:r w:rsidRPr="00FC5566">
              <w:rPr>
                <w:sz w:val="16"/>
                <w:szCs w:val="16"/>
              </w:rPr>
              <w:t>Fixture Calculations</w:t>
            </w:r>
          </w:p>
        </w:tc>
      </w:tr>
      <w:tr w:rsidR="00FC5566" w:rsidRPr="00FC5566" w14:paraId="105CCA4C"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4D5E01ED" w14:textId="77777777" w:rsidR="00FC5566" w:rsidRPr="00FC5566" w:rsidRDefault="00FC5566" w:rsidP="00FC5566">
            <w:pPr>
              <w:jc w:val="center"/>
              <w:rPr>
                <w:spacing w:val="-2"/>
                <w:sz w:val="16"/>
                <w:szCs w:val="16"/>
              </w:rPr>
            </w:pPr>
            <w:r w:rsidRPr="00FC5566">
              <w:rPr>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2A7CBA44" w14:textId="77777777" w:rsidR="00FC5566" w:rsidRPr="00FC5566" w:rsidRDefault="00FC5566" w:rsidP="00FC5566">
            <w:pPr>
              <w:ind w:left="108" w:right="85"/>
              <w:rPr>
                <w:i/>
                <w:sz w:val="16"/>
                <w:szCs w:val="16"/>
              </w:rPr>
            </w:pPr>
            <w:r w:rsidRPr="00FC5566">
              <w:rPr>
                <w:iCs/>
                <w:sz w:val="16"/>
                <w:szCs w:val="16"/>
              </w:rPr>
              <w:t>Table 403.1, Minimum Number of Required Plumbing Fixtures</w:t>
            </w:r>
            <w:r w:rsidRPr="00FC5566">
              <w:rPr>
                <w:iCs/>
                <w:sz w:val="16"/>
                <w:szCs w:val="16"/>
                <w:vertAlign w:val="superscript"/>
              </w:rPr>
              <w:t>a</w:t>
            </w:r>
            <w:r w:rsidRPr="00FC5566">
              <w:rPr>
                <w:iCs/>
                <w:sz w:val="16"/>
                <w:szCs w:val="16"/>
              </w:rPr>
              <w:t xml:space="preserve"> (See Sections 403.1.1 and 403.2)</w:t>
            </w:r>
          </w:p>
        </w:tc>
        <w:tc>
          <w:tcPr>
            <w:tcW w:w="7043" w:type="dxa"/>
            <w:gridSpan w:val="2"/>
            <w:tcBorders>
              <w:top w:val="single" w:sz="6" w:space="0" w:color="000000"/>
              <w:left w:val="single" w:sz="6" w:space="0" w:color="000000"/>
              <w:bottom w:val="single" w:sz="6" w:space="0" w:color="000000"/>
              <w:right w:val="single" w:sz="6" w:space="0" w:color="000000"/>
            </w:tcBorders>
          </w:tcPr>
          <w:p w14:paraId="0E027C07" w14:textId="77777777" w:rsidR="00FC5566" w:rsidRPr="00FC5566" w:rsidRDefault="00FC5566" w:rsidP="00FC5566">
            <w:pPr>
              <w:ind w:left="91" w:right="90"/>
              <w:rPr>
                <w:sz w:val="16"/>
                <w:szCs w:val="16"/>
              </w:rPr>
            </w:pPr>
          </w:p>
        </w:tc>
      </w:tr>
      <w:tr w:rsidR="00FC5566" w:rsidRPr="00FC5566" w14:paraId="34D9884B"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52C99076" w14:textId="77777777" w:rsidR="00FC5566" w:rsidRPr="00FC5566" w:rsidRDefault="00FC5566" w:rsidP="00FC5566">
            <w:pPr>
              <w:jc w:val="center"/>
              <w:rPr>
                <w:spacing w:val="-2"/>
                <w:sz w:val="16"/>
                <w:szCs w:val="16"/>
              </w:rPr>
            </w:pPr>
            <w:r w:rsidRPr="00FC5566">
              <w:rPr>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19B7EA51" w14:textId="77777777" w:rsidR="00FC5566" w:rsidRPr="00FC5566" w:rsidRDefault="00FC5566" w:rsidP="00FC5566">
            <w:pPr>
              <w:ind w:left="108" w:right="85"/>
              <w:rPr>
                <w:i/>
                <w:sz w:val="16"/>
                <w:szCs w:val="16"/>
              </w:rPr>
            </w:pPr>
            <w:r w:rsidRPr="00FC5566">
              <w:rPr>
                <w:iCs/>
                <w:sz w:val="16"/>
                <w:szCs w:val="16"/>
              </w:rPr>
              <w:t>Footnote (f.)</w:t>
            </w:r>
          </w:p>
        </w:tc>
        <w:tc>
          <w:tcPr>
            <w:tcW w:w="7043" w:type="dxa"/>
            <w:gridSpan w:val="2"/>
            <w:tcBorders>
              <w:top w:val="single" w:sz="6" w:space="0" w:color="000000"/>
              <w:left w:val="single" w:sz="6" w:space="0" w:color="000000"/>
              <w:bottom w:val="single" w:sz="6" w:space="0" w:color="000000"/>
              <w:right w:val="single" w:sz="6" w:space="0" w:color="000000"/>
            </w:tcBorders>
          </w:tcPr>
          <w:p w14:paraId="3FA4EB09" w14:textId="77777777" w:rsidR="00FC5566" w:rsidRPr="00FC5566" w:rsidRDefault="00FC5566" w:rsidP="00FC5566">
            <w:pPr>
              <w:ind w:left="91" w:right="90"/>
              <w:rPr>
                <w:sz w:val="16"/>
                <w:szCs w:val="16"/>
              </w:rPr>
            </w:pPr>
            <w:r w:rsidRPr="00FC5566">
              <w:rPr>
                <w:sz w:val="16"/>
                <w:szCs w:val="16"/>
              </w:rPr>
              <w:t>The required number and type of plumbing fixtures for outdoor public swimming pools shall be in accordance with the following:</w:t>
            </w:r>
          </w:p>
        </w:tc>
      </w:tr>
      <w:tr w:rsidR="00FC5566" w:rsidRPr="00FC5566" w14:paraId="5CEFA638"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184E7ECA" w14:textId="77777777" w:rsidR="00FC5566" w:rsidRPr="00FC5566" w:rsidRDefault="00FC5566" w:rsidP="00FC5566">
            <w:pPr>
              <w:jc w:val="center"/>
              <w:rPr>
                <w:spacing w:val="-2"/>
                <w:sz w:val="16"/>
                <w:szCs w:val="16"/>
              </w:rPr>
            </w:pPr>
            <w:r w:rsidRPr="00FC5566">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1662C12F" w14:textId="77777777" w:rsidR="00FC5566" w:rsidRPr="00FC5566" w:rsidRDefault="00FC5566" w:rsidP="00FC5566">
            <w:pPr>
              <w:ind w:left="108" w:right="85"/>
              <w:rPr>
                <w:i/>
                <w:sz w:val="16"/>
                <w:szCs w:val="16"/>
              </w:rPr>
            </w:pPr>
            <w:r w:rsidRPr="00FC5566">
              <w:rPr>
                <w:iCs/>
                <w:sz w:val="16"/>
                <w:szCs w:val="16"/>
              </w:rPr>
              <w:t>Item (1.)</w:t>
            </w:r>
          </w:p>
        </w:tc>
        <w:tc>
          <w:tcPr>
            <w:tcW w:w="7043" w:type="dxa"/>
            <w:gridSpan w:val="2"/>
            <w:tcBorders>
              <w:top w:val="single" w:sz="6" w:space="0" w:color="000000"/>
              <w:left w:val="single" w:sz="6" w:space="0" w:color="000000"/>
              <w:bottom w:val="single" w:sz="6" w:space="0" w:color="000000"/>
              <w:right w:val="single" w:sz="6" w:space="0" w:color="000000"/>
            </w:tcBorders>
          </w:tcPr>
          <w:p w14:paraId="6599EB95" w14:textId="77777777" w:rsidR="00FC5566" w:rsidRPr="00FC5566" w:rsidRDefault="00FC5566" w:rsidP="00FC5566">
            <w:pPr>
              <w:ind w:left="91" w:right="90"/>
              <w:rPr>
                <w:sz w:val="16"/>
                <w:szCs w:val="16"/>
              </w:rPr>
            </w:pPr>
            <w:r w:rsidRPr="00FC5566">
              <w:rPr>
                <w:sz w:val="16"/>
                <w:szCs w:val="16"/>
              </w:rPr>
              <w:t>1. Facilities that have less than 7500 gross square feet (697 m2) of water area available for bather access shall have not less than one water closet for males, one urinal for males, one lavatory for males, one shower for males, two water closets for females, one lavatory for females and one shower for females.</w:t>
            </w:r>
          </w:p>
        </w:tc>
      </w:tr>
      <w:tr w:rsidR="00FC5566" w:rsidRPr="00FC5566" w14:paraId="765F7042"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70C88C2E" w14:textId="77777777" w:rsidR="00FC5566" w:rsidRPr="00FC5566" w:rsidRDefault="00FC5566" w:rsidP="00FC5566">
            <w:pPr>
              <w:jc w:val="center"/>
              <w:rPr>
                <w:spacing w:val="-2"/>
                <w:sz w:val="16"/>
                <w:szCs w:val="16"/>
              </w:rPr>
            </w:pPr>
            <w:r w:rsidRPr="00FC5566">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58B6B8BF" w14:textId="77777777" w:rsidR="00FC5566" w:rsidRPr="00FC5566" w:rsidRDefault="00FC5566" w:rsidP="00FC5566">
            <w:pPr>
              <w:ind w:left="108" w:right="85"/>
              <w:rPr>
                <w:i/>
                <w:sz w:val="16"/>
                <w:szCs w:val="16"/>
              </w:rPr>
            </w:pPr>
            <w:r w:rsidRPr="00FC5566">
              <w:rPr>
                <w:iCs/>
                <w:sz w:val="16"/>
                <w:szCs w:val="16"/>
              </w:rPr>
              <w:t>Item (2)</w:t>
            </w:r>
          </w:p>
        </w:tc>
        <w:tc>
          <w:tcPr>
            <w:tcW w:w="7043" w:type="dxa"/>
            <w:gridSpan w:val="2"/>
            <w:tcBorders>
              <w:top w:val="single" w:sz="6" w:space="0" w:color="000000"/>
              <w:left w:val="single" w:sz="6" w:space="0" w:color="000000"/>
              <w:bottom w:val="single" w:sz="6" w:space="0" w:color="000000"/>
              <w:right w:val="single" w:sz="6" w:space="0" w:color="000000"/>
            </w:tcBorders>
          </w:tcPr>
          <w:p w14:paraId="74DA50EC" w14:textId="77777777" w:rsidR="00FC5566" w:rsidRPr="00FC5566" w:rsidRDefault="00FC5566" w:rsidP="00FC5566">
            <w:pPr>
              <w:ind w:left="91" w:right="90"/>
              <w:rPr>
                <w:sz w:val="16"/>
                <w:szCs w:val="16"/>
              </w:rPr>
            </w:pPr>
            <w:r w:rsidRPr="00FC5566">
              <w:rPr>
                <w:sz w:val="16"/>
                <w:szCs w:val="16"/>
              </w:rPr>
              <w:t>2. Facilities that have 7500 gross square feet (697 m2) or more of water area available for bather access shall have not less than 0.7 water closet for males, one urinal for males, 0.85 lavatory for males, one shower for males, two water closets for females, one lavatory for females and one shower for females for every 7500 square feet (697 m2) or portion thereof. Where the result of the fixture calculation is a portion of a whole number, the result shall be rounded up to the nearest whole number.</w:t>
            </w:r>
          </w:p>
        </w:tc>
      </w:tr>
      <w:tr w:rsidR="00FC5566" w:rsidRPr="00FC5566" w14:paraId="21D1BE5F" w14:textId="77777777" w:rsidTr="00B247D5">
        <w:trPr>
          <w:trHeight w:val="274"/>
        </w:trPr>
        <w:tc>
          <w:tcPr>
            <w:tcW w:w="1072" w:type="dxa"/>
            <w:tcBorders>
              <w:top w:val="single" w:sz="6" w:space="0" w:color="000000"/>
              <w:left w:val="single" w:sz="6" w:space="0" w:color="000000"/>
              <w:bottom w:val="single" w:sz="6" w:space="0" w:color="000000"/>
              <w:right w:val="single" w:sz="6" w:space="0" w:color="000000"/>
            </w:tcBorders>
          </w:tcPr>
          <w:p w14:paraId="46627E00" w14:textId="77777777" w:rsidR="00FC5566" w:rsidRPr="00FC5566" w:rsidRDefault="00FC5566" w:rsidP="00FC5566">
            <w:pPr>
              <w:jc w:val="center"/>
              <w:rPr>
                <w:spacing w:val="-2"/>
                <w:sz w:val="16"/>
                <w:szCs w:val="16"/>
                <w:highlight w:val="yellow"/>
              </w:rPr>
            </w:pPr>
            <w:r w:rsidRPr="00FC5566">
              <w:rPr>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4B88A0BD" w14:textId="77777777" w:rsidR="00FC5566" w:rsidRPr="00FC5566" w:rsidRDefault="00FC5566" w:rsidP="00FC5566">
            <w:pPr>
              <w:ind w:left="108" w:right="85"/>
              <w:rPr>
                <w:i/>
                <w:sz w:val="16"/>
                <w:szCs w:val="16"/>
                <w:highlight w:val="yellow"/>
              </w:rPr>
            </w:pPr>
            <w:r w:rsidRPr="00FC5566">
              <w:rPr>
                <w:iCs/>
                <w:sz w:val="16"/>
                <w:szCs w:val="16"/>
              </w:rPr>
              <w:t>Section 403.2 Separate Facilities</w:t>
            </w:r>
          </w:p>
        </w:tc>
        <w:tc>
          <w:tcPr>
            <w:tcW w:w="7043" w:type="dxa"/>
            <w:gridSpan w:val="2"/>
            <w:tcBorders>
              <w:top w:val="single" w:sz="6" w:space="0" w:color="000000"/>
              <w:left w:val="single" w:sz="6" w:space="0" w:color="000000"/>
              <w:bottom w:val="single" w:sz="6" w:space="0" w:color="000000"/>
              <w:right w:val="single" w:sz="6" w:space="0" w:color="000000"/>
            </w:tcBorders>
          </w:tcPr>
          <w:p w14:paraId="538B4B39" w14:textId="77777777" w:rsidR="00FC5566" w:rsidRPr="00FC5566" w:rsidRDefault="00FC5566" w:rsidP="00FC5566">
            <w:pPr>
              <w:ind w:left="91" w:right="90"/>
              <w:rPr>
                <w:sz w:val="16"/>
                <w:szCs w:val="16"/>
                <w:highlight w:val="yellow"/>
              </w:rPr>
            </w:pPr>
          </w:p>
        </w:tc>
      </w:tr>
      <w:tr w:rsidR="00FC5566" w:rsidRPr="00FC5566" w14:paraId="31B55619" w14:textId="77777777" w:rsidTr="00B247D5">
        <w:trPr>
          <w:trHeight w:val="274"/>
        </w:trPr>
        <w:tc>
          <w:tcPr>
            <w:tcW w:w="1072" w:type="dxa"/>
            <w:tcBorders>
              <w:top w:val="single" w:sz="6" w:space="0" w:color="000000"/>
              <w:left w:val="single" w:sz="6" w:space="0" w:color="000000"/>
              <w:bottom w:val="single" w:sz="6" w:space="0" w:color="000000"/>
              <w:right w:val="single" w:sz="6" w:space="0" w:color="000000"/>
            </w:tcBorders>
          </w:tcPr>
          <w:p w14:paraId="0681153D" w14:textId="77777777" w:rsidR="00FC5566" w:rsidRPr="00FC5566" w:rsidRDefault="00FC5566" w:rsidP="00FC5566">
            <w:pPr>
              <w:jc w:val="center"/>
              <w:rPr>
                <w:spacing w:val="-2"/>
                <w:sz w:val="16"/>
                <w:szCs w:val="16"/>
                <w:highlight w:val="yellow"/>
              </w:rPr>
            </w:pPr>
            <w:r w:rsidRPr="00FC5566">
              <w:rPr>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211866A8" w14:textId="77777777" w:rsidR="00FC5566" w:rsidRPr="00FC5566" w:rsidRDefault="00FC5566" w:rsidP="00FC5566">
            <w:pPr>
              <w:ind w:left="108" w:right="85"/>
              <w:rPr>
                <w:i/>
                <w:sz w:val="16"/>
                <w:szCs w:val="16"/>
                <w:highlight w:val="yellow"/>
              </w:rPr>
            </w:pPr>
            <w:r w:rsidRPr="00FC5566">
              <w:rPr>
                <w:iCs/>
                <w:sz w:val="16"/>
                <w:szCs w:val="16"/>
              </w:rPr>
              <w:t>Exception</w:t>
            </w:r>
          </w:p>
        </w:tc>
        <w:tc>
          <w:tcPr>
            <w:tcW w:w="7043" w:type="dxa"/>
            <w:gridSpan w:val="2"/>
            <w:tcBorders>
              <w:top w:val="single" w:sz="6" w:space="0" w:color="000000"/>
              <w:left w:val="single" w:sz="6" w:space="0" w:color="000000"/>
              <w:bottom w:val="single" w:sz="6" w:space="0" w:color="000000"/>
              <w:right w:val="single" w:sz="6" w:space="0" w:color="000000"/>
            </w:tcBorders>
          </w:tcPr>
          <w:p w14:paraId="4026F5ED" w14:textId="77777777" w:rsidR="00FC5566" w:rsidRPr="00FC5566" w:rsidRDefault="00FC5566" w:rsidP="00FC5566">
            <w:pPr>
              <w:ind w:left="91" w:right="90"/>
              <w:rPr>
                <w:sz w:val="16"/>
                <w:szCs w:val="16"/>
                <w:highlight w:val="yellow"/>
              </w:rPr>
            </w:pPr>
          </w:p>
        </w:tc>
      </w:tr>
      <w:tr w:rsidR="00FC5566" w:rsidRPr="00FC5566" w14:paraId="76761B3E"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14B4BE1F" w14:textId="77777777" w:rsidR="00FC5566" w:rsidRPr="00FC5566" w:rsidRDefault="00FC5566" w:rsidP="00FC5566">
            <w:pPr>
              <w:jc w:val="center"/>
              <w:rPr>
                <w:spacing w:val="-2"/>
                <w:sz w:val="16"/>
                <w:szCs w:val="16"/>
                <w:highlight w:val="yellow"/>
              </w:rPr>
            </w:pPr>
            <w:r w:rsidRPr="00FC5566">
              <w:rPr>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74EE7836" w14:textId="77777777" w:rsidR="00FC5566" w:rsidRPr="00FC5566" w:rsidRDefault="00FC5566" w:rsidP="00FC5566">
            <w:pPr>
              <w:ind w:left="98" w:right="85"/>
              <w:rPr>
                <w:i/>
                <w:sz w:val="16"/>
                <w:szCs w:val="16"/>
                <w:highlight w:val="yellow"/>
              </w:rPr>
            </w:pPr>
            <w:r w:rsidRPr="00FC5566">
              <w:rPr>
                <w:iCs/>
                <w:sz w:val="16"/>
                <w:szCs w:val="16"/>
              </w:rPr>
              <w:t>Item (6.)</w:t>
            </w:r>
          </w:p>
        </w:tc>
        <w:tc>
          <w:tcPr>
            <w:tcW w:w="7043" w:type="dxa"/>
            <w:gridSpan w:val="2"/>
            <w:tcBorders>
              <w:top w:val="single" w:sz="6" w:space="0" w:color="000000"/>
              <w:left w:val="single" w:sz="6" w:space="0" w:color="000000"/>
              <w:bottom w:val="single" w:sz="6" w:space="0" w:color="000000"/>
              <w:right w:val="single" w:sz="6" w:space="0" w:color="000000"/>
            </w:tcBorders>
          </w:tcPr>
          <w:p w14:paraId="7B869E5C" w14:textId="77777777" w:rsidR="00FC5566" w:rsidRPr="00FC5566" w:rsidRDefault="00FC5566" w:rsidP="00FC5566">
            <w:pPr>
              <w:ind w:left="91" w:right="90"/>
              <w:rPr>
                <w:sz w:val="16"/>
                <w:szCs w:val="16"/>
                <w:highlight w:val="yellow"/>
              </w:rPr>
            </w:pPr>
            <w:r w:rsidRPr="00FC5566">
              <w:rPr>
                <w:sz w:val="16"/>
                <w:szCs w:val="16"/>
              </w:rPr>
              <w:t>6. Separate facilities shall not be required where rooms, created by walls from floor to ceiling, with a solid door, having both water closets and lavatory fixtures are designed for use by both sexes and privacy for water closets is provided in accordance with Section 405.3.4. Water closets and urinals shall be located in a room, created by walls from floor to ceiling, with a solid door.</w:t>
            </w:r>
          </w:p>
        </w:tc>
      </w:tr>
      <w:tr w:rsidR="00FC5566" w:rsidRPr="00FC5566" w14:paraId="6FC59D26"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2C00020D" w14:textId="77777777" w:rsidR="00FC5566" w:rsidRPr="00FC5566" w:rsidRDefault="00FC5566" w:rsidP="00FC5566">
            <w:pPr>
              <w:jc w:val="center"/>
              <w:rPr>
                <w:spacing w:val="-2"/>
                <w:sz w:val="16"/>
                <w:szCs w:val="16"/>
              </w:rPr>
            </w:pPr>
            <w:r w:rsidRPr="00FC5566">
              <w:rPr>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175B6F30" w14:textId="77777777" w:rsidR="00FC5566" w:rsidRPr="00FC5566" w:rsidRDefault="00FC5566" w:rsidP="00FC5566">
            <w:pPr>
              <w:ind w:left="96" w:right="58"/>
              <w:rPr>
                <w:iCs/>
                <w:sz w:val="16"/>
                <w:szCs w:val="16"/>
              </w:rPr>
            </w:pPr>
            <w:r w:rsidRPr="00FC5566">
              <w:rPr>
                <w:iCs/>
                <w:sz w:val="16"/>
                <w:szCs w:val="16"/>
              </w:rPr>
              <w:t>Section 403.3.3, Location of Toilet Facilities in Occupancies other than Malls and</w:t>
            </w:r>
          </w:p>
          <w:p w14:paraId="29C53C56" w14:textId="77777777" w:rsidR="00FC5566" w:rsidRPr="00FC5566" w:rsidRDefault="00FC5566" w:rsidP="00FC5566">
            <w:pPr>
              <w:ind w:left="108" w:right="85"/>
              <w:rPr>
                <w:i/>
                <w:sz w:val="16"/>
                <w:szCs w:val="16"/>
              </w:rPr>
            </w:pPr>
            <w:r w:rsidRPr="00FC5566">
              <w:rPr>
                <w:iCs/>
                <w:sz w:val="16"/>
                <w:szCs w:val="16"/>
              </w:rPr>
              <w:t>Educational Buildings.</w:t>
            </w:r>
          </w:p>
        </w:tc>
        <w:tc>
          <w:tcPr>
            <w:tcW w:w="7043" w:type="dxa"/>
            <w:gridSpan w:val="2"/>
            <w:tcBorders>
              <w:top w:val="single" w:sz="6" w:space="0" w:color="000000"/>
              <w:left w:val="single" w:sz="6" w:space="0" w:color="000000"/>
              <w:bottom w:val="single" w:sz="6" w:space="0" w:color="000000"/>
              <w:right w:val="single" w:sz="6" w:space="0" w:color="000000"/>
            </w:tcBorders>
          </w:tcPr>
          <w:p w14:paraId="0EA8760E" w14:textId="77777777" w:rsidR="00FC5566" w:rsidRPr="00FC5566" w:rsidRDefault="00FC5566" w:rsidP="00FC5566">
            <w:pPr>
              <w:ind w:left="91" w:right="90"/>
              <w:rPr>
                <w:sz w:val="16"/>
                <w:szCs w:val="16"/>
              </w:rPr>
            </w:pPr>
            <w:r w:rsidRPr="00FC5566">
              <w:rPr>
                <w:sz w:val="16"/>
                <w:szCs w:val="16"/>
              </w:rPr>
              <w:t>In occupancies other than covered and open mall buildings, and educational buildings, the required public and employee toilet facilities shall be located not more than one story above or below the space required to be provided with toilet facilities, and the path of travel to such facilities shall not exceed a distance of 500 feet (152 m).</w:t>
            </w:r>
          </w:p>
        </w:tc>
      </w:tr>
      <w:tr w:rsidR="00FC5566" w:rsidRPr="00FC5566" w14:paraId="4E245140" w14:textId="77777777" w:rsidTr="00B247D5">
        <w:trPr>
          <w:trHeight w:val="274"/>
        </w:trPr>
        <w:tc>
          <w:tcPr>
            <w:tcW w:w="1072" w:type="dxa"/>
            <w:tcBorders>
              <w:top w:val="single" w:sz="6" w:space="0" w:color="000000"/>
              <w:left w:val="single" w:sz="6" w:space="0" w:color="000000"/>
              <w:bottom w:val="single" w:sz="6" w:space="0" w:color="000000"/>
              <w:right w:val="single" w:sz="6" w:space="0" w:color="000000"/>
            </w:tcBorders>
          </w:tcPr>
          <w:p w14:paraId="0B2A9F23" w14:textId="77777777" w:rsidR="00FC5566" w:rsidRPr="00FC5566" w:rsidRDefault="00FC5566" w:rsidP="00FC5566">
            <w:pPr>
              <w:jc w:val="center"/>
              <w:rPr>
                <w:spacing w:val="-2"/>
                <w:sz w:val="16"/>
                <w:szCs w:val="16"/>
                <w:highlight w:val="yellow"/>
              </w:rPr>
            </w:pPr>
            <w:r w:rsidRPr="00FC5566">
              <w:rPr>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7D27BD94" w14:textId="77777777" w:rsidR="00FC5566" w:rsidRPr="00FC5566" w:rsidRDefault="00FC5566" w:rsidP="00FC5566">
            <w:pPr>
              <w:ind w:left="108"/>
              <w:rPr>
                <w:i/>
                <w:sz w:val="16"/>
                <w:szCs w:val="16"/>
                <w:highlight w:val="yellow"/>
              </w:rPr>
            </w:pPr>
            <w:r w:rsidRPr="00FC5566">
              <w:rPr>
                <w:iCs/>
                <w:sz w:val="16"/>
                <w:szCs w:val="16"/>
              </w:rPr>
              <w:t>Exceptions</w:t>
            </w:r>
          </w:p>
        </w:tc>
        <w:tc>
          <w:tcPr>
            <w:tcW w:w="7043" w:type="dxa"/>
            <w:gridSpan w:val="2"/>
            <w:tcBorders>
              <w:top w:val="single" w:sz="6" w:space="0" w:color="000000"/>
              <w:left w:val="single" w:sz="6" w:space="0" w:color="000000"/>
              <w:bottom w:val="single" w:sz="6" w:space="0" w:color="000000"/>
              <w:right w:val="single" w:sz="6" w:space="0" w:color="000000"/>
            </w:tcBorders>
          </w:tcPr>
          <w:p w14:paraId="78A0DBFC" w14:textId="77777777" w:rsidR="00FC5566" w:rsidRPr="00FC5566" w:rsidRDefault="00FC5566" w:rsidP="00FC5566">
            <w:pPr>
              <w:ind w:left="91" w:right="90"/>
              <w:rPr>
                <w:sz w:val="16"/>
                <w:szCs w:val="16"/>
                <w:highlight w:val="yellow"/>
              </w:rPr>
            </w:pPr>
          </w:p>
        </w:tc>
      </w:tr>
      <w:tr w:rsidR="00FC5566" w:rsidRPr="00FC5566" w14:paraId="40029A45" w14:textId="77777777" w:rsidTr="00B247D5">
        <w:trPr>
          <w:trHeight w:val="274"/>
        </w:trPr>
        <w:tc>
          <w:tcPr>
            <w:tcW w:w="1072" w:type="dxa"/>
            <w:tcBorders>
              <w:top w:val="single" w:sz="6" w:space="0" w:color="000000"/>
              <w:left w:val="single" w:sz="6" w:space="0" w:color="000000"/>
              <w:bottom w:val="single" w:sz="6" w:space="0" w:color="000000"/>
              <w:right w:val="single" w:sz="6" w:space="0" w:color="000000"/>
            </w:tcBorders>
          </w:tcPr>
          <w:p w14:paraId="624DE415" w14:textId="77777777" w:rsidR="00FC5566" w:rsidRPr="00FC5566" w:rsidRDefault="00FC5566" w:rsidP="00FC5566">
            <w:pPr>
              <w:jc w:val="center"/>
              <w:rPr>
                <w:spacing w:val="-2"/>
                <w:sz w:val="16"/>
                <w:szCs w:val="16"/>
                <w:highlight w:val="yellow"/>
              </w:rPr>
            </w:pPr>
            <w:r w:rsidRPr="00FC5566">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6133DFAE" w14:textId="77777777" w:rsidR="00FC5566" w:rsidRPr="00FC5566" w:rsidRDefault="00FC5566" w:rsidP="00FC5566">
            <w:pPr>
              <w:ind w:left="108"/>
              <w:rPr>
                <w:i/>
                <w:sz w:val="16"/>
                <w:szCs w:val="16"/>
                <w:highlight w:val="yellow"/>
              </w:rPr>
            </w:pPr>
            <w:r w:rsidRPr="00FC5566">
              <w:rPr>
                <w:iCs/>
                <w:sz w:val="16"/>
                <w:szCs w:val="16"/>
              </w:rPr>
              <w:t>Item (3.)</w:t>
            </w:r>
          </w:p>
        </w:tc>
        <w:tc>
          <w:tcPr>
            <w:tcW w:w="7043" w:type="dxa"/>
            <w:gridSpan w:val="2"/>
            <w:tcBorders>
              <w:top w:val="single" w:sz="6" w:space="0" w:color="000000"/>
              <w:left w:val="single" w:sz="6" w:space="0" w:color="000000"/>
              <w:bottom w:val="single" w:sz="6" w:space="0" w:color="000000"/>
              <w:right w:val="single" w:sz="6" w:space="0" w:color="000000"/>
            </w:tcBorders>
          </w:tcPr>
          <w:p w14:paraId="1E18FF30" w14:textId="77777777" w:rsidR="00FC5566" w:rsidRPr="00FC5566" w:rsidRDefault="00FC5566" w:rsidP="00FC5566">
            <w:pPr>
              <w:ind w:left="91" w:right="90"/>
              <w:rPr>
                <w:sz w:val="16"/>
                <w:szCs w:val="16"/>
                <w:highlight w:val="yellow"/>
              </w:rPr>
            </w:pPr>
            <w:r w:rsidRPr="00FC5566">
              <w:rPr>
                <w:sz w:val="16"/>
                <w:szCs w:val="16"/>
              </w:rPr>
              <w:t>3. In mini-storage facilities where the access is for outdoor use only a restroom is not required.</w:t>
            </w:r>
          </w:p>
        </w:tc>
      </w:tr>
      <w:tr w:rsidR="00FC5566" w:rsidRPr="00FC5566" w14:paraId="21428838"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3EE52DFF" w14:textId="77777777" w:rsidR="00FC5566" w:rsidRPr="00FC5566" w:rsidRDefault="00FC5566" w:rsidP="00FC5566">
            <w:pPr>
              <w:jc w:val="center"/>
              <w:rPr>
                <w:spacing w:val="-2"/>
                <w:sz w:val="16"/>
                <w:szCs w:val="16"/>
                <w:highlight w:val="yellow"/>
              </w:rPr>
            </w:pPr>
            <w:r w:rsidRPr="00FC5566">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79225CCF" w14:textId="77777777" w:rsidR="00FC5566" w:rsidRPr="00FC5566" w:rsidRDefault="00FC5566" w:rsidP="00FC5566">
            <w:pPr>
              <w:ind w:left="96" w:right="58"/>
              <w:rPr>
                <w:i/>
                <w:sz w:val="16"/>
                <w:szCs w:val="16"/>
                <w:highlight w:val="yellow"/>
              </w:rPr>
            </w:pPr>
            <w:r w:rsidRPr="00FC5566">
              <w:rPr>
                <w:iCs/>
                <w:sz w:val="16"/>
                <w:szCs w:val="16"/>
              </w:rPr>
              <w:t>Item (4.)</w:t>
            </w:r>
          </w:p>
        </w:tc>
        <w:tc>
          <w:tcPr>
            <w:tcW w:w="7043" w:type="dxa"/>
            <w:gridSpan w:val="2"/>
            <w:tcBorders>
              <w:top w:val="single" w:sz="6" w:space="0" w:color="000000"/>
              <w:left w:val="single" w:sz="6" w:space="0" w:color="000000"/>
              <w:bottom w:val="single" w:sz="6" w:space="0" w:color="000000"/>
              <w:right w:val="single" w:sz="6" w:space="0" w:color="000000"/>
            </w:tcBorders>
          </w:tcPr>
          <w:p w14:paraId="364F74D9" w14:textId="77777777" w:rsidR="00FC5566" w:rsidRPr="00FC5566" w:rsidRDefault="00FC5566" w:rsidP="00FC5566">
            <w:pPr>
              <w:ind w:left="91" w:right="90"/>
              <w:rPr>
                <w:sz w:val="16"/>
                <w:szCs w:val="16"/>
                <w:highlight w:val="yellow"/>
              </w:rPr>
            </w:pPr>
            <w:r w:rsidRPr="00FC5566">
              <w:rPr>
                <w:sz w:val="16"/>
                <w:szCs w:val="16"/>
              </w:rPr>
              <w:t>4. A single user toilet facility shall be installed in climate controlled mini-storage facilities and mini-storage facilities for outdoor use only which contain an onsite office.</w:t>
            </w:r>
          </w:p>
        </w:tc>
      </w:tr>
      <w:tr w:rsidR="00FC5566" w:rsidRPr="00FC5566" w14:paraId="2F3FF5D4"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10708897" w14:textId="77777777" w:rsidR="00FC5566" w:rsidRPr="00FC5566" w:rsidRDefault="00FC5566" w:rsidP="00FC5566">
            <w:pPr>
              <w:jc w:val="center"/>
              <w:rPr>
                <w:spacing w:val="-2"/>
                <w:sz w:val="16"/>
                <w:szCs w:val="16"/>
              </w:rPr>
            </w:pPr>
            <w:r w:rsidRPr="00FC5566">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4834BDD4" w14:textId="77777777" w:rsidR="00FC5566" w:rsidRPr="00FC5566" w:rsidRDefault="00FC5566" w:rsidP="00FC5566">
            <w:pPr>
              <w:ind w:left="96" w:right="58"/>
              <w:rPr>
                <w:i/>
                <w:sz w:val="16"/>
                <w:szCs w:val="16"/>
              </w:rPr>
            </w:pPr>
            <w:r w:rsidRPr="00FC5566">
              <w:rPr>
                <w:iCs/>
                <w:sz w:val="16"/>
                <w:szCs w:val="16"/>
              </w:rPr>
              <w:t>Section 403.3.7, Location of Toilet Facilities in Educational Buildings.</w:t>
            </w:r>
          </w:p>
        </w:tc>
        <w:tc>
          <w:tcPr>
            <w:tcW w:w="7043" w:type="dxa"/>
            <w:gridSpan w:val="2"/>
            <w:tcBorders>
              <w:top w:val="single" w:sz="6" w:space="0" w:color="000000"/>
              <w:left w:val="single" w:sz="6" w:space="0" w:color="000000"/>
              <w:bottom w:val="single" w:sz="6" w:space="0" w:color="000000"/>
              <w:right w:val="single" w:sz="6" w:space="0" w:color="000000"/>
            </w:tcBorders>
          </w:tcPr>
          <w:p w14:paraId="2A6357F7" w14:textId="77777777" w:rsidR="00FC5566" w:rsidRPr="00FC5566" w:rsidRDefault="00FC5566" w:rsidP="00FC5566">
            <w:pPr>
              <w:ind w:left="91" w:right="90"/>
              <w:rPr>
                <w:sz w:val="16"/>
                <w:szCs w:val="16"/>
              </w:rPr>
            </w:pPr>
            <w:r w:rsidRPr="00FC5566">
              <w:rPr>
                <w:sz w:val="16"/>
                <w:szCs w:val="16"/>
              </w:rPr>
              <w:t>For primary schools, and other special types of institutions with classrooms, for children through 12 years of age, separate boys' and girls' toilet room doors shall not be further than 200 feet from any classroom doors. For secondary schools, and other special types of institutions with classrooms, for persons of secondary school age, separate boys' and girls' toilet room doors shall not be further than 400 feet from any classroom door. In multi- storied buildings, there shall be boys' and girls' toilet rooms on each floor, having the number of plumbing fixtures as specified in Table 403.1 of this code for the classroom population of that floor. When new educational buildings are added to an existing campus, the restroom facilities and drinking fountains located in the existing building(s) may be used to serve the occupants of the new educational building(s) only when all of the following provisions are met:</w:t>
            </w:r>
          </w:p>
          <w:p w14:paraId="4032726D" w14:textId="77777777" w:rsidR="00FC5566" w:rsidRPr="00FC5566" w:rsidRDefault="00FC5566" w:rsidP="00FC5566">
            <w:pPr>
              <w:ind w:left="91" w:right="90"/>
              <w:rPr>
                <w:sz w:val="16"/>
                <w:szCs w:val="16"/>
              </w:rPr>
            </w:pPr>
            <w:r w:rsidRPr="00FC5566">
              <w:rPr>
                <w:sz w:val="16"/>
                <w:szCs w:val="16"/>
              </w:rPr>
              <w:t>1. Covered walkways consisting of a roof designed to protect the students and faculty from precipitation having a minimum width of 6 feet and located above a slip-resistant concrete or other acceptable hard surfaces leading to and from the restrooms shall be provided whenever children or faculty have to walk outside to access the toilet room;</w:t>
            </w:r>
          </w:p>
          <w:p w14:paraId="6A5C9550" w14:textId="77777777" w:rsidR="00FC5566" w:rsidRPr="00FC5566" w:rsidRDefault="00FC5566" w:rsidP="00FC5566">
            <w:pPr>
              <w:ind w:left="91" w:right="90"/>
              <w:rPr>
                <w:sz w:val="16"/>
                <w:szCs w:val="16"/>
              </w:rPr>
            </w:pPr>
            <w:r w:rsidRPr="00FC5566">
              <w:rPr>
                <w:sz w:val="16"/>
                <w:szCs w:val="16"/>
              </w:rPr>
              <w:lastRenderedPageBreak/>
              <w:t>2. The path of travel from the classroom door to the toilet room doors (boys’ or girls’) does not exceed the applicable distance specified in this Section; and</w:t>
            </w:r>
          </w:p>
          <w:p w14:paraId="7CD91678" w14:textId="77777777" w:rsidR="00FC5566" w:rsidRPr="00FC5566" w:rsidRDefault="00FC5566" w:rsidP="00FC5566">
            <w:pPr>
              <w:ind w:left="91" w:right="90"/>
              <w:rPr>
                <w:sz w:val="16"/>
                <w:szCs w:val="16"/>
              </w:rPr>
            </w:pPr>
            <w:r w:rsidRPr="00FC5566">
              <w:rPr>
                <w:sz w:val="16"/>
                <w:szCs w:val="16"/>
              </w:rPr>
              <w:t>3. The number of occupants of the new building does not cause an increase in the school population that would trigger the need for more fixtures per Table 403.1 (Minimum Number of Required Plumbing Fixtures).</w:t>
            </w:r>
          </w:p>
        </w:tc>
      </w:tr>
      <w:tr w:rsidR="00FC5566" w:rsidRPr="00FC5566" w14:paraId="3BC5DB90"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43C67FC9" w14:textId="77777777" w:rsidR="00FC5566" w:rsidRPr="00FC5566" w:rsidRDefault="00FC5566" w:rsidP="00FC5566">
            <w:pPr>
              <w:jc w:val="center"/>
              <w:rPr>
                <w:spacing w:val="-2"/>
                <w:sz w:val="16"/>
                <w:szCs w:val="16"/>
                <w:highlight w:val="yellow"/>
              </w:rPr>
            </w:pPr>
            <w:r w:rsidRPr="00FC5566">
              <w:rPr>
                <w:spacing w:val="-2"/>
                <w:sz w:val="16"/>
                <w:szCs w:val="16"/>
              </w:rPr>
              <w:lastRenderedPageBreak/>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31211D95" w14:textId="77777777" w:rsidR="00FC5566" w:rsidRPr="00FC5566" w:rsidRDefault="00FC5566" w:rsidP="00FC5566">
            <w:pPr>
              <w:ind w:left="96" w:right="58"/>
              <w:rPr>
                <w:iCs/>
                <w:sz w:val="16"/>
                <w:szCs w:val="16"/>
              </w:rPr>
            </w:pPr>
            <w:r w:rsidRPr="00FC5566">
              <w:rPr>
                <w:iCs/>
                <w:sz w:val="16"/>
                <w:szCs w:val="16"/>
              </w:rPr>
              <w:t>Section 403.7, Other Fixture Requirements for Licensed Pre-schools, Day Care Centers, and</w:t>
            </w:r>
          </w:p>
          <w:p w14:paraId="5E78B59E" w14:textId="77777777" w:rsidR="00FC5566" w:rsidRPr="00FC5566" w:rsidRDefault="00FC5566" w:rsidP="00FC5566">
            <w:pPr>
              <w:ind w:left="96" w:right="58"/>
              <w:rPr>
                <w:i/>
                <w:sz w:val="16"/>
                <w:szCs w:val="16"/>
                <w:highlight w:val="yellow"/>
              </w:rPr>
            </w:pPr>
            <w:r w:rsidRPr="00FC5566">
              <w:rPr>
                <w:iCs/>
                <w:sz w:val="16"/>
                <w:szCs w:val="16"/>
              </w:rPr>
              <w:t>Residential Facilities.</w:t>
            </w:r>
          </w:p>
        </w:tc>
        <w:tc>
          <w:tcPr>
            <w:tcW w:w="7043" w:type="dxa"/>
            <w:gridSpan w:val="2"/>
            <w:tcBorders>
              <w:top w:val="single" w:sz="6" w:space="0" w:color="000000"/>
              <w:left w:val="single" w:sz="6" w:space="0" w:color="000000"/>
              <w:bottom w:val="single" w:sz="6" w:space="0" w:color="000000"/>
              <w:right w:val="single" w:sz="6" w:space="0" w:color="000000"/>
            </w:tcBorders>
          </w:tcPr>
          <w:p w14:paraId="57DC5C18" w14:textId="77777777" w:rsidR="00FC5566" w:rsidRPr="00FC5566" w:rsidRDefault="00FC5566" w:rsidP="00FC5566">
            <w:pPr>
              <w:ind w:left="91" w:right="90"/>
              <w:rPr>
                <w:sz w:val="16"/>
                <w:szCs w:val="16"/>
                <w:highlight w:val="yellow"/>
              </w:rPr>
            </w:pPr>
            <w:r w:rsidRPr="00FC5566">
              <w:rPr>
                <w:sz w:val="16"/>
                <w:szCs w:val="16"/>
              </w:rPr>
              <w:t>Additional plumbing fixtures shall be provided in day care centers and residential facilities as required by this Section.</w:t>
            </w:r>
          </w:p>
        </w:tc>
      </w:tr>
      <w:tr w:rsidR="00FC5566" w:rsidRPr="00FC5566" w14:paraId="01A8E3B0"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3084EACC" w14:textId="77777777" w:rsidR="00FC5566" w:rsidRPr="00FC5566" w:rsidRDefault="00FC5566" w:rsidP="00FC5566">
            <w:pPr>
              <w:jc w:val="center"/>
              <w:rPr>
                <w:spacing w:val="-2"/>
                <w:sz w:val="16"/>
                <w:szCs w:val="16"/>
              </w:rPr>
            </w:pPr>
            <w:r w:rsidRPr="00FC5566">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76305286" w14:textId="77777777" w:rsidR="00FC5566" w:rsidRPr="00FC5566" w:rsidRDefault="00FC5566" w:rsidP="00FC5566">
            <w:pPr>
              <w:ind w:left="96" w:right="58"/>
              <w:rPr>
                <w:i/>
                <w:sz w:val="16"/>
                <w:szCs w:val="16"/>
              </w:rPr>
            </w:pPr>
            <w:r w:rsidRPr="00FC5566">
              <w:rPr>
                <w:iCs/>
                <w:sz w:val="16"/>
                <w:szCs w:val="16"/>
              </w:rPr>
              <w:t>Section 403.7.1, Food Preparation.</w:t>
            </w:r>
          </w:p>
        </w:tc>
        <w:tc>
          <w:tcPr>
            <w:tcW w:w="7043" w:type="dxa"/>
            <w:gridSpan w:val="2"/>
            <w:tcBorders>
              <w:top w:val="single" w:sz="6" w:space="0" w:color="000000"/>
              <w:left w:val="single" w:sz="6" w:space="0" w:color="000000"/>
              <w:bottom w:val="single" w:sz="6" w:space="0" w:color="000000"/>
              <w:right w:val="single" w:sz="6" w:space="0" w:color="000000"/>
            </w:tcBorders>
          </w:tcPr>
          <w:p w14:paraId="36DAC449" w14:textId="77777777" w:rsidR="00FC5566" w:rsidRPr="00FC5566" w:rsidRDefault="00FC5566" w:rsidP="00FC5566">
            <w:pPr>
              <w:ind w:left="91" w:right="90"/>
              <w:rPr>
                <w:sz w:val="16"/>
                <w:szCs w:val="16"/>
              </w:rPr>
            </w:pPr>
            <w:r w:rsidRPr="00FC5566">
              <w:rPr>
                <w:sz w:val="16"/>
                <w:szCs w:val="16"/>
              </w:rPr>
              <w:t>The food preparation area in pre-schools, day cares, and residential facilities shall meet the following requirements. The food preparation, storage and handling where six or less individuals are cared for shall provide a two- compartment sink and an approved domestic type dishwasher. Where the number of individuals cared for is between 7 and 15, either a three-compartment sink, or an approved domestic or commercial type dishwashing machine and a two-compartment sink with hot and cold running water shall be provided. Where 16 or more individuals are cared for, a three-compartment sink must be provided. If a dishwasher is also utilized in these instances (16 or more individuals), it must be a commercial type and it shall be in addition to the required three- compartment sink. One laundry tray, service sink, or curbed cleaning facility with floor drain shall also be provided on the premises for cleaning of mops and mop water disposal.</w:t>
            </w:r>
          </w:p>
        </w:tc>
      </w:tr>
      <w:tr w:rsidR="00FC5566" w:rsidRPr="00FC5566" w14:paraId="5D2F48A8"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47338F22" w14:textId="77777777" w:rsidR="00FC5566" w:rsidRPr="00FC5566" w:rsidRDefault="00FC5566" w:rsidP="00FC5566">
            <w:pPr>
              <w:jc w:val="center"/>
              <w:rPr>
                <w:spacing w:val="-2"/>
                <w:sz w:val="16"/>
                <w:szCs w:val="16"/>
                <w:highlight w:val="yellow"/>
              </w:rPr>
            </w:pPr>
            <w:r w:rsidRPr="00FC5566">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2006EE09" w14:textId="77777777" w:rsidR="00FC5566" w:rsidRPr="00FC5566" w:rsidRDefault="00FC5566" w:rsidP="00FC5566">
            <w:pPr>
              <w:ind w:left="96" w:right="58"/>
              <w:rPr>
                <w:i/>
                <w:sz w:val="16"/>
                <w:szCs w:val="16"/>
                <w:highlight w:val="yellow"/>
              </w:rPr>
            </w:pPr>
            <w:r w:rsidRPr="00FC5566">
              <w:rPr>
                <w:iCs/>
                <w:sz w:val="16"/>
                <w:szCs w:val="16"/>
              </w:rPr>
              <w:t>Section 403.7.2, Caring for Children between 0 and 4 Years of Age.</w:t>
            </w:r>
          </w:p>
        </w:tc>
        <w:tc>
          <w:tcPr>
            <w:tcW w:w="7043" w:type="dxa"/>
            <w:gridSpan w:val="2"/>
            <w:tcBorders>
              <w:top w:val="single" w:sz="6" w:space="0" w:color="000000"/>
              <w:left w:val="single" w:sz="6" w:space="0" w:color="000000"/>
              <w:bottom w:val="single" w:sz="6" w:space="0" w:color="000000"/>
              <w:right w:val="single" w:sz="6" w:space="0" w:color="000000"/>
            </w:tcBorders>
          </w:tcPr>
          <w:p w14:paraId="44E696AD" w14:textId="77777777" w:rsidR="00FC5566" w:rsidRPr="00FC5566" w:rsidRDefault="00FC5566" w:rsidP="00FC5566">
            <w:pPr>
              <w:ind w:left="91" w:right="90"/>
              <w:rPr>
                <w:sz w:val="16"/>
                <w:szCs w:val="16"/>
                <w:highlight w:val="yellow"/>
              </w:rPr>
            </w:pPr>
            <w:r w:rsidRPr="00FC5566">
              <w:rPr>
                <w:sz w:val="16"/>
                <w:szCs w:val="16"/>
              </w:rPr>
              <w:t>In child day care facilities, a hand washing sink shall be in or adjacent to each diaper changing area. Training potties shall not be counted as toilets in determining the minimum fixture requirements of Table 403.1. Fixtures shall be size appropriate for the age of the children being cared for (toilets 11 inches maximum height and lavatories 22 inches maximum height), or if standard size fixtures are used, safe, cleanable step aids shall be provided.</w:t>
            </w:r>
          </w:p>
        </w:tc>
      </w:tr>
      <w:tr w:rsidR="00FC5566" w:rsidRPr="00FC5566" w14:paraId="34839B82"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7A033EC0" w14:textId="77777777" w:rsidR="00FC5566" w:rsidRPr="00FC5566" w:rsidRDefault="00FC5566" w:rsidP="00FC5566">
            <w:pPr>
              <w:jc w:val="center"/>
              <w:rPr>
                <w:spacing w:val="-2"/>
                <w:sz w:val="16"/>
                <w:szCs w:val="16"/>
              </w:rPr>
            </w:pPr>
            <w:r w:rsidRPr="00FC5566">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698B5744" w14:textId="77777777" w:rsidR="00FC5566" w:rsidRPr="00FC5566" w:rsidRDefault="00FC5566" w:rsidP="00FC5566">
            <w:pPr>
              <w:ind w:left="96" w:right="58"/>
              <w:rPr>
                <w:i/>
                <w:sz w:val="16"/>
                <w:szCs w:val="16"/>
              </w:rPr>
            </w:pPr>
            <w:r w:rsidRPr="00FC5566">
              <w:rPr>
                <w:iCs/>
                <w:sz w:val="16"/>
                <w:szCs w:val="16"/>
              </w:rPr>
              <w:t>Section 410.3.3, Public Schools.</w:t>
            </w:r>
          </w:p>
        </w:tc>
        <w:tc>
          <w:tcPr>
            <w:tcW w:w="7043" w:type="dxa"/>
            <w:gridSpan w:val="2"/>
            <w:tcBorders>
              <w:top w:val="single" w:sz="6" w:space="0" w:color="000000"/>
              <w:left w:val="single" w:sz="6" w:space="0" w:color="000000"/>
              <w:bottom w:val="single" w:sz="6" w:space="0" w:color="000000"/>
              <w:right w:val="single" w:sz="6" w:space="0" w:color="000000"/>
            </w:tcBorders>
          </w:tcPr>
          <w:p w14:paraId="219FADF0" w14:textId="77777777" w:rsidR="00FC5566" w:rsidRPr="00FC5566" w:rsidRDefault="00FC5566" w:rsidP="00FC5566">
            <w:pPr>
              <w:ind w:left="91" w:right="90"/>
              <w:rPr>
                <w:sz w:val="16"/>
                <w:szCs w:val="16"/>
              </w:rPr>
            </w:pPr>
            <w:r w:rsidRPr="00FC5566">
              <w:rPr>
                <w:sz w:val="16"/>
                <w:szCs w:val="16"/>
              </w:rPr>
              <w:t>Any new school building and any existing school building that undergoes a major plumbing renovation, which involves more than 50% of the fixtures in the facility, shall include the following:</w:t>
            </w:r>
          </w:p>
          <w:p w14:paraId="05E088B0" w14:textId="77777777" w:rsidR="00FC5566" w:rsidRPr="00FC5566" w:rsidRDefault="00FC5566" w:rsidP="00FC5566">
            <w:pPr>
              <w:ind w:left="91" w:right="90"/>
              <w:rPr>
                <w:sz w:val="16"/>
                <w:szCs w:val="16"/>
              </w:rPr>
            </w:pPr>
            <w:r w:rsidRPr="00FC5566">
              <w:rPr>
                <w:sz w:val="16"/>
                <w:szCs w:val="16"/>
              </w:rPr>
              <w:t>1. At least one water bottle filling station per two hundred people projected to occupy the school building.</w:t>
            </w:r>
          </w:p>
          <w:p w14:paraId="11E879C5" w14:textId="77777777" w:rsidR="00FC5566" w:rsidRPr="00FC5566" w:rsidRDefault="00FC5566" w:rsidP="00FC5566">
            <w:pPr>
              <w:ind w:left="91" w:right="90"/>
              <w:rPr>
                <w:sz w:val="16"/>
                <w:szCs w:val="16"/>
              </w:rPr>
            </w:pPr>
            <w:r w:rsidRPr="00FC5566">
              <w:rPr>
                <w:sz w:val="16"/>
                <w:szCs w:val="16"/>
              </w:rPr>
              <w:t>2. At least one water bottle filling station on each floor of the school building.</w:t>
            </w:r>
          </w:p>
          <w:p w14:paraId="1E942607" w14:textId="77777777" w:rsidR="00FC5566" w:rsidRPr="00FC5566" w:rsidRDefault="00FC5566" w:rsidP="00FC5566">
            <w:pPr>
              <w:ind w:left="91" w:right="90"/>
              <w:rPr>
                <w:sz w:val="16"/>
                <w:szCs w:val="16"/>
              </w:rPr>
            </w:pPr>
            <w:r w:rsidRPr="00FC5566">
              <w:rPr>
                <w:sz w:val="16"/>
                <w:szCs w:val="16"/>
              </w:rPr>
              <w:t>3. At least one water bottle filling station located near all cafeterias, gymnasiums, outdoor recreation spaces, and other high-traffic areas.</w:t>
            </w:r>
          </w:p>
        </w:tc>
      </w:tr>
      <w:tr w:rsidR="00FC5566" w:rsidRPr="00FC5566" w14:paraId="7F401288"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37F19036" w14:textId="77777777" w:rsidR="00FC5566" w:rsidRPr="00FC5566" w:rsidRDefault="00FC5566" w:rsidP="00FC5566">
            <w:pPr>
              <w:jc w:val="center"/>
              <w:rPr>
                <w:spacing w:val="-2"/>
                <w:sz w:val="16"/>
                <w:szCs w:val="16"/>
              </w:rPr>
            </w:pPr>
            <w:r w:rsidRPr="00FC5566">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4936341E" w14:textId="77777777" w:rsidR="00FC5566" w:rsidRPr="00FC5566" w:rsidRDefault="00FC5566" w:rsidP="00FC5566">
            <w:pPr>
              <w:ind w:left="96" w:right="58"/>
              <w:rPr>
                <w:i/>
                <w:sz w:val="16"/>
                <w:szCs w:val="16"/>
              </w:rPr>
            </w:pPr>
            <w:r w:rsidRPr="00FC5566">
              <w:rPr>
                <w:iCs/>
                <w:sz w:val="16"/>
                <w:szCs w:val="16"/>
              </w:rPr>
              <w:t>Exceptions</w:t>
            </w:r>
          </w:p>
        </w:tc>
        <w:tc>
          <w:tcPr>
            <w:tcW w:w="7043" w:type="dxa"/>
            <w:gridSpan w:val="2"/>
            <w:tcBorders>
              <w:top w:val="single" w:sz="6" w:space="0" w:color="000000"/>
              <w:left w:val="single" w:sz="6" w:space="0" w:color="000000"/>
              <w:bottom w:val="single" w:sz="6" w:space="0" w:color="000000"/>
              <w:right w:val="single" w:sz="6" w:space="0" w:color="000000"/>
            </w:tcBorders>
          </w:tcPr>
          <w:p w14:paraId="3F7A4E32" w14:textId="77777777" w:rsidR="00FC5566" w:rsidRPr="00FC5566" w:rsidRDefault="00FC5566" w:rsidP="00FC5566">
            <w:pPr>
              <w:ind w:left="91" w:right="90"/>
              <w:rPr>
                <w:b/>
                <w:bCs/>
                <w:sz w:val="16"/>
                <w:szCs w:val="16"/>
              </w:rPr>
            </w:pPr>
            <w:r w:rsidRPr="00FC5566">
              <w:rPr>
                <w:b/>
                <w:bCs/>
                <w:sz w:val="16"/>
                <w:szCs w:val="16"/>
              </w:rPr>
              <w:t>Exceptions:</w:t>
            </w:r>
          </w:p>
          <w:p w14:paraId="5216B233" w14:textId="77777777" w:rsidR="00FC5566" w:rsidRPr="00FC5566" w:rsidRDefault="00FC5566" w:rsidP="00FC5566">
            <w:pPr>
              <w:ind w:left="91" w:right="90"/>
              <w:rPr>
                <w:sz w:val="16"/>
                <w:szCs w:val="16"/>
              </w:rPr>
            </w:pPr>
            <w:r w:rsidRPr="00FC5566">
              <w:rPr>
                <w:sz w:val="16"/>
                <w:szCs w:val="16"/>
              </w:rPr>
              <w:t>1. A city, parish, or other local public school board may install more filling stations as deemed appropriate.</w:t>
            </w:r>
          </w:p>
          <w:p w14:paraId="4BBF26CB" w14:textId="77777777" w:rsidR="00FC5566" w:rsidRPr="00FC5566" w:rsidRDefault="00FC5566" w:rsidP="00FC5566">
            <w:pPr>
              <w:ind w:left="91" w:right="90"/>
              <w:rPr>
                <w:sz w:val="16"/>
                <w:szCs w:val="16"/>
              </w:rPr>
            </w:pPr>
            <w:r w:rsidRPr="00FC5566">
              <w:rPr>
                <w:sz w:val="16"/>
                <w:szCs w:val="16"/>
              </w:rPr>
              <w:t>2. Plans for an existing school building may include retrofitting existing drinking fountains into water bottle filling stations.</w:t>
            </w:r>
          </w:p>
        </w:tc>
      </w:tr>
      <w:tr w:rsidR="00FC5566" w:rsidRPr="00FC5566" w14:paraId="3C79DEFE"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5813F4F9" w14:textId="77777777" w:rsidR="00FC5566" w:rsidRPr="00FC5566" w:rsidRDefault="00FC5566" w:rsidP="00FC5566">
            <w:pPr>
              <w:jc w:val="center"/>
              <w:rPr>
                <w:spacing w:val="-2"/>
                <w:sz w:val="16"/>
                <w:szCs w:val="16"/>
                <w:highlight w:val="yellow"/>
              </w:rPr>
            </w:pPr>
            <w:r w:rsidRPr="00FC5566">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10A9E12E" w14:textId="77777777" w:rsidR="00FC5566" w:rsidRPr="00FC5566" w:rsidRDefault="00FC5566" w:rsidP="00FC5566">
            <w:pPr>
              <w:ind w:left="96" w:right="58"/>
              <w:rPr>
                <w:i/>
                <w:sz w:val="16"/>
                <w:szCs w:val="16"/>
                <w:highlight w:val="yellow"/>
              </w:rPr>
            </w:pPr>
            <w:r w:rsidRPr="00FC5566">
              <w:rPr>
                <w:iCs/>
                <w:sz w:val="16"/>
                <w:szCs w:val="16"/>
              </w:rPr>
              <w:t>Section 410.6, Minimum Required Separation from Contamination.</w:t>
            </w:r>
          </w:p>
        </w:tc>
        <w:tc>
          <w:tcPr>
            <w:tcW w:w="7043" w:type="dxa"/>
            <w:gridSpan w:val="2"/>
            <w:tcBorders>
              <w:top w:val="single" w:sz="6" w:space="0" w:color="000000"/>
              <w:left w:val="single" w:sz="6" w:space="0" w:color="000000"/>
              <w:bottom w:val="single" w:sz="6" w:space="0" w:color="000000"/>
              <w:right w:val="single" w:sz="6" w:space="0" w:color="000000"/>
            </w:tcBorders>
          </w:tcPr>
          <w:p w14:paraId="60306AB1" w14:textId="77777777" w:rsidR="00FC5566" w:rsidRPr="00FC5566" w:rsidRDefault="00FC5566" w:rsidP="00FC5566">
            <w:pPr>
              <w:ind w:left="91" w:right="90"/>
              <w:rPr>
                <w:sz w:val="16"/>
                <w:szCs w:val="16"/>
                <w:highlight w:val="yellow"/>
              </w:rPr>
            </w:pPr>
            <w:r w:rsidRPr="00FC5566">
              <w:rPr>
                <w:sz w:val="16"/>
                <w:szCs w:val="16"/>
              </w:rPr>
              <w:t>Drinking fountain fixtures shall provide a minimum requirement of 18 inches of separation from its water outlet (spigot) to any source of contamination. Combination sink/drinking fountain units shall provide a minimum of 18 inches between the drinking fountain water outlet (spigot) and the nearest outside rim of the sink bowl [or other source(s) of contamination].</w:t>
            </w:r>
          </w:p>
        </w:tc>
      </w:tr>
      <w:tr w:rsidR="00FC5566" w:rsidRPr="00FC5566" w14:paraId="16C3D747"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2A6C962F" w14:textId="77777777" w:rsidR="00FC5566" w:rsidRPr="00FC5566" w:rsidRDefault="00FC5566" w:rsidP="00FC5566">
            <w:pPr>
              <w:jc w:val="center"/>
              <w:rPr>
                <w:spacing w:val="-2"/>
                <w:sz w:val="16"/>
                <w:szCs w:val="16"/>
              </w:rPr>
            </w:pPr>
            <w:r w:rsidRPr="00FC5566">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22CA4FBC" w14:textId="77777777" w:rsidR="00FC5566" w:rsidRPr="00FC5566" w:rsidRDefault="00FC5566" w:rsidP="00FC5566">
            <w:pPr>
              <w:ind w:left="96" w:right="58"/>
              <w:rPr>
                <w:i/>
                <w:sz w:val="16"/>
                <w:szCs w:val="16"/>
              </w:rPr>
            </w:pPr>
            <w:r w:rsidRPr="00FC5566">
              <w:rPr>
                <w:iCs/>
                <w:sz w:val="16"/>
                <w:szCs w:val="16"/>
              </w:rPr>
              <w:t>Exceptions</w:t>
            </w:r>
          </w:p>
        </w:tc>
        <w:tc>
          <w:tcPr>
            <w:tcW w:w="7043" w:type="dxa"/>
            <w:gridSpan w:val="2"/>
            <w:tcBorders>
              <w:top w:val="single" w:sz="6" w:space="0" w:color="000000"/>
              <w:left w:val="single" w:sz="6" w:space="0" w:color="000000"/>
              <w:bottom w:val="single" w:sz="6" w:space="0" w:color="000000"/>
              <w:right w:val="single" w:sz="6" w:space="0" w:color="000000"/>
            </w:tcBorders>
          </w:tcPr>
          <w:p w14:paraId="46619DC9" w14:textId="77777777" w:rsidR="00FC5566" w:rsidRPr="00FC5566" w:rsidRDefault="00FC5566" w:rsidP="00FC5566">
            <w:pPr>
              <w:ind w:left="91" w:right="90"/>
              <w:rPr>
                <w:b/>
                <w:bCs/>
                <w:sz w:val="16"/>
                <w:szCs w:val="16"/>
              </w:rPr>
            </w:pPr>
            <w:r w:rsidRPr="00FC5566">
              <w:rPr>
                <w:b/>
                <w:bCs/>
                <w:sz w:val="16"/>
                <w:szCs w:val="16"/>
              </w:rPr>
              <w:t>Exceptions:</w:t>
            </w:r>
          </w:p>
          <w:p w14:paraId="29EF1498" w14:textId="77777777" w:rsidR="00FC5566" w:rsidRPr="00FC5566" w:rsidRDefault="00FC5566" w:rsidP="00FC5566">
            <w:pPr>
              <w:ind w:left="91" w:right="90"/>
              <w:rPr>
                <w:sz w:val="16"/>
                <w:szCs w:val="16"/>
              </w:rPr>
            </w:pPr>
            <w:r w:rsidRPr="00FC5566">
              <w:rPr>
                <w:sz w:val="16"/>
                <w:szCs w:val="16"/>
              </w:rPr>
              <w:t>1. This 18 inch minimum separation may only be reduced by the use of a vertical shield made of a smooth, easily cleaned surface that is attached flush with the top surface of the unit and extends to a distance at least 18 inches in height above the drinking fountain water outlet (spigot) level.</w:t>
            </w:r>
          </w:p>
          <w:p w14:paraId="53F5C643" w14:textId="77777777" w:rsidR="00FC5566" w:rsidRPr="00FC5566" w:rsidRDefault="00FC5566" w:rsidP="00FC5566">
            <w:pPr>
              <w:ind w:left="91" w:right="90"/>
              <w:rPr>
                <w:sz w:val="16"/>
                <w:szCs w:val="16"/>
              </w:rPr>
            </w:pPr>
            <w:r w:rsidRPr="00FC5566">
              <w:rPr>
                <w:sz w:val="16"/>
                <w:szCs w:val="16"/>
              </w:rPr>
              <w:t>2. Prohibited Fixture. Combination sink/drinking fountain units which share the same sink bowl are prohibited except in individual prison cells.</w:t>
            </w:r>
          </w:p>
        </w:tc>
      </w:tr>
      <w:tr w:rsidR="00FC5566" w:rsidRPr="00FC5566" w14:paraId="6F3F7D36"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72267796" w14:textId="77777777" w:rsidR="00FC5566" w:rsidRPr="00FC5566" w:rsidRDefault="00FC5566" w:rsidP="00FC5566">
            <w:pPr>
              <w:jc w:val="center"/>
              <w:rPr>
                <w:spacing w:val="-2"/>
                <w:sz w:val="16"/>
                <w:szCs w:val="16"/>
                <w:highlight w:val="yellow"/>
              </w:rPr>
            </w:pPr>
            <w:r w:rsidRPr="00FC5566">
              <w:rPr>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48C6A98E" w14:textId="77777777" w:rsidR="00FC5566" w:rsidRPr="00FC5566" w:rsidRDefault="00FC5566" w:rsidP="00FC5566">
            <w:pPr>
              <w:ind w:left="96" w:right="58"/>
              <w:rPr>
                <w:i/>
                <w:sz w:val="16"/>
                <w:szCs w:val="16"/>
                <w:highlight w:val="yellow"/>
              </w:rPr>
            </w:pPr>
            <w:r w:rsidRPr="00FC5566">
              <w:rPr>
                <w:iCs/>
                <w:sz w:val="16"/>
                <w:szCs w:val="16"/>
              </w:rPr>
              <w:t>Section 413, Floor and Trench Drains.</w:t>
            </w:r>
          </w:p>
        </w:tc>
        <w:tc>
          <w:tcPr>
            <w:tcW w:w="7043" w:type="dxa"/>
            <w:gridSpan w:val="2"/>
            <w:tcBorders>
              <w:top w:val="single" w:sz="6" w:space="0" w:color="000000"/>
              <w:left w:val="single" w:sz="6" w:space="0" w:color="000000"/>
              <w:bottom w:val="single" w:sz="6" w:space="0" w:color="000000"/>
              <w:right w:val="single" w:sz="6" w:space="0" w:color="000000"/>
            </w:tcBorders>
          </w:tcPr>
          <w:p w14:paraId="0863945E" w14:textId="77777777" w:rsidR="00FC5566" w:rsidRPr="00FC5566" w:rsidRDefault="00FC5566" w:rsidP="00FC5566">
            <w:pPr>
              <w:ind w:left="91" w:right="90"/>
              <w:rPr>
                <w:sz w:val="16"/>
                <w:szCs w:val="16"/>
                <w:highlight w:val="yellow"/>
              </w:rPr>
            </w:pPr>
          </w:p>
        </w:tc>
      </w:tr>
      <w:tr w:rsidR="00FC5566" w:rsidRPr="00FC5566" w14:paraId="6C0B0FB6"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71B3811E" w14:textId="77777777" w:rsidR="00FC5566" w:rsidRPr="00FC5566" w:rsidRDefault="00FC5566" w:rsidP="00FC5566">
            <w:pPr>
              <w:jc w:val="center"/>
              <w:rPr>
                <w:spacing w:val="-2"/>
                <w:sz w:val="16"/>
                <w:szCs w:val="16"/>
                <w:highlight w:val="yellow"/>
              </w:rPr>
            </w:pPr>
            <w:r w:rsidRPr="00FC5566">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0E6D4986" w14:textId="77777777" w:rsidR="00FC5566" w:rsidRPr="00FC5566" w:rsidRDefault="00FC5566" w:rsidP="00FC5566">
            <w:pPr>
              <w:ind w:left="96" w:right="58"/>
              <w:rPr>
                <w:iCs/>
                <w:sz w:val="16"/>
                <w:szCs w:val="16"/>
              </w:rPr>
            </w:pPr>
            <w:r w:rsidRPr="00FC5566">
              <w:rPr>
                <w:iCs/>
                <w:sz w:val="16"/>
                <w:szCs w:val="16"/>
              </w:rPr>
              <w:t>Section 413.5,</w:t>
            </w:r>
          </w:p>
          <w:p w14:paraId="11AA4345" w14:textId="77777777" w:rsidR="00FC5566" w:rsidRPr="00FC5566" w:rsidRDefault="00FC5566" w:rsidP="00FC5566">
            <w:pPr>
              <w:ind w:left="96" w:right="58"/>
              <w:rPr>
                <w:iCs/>
                <w:sz w:val="16"/>
                <w:szCs w:val="16"/>
                <w:highlight w:val="yellow"/>
              </w:rPr>
            </w:pPr>
            <w:r w:rsidRPr="00FC5566">
              <w:rPr>
                <w:iCs/>
                <w:sz w:val="16"/>
                <w:szCs w:val="16"/>
              </w:rPr>
              <w:t>Miscellaneous Areas</w:t>
            </w:r>
          </w:p>
        </w:tc>
        <w:tc>
          <w:tcPr>
            <w:tcW w:w="7043" w:type="dxa"/>
            <w:gridSpan w:val="2"/>
            <w:tcBorders>
              <w:top w:val="single" w:sz="6" w:space="0" w:color="000000"/>
              <w:left w:val="single" w:sz="6" w:space="0" w:color="000000"/>
              <w:bottom w:val="single" w:sz="6" w:space="0" w:color="000000"/>
              <w:right w:val="single" w:sz="6" w:space="0" w:color="000000"/>
            </w:tcBorders>
          </w:tcPr>
          <w:p w14:paraId="4BE35A46" w14:textId="77777777" w:rsidR="00FC5566" w:rsidRPr="00FC5566" w:rsidRDefault="00FC5566" w:rsidP="00FC5566">
            <w:pPr>
              <w:ind w:left="91" w:right="90"/>
              <w:rPr>
                <w:sz w:val="16"/>
                <w:szCs w:val="16"/>
                <w:highlight w:val="yellow"/>
              </w:rPr>
            </w:pPr>
            <w:r w:rsidRPr="00FC5566">
              <w:rPr>
                <w:sz w:val="16"/>
                <w:szCs w:val="16"/>
              </w:rPr>
              <w:t>1. A floor drain shall be required in public toilet rooms, excluding hotel/motel guest rooms or patient rooms of a hospital or nursing home.</w:t>
            </w:r>
          </w:p>
        </w:tc>
      </w:tr>
      <w:tr w:rsidR="00FC5566" w:rsidRPr="00FC5566" w14:paraId="0C1929D3"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7F66A29D" w14:textId="77777777" w:rsidR="00FC5566" w:rsidRPr="00FC5566" w:rsidRDefault="00FC5566" w:rsidP="00FC5566">
            <w:pPr>
              <w:jc w:val="center"/>
              <w:rPr>
                <w:spacing w:val="-2"/>
                <w:sz w:val="16"/>
                <w:szCs w:val="16"/>
              </w:rPr>
            </w:pPr>
            <w:r w:rsidRPr="00FC5566">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1F7957A6" w14:textId="77777777" w:rsidR="00FC5566" w:rsidRPr="00FC5566" w:rsidRDefault="00FC5566" w:rsidP="00FC5566">
            <w:pPr>
              <w:ind w:left="96" w:right="58"/>
              <w:rPr>
                <w:iCs/>
                <w:sz w:val="16"/>
                <w:szCs w:val="16"/>
              </w:rPr>
            </w:pPr>
            <w:r w:rsidRPr="00FC5566">
              <w:rPr>
                <w:iCs/>
                <w:sz w:val="16"/>
                <w:szCs w:val="16"/>
              </w:rPr>
              <w:t>Section 422.4, Handwash Sinks.</w:t>
            </w:r>
          </w:p>
        </w:tc>
        <w:tc>
          <w:tcPr>
            <w:tcW w:w="7043" w:type="dxa"/>
            <w:gridSpan w:val="2"/>
            <w:tcBorders>
              <w:top w:val="single" w:sz="6" w:space="0" w:color="000000"/>
              <w:left w:val="single" w:sz="6" w:space="0" w:color="000000"/>
              <w:bottom w:val="single" w:sz="6" w:space="0" w:color="000000"/>
              <w:right w:val="single" w:sz="6" w:space="0" w:color="000000"/>
            </w:tcBorders>
          </w:tcPr>
          <w:p w14:paraId="0D244377" w14:textId="77777777" w:rsidR="00FC5566" w:rsidRPr="00FC5566" w:rsidRDefault="00FC5566" w:rsidP="00FC5566">
            <w:pPr>
              <w:ind w:left="91" w:right="90"/>
              <w:rPr>
                <w:sz w:val="16"/>
                <w:szCs w:val="16"/>
              </w:rPr>
            </w:pPr>
            <w:r w:rsidRPr="00FC5566">
              <w:rPr>
                <w:sz w:val="16"/>
                <w:szCs w:val="16"/>
              </w:rPr>
              <w:t>1. Dedicated handwash sinks shall be located to permit convenient use by all employees in food processing, food preparation, and other food handling areas.</w:t>
            </w:r>
          </w:p>
          <w:p w14:paraId="433CDCA2" w14:textId="77777777" w:rsidR="00FC5566" w:rsidRPr="00FC5566" w:rsidRDefault="00FC5566" w:rsidP="00FC5566">
            <w:pPr>
              <w:ind w:left="91" w:right="90"/>
              <w:rPr>
                <w:sz w:val="16"/>
                <w:szCs w:val="16"/>
              </w:rPr>
            </w:pPr>
            <w:r w:rsidRPr="00FC5566">
              <w:rPr>
                <w:sz w:val="16"/>
                <w:szCs w:val="16"/>
              </w:rPr>
              <w:t>2. Each commercial body art (tattoo) facility shall provide a hand-washing sink to be used solely for hand washing in body art procedure area for the exclusive use of the operator. A separate instrument sink shall also be provided for the sole purpose of cleaning instruments and equipment prior to sterilization.</w:t>
            </w:r>
          </w:p>
          <w:p w14:paraId="10E919BB" w14:textId="77777777" w:rsidR="00FC5566" w:rsidRPr="00FC5566" w:rsidRDefault="00FC5566" w:rsidP="00FC5566">
            <w:pPr>
              <w:ind w:left="91" w:right="90"/>
              <w:rPr>
                <w:sz w:val="16"/>
                <w:szCs w:val="16"/>
              </w:rPr>
            </w:pPr>
            <w:r w:rsidRPr="00FC5566">
              <w:rPr>
                <w:sz w:val="16"/>
                <w:szCs w:val="16"/>
              </w:rPr>
              <w:t>3. A hand washing sink may not be used for purposes other than hand washing.</w:t>
            </w:r>
          </w:p>
          <w:p w14:paraId="598CDD78" w14:textId="77777777" w:rsidR="00FC5566" w:rsidRPr="00FC5566" w:rsidRDefault="00FC5566" w:rsidP="00FC5566">
            <w:pPr>
              <w:ind w:left="91" w:right="90"/>
              <w:rPr>
                <w:sz w:val="16"/>
                <w:szCs w:val="16"/>
              </w:rPr>
            </w:pPr>
            <w:r w:rsidRPr="00FC5566">
              <w:rPr>
                <w:sz w:val="16"/>
                <w:szCs w:val="16"/>
              </w:rPr>
              <w:t>4. Sinks used for food preparation or for washing and sanitizing of equipment and utensils shall not be used for hand washing.</w:t>
            </w:r>
          </w:p>
        </w:tc>
      </w:tr>
      <w:tr w:rsidR="00FC5566" w:rsidRPr="00FC5566" w14:paraId="78F4B067"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3C664657" w14:textId="77777777" w:rsidR="00FC5566" w:rsidRPr="00FC5566" w:rsidRDefault="00FC5566" w:rsidP="00FC5566">
            <w:pPr>
              <w:jc w:val="center"/>
              <w:rPr>
                <w:spacing w:val="-2"/>
                <w:sz w:val="16"/>
                <w:szCs w:val="16"/>
              </w:rPr>
            </w:pPr>
            <w:r w:rsidRPr="00FC5566">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3AA54468" w14:textId="77777777" w:rsidR="00FC5566" w:rsidRPr="00FC5566" w:rsidRDefault="00FC5566" w:rsidP="00FC5566">
            <w:pPr>
              <w:ind w:left="96" w:right="58"/>
              <w:rPr>
                <w:iCs/>
                <w:sz w:val="16"/>
                <w:szCs w:val="16"/>
              </w:rPr>
            </w:pPr>
            <w:r w:rsidRPr="00FC5566">
              <w:rPr>
                <w:iCs/>
                <w:sz w:val="16"/>
                <w:szCs w:val="16"/>
              </w:rPr>
              <w:t>Section 422.5, Handwashing Facilities.</w:t>
            </w:r>
          </w:p>
        </w:tc>
        <w:tc>
          <w:tcPr>
            <w:tcW w:w="7043" w:type="dxa"/>
            <w:gridSpan w:val="2"/>
            <w:tcBorders>
              <w:top w:val="single" w:sz="6" w:space="0" w:color="000000"/>
              <w:left w:val="single" w:sz="6" w:space="0" w:color="000000"/>
              <w:bottom w:val="single" w:sz="6" w:space="0" w:color="000000"/>
              <w:right w:val="single" w:sz="6" w:space="0" w:color="000000"/>
            </w:tcBorders>
          </w:tcPr>
          <w:p w14:paraId="713E2A96" w14:textId="77777777" w:rsidR="00FC5566" w:rsidRPr="00FC5566" w:rsidRDefault="00FC5566" w:rsidP="00FC5566">
            <w:pPr>
              <w:ind w:left="91" w:right="90"/>
              <w:rPr>
                <w:sz w:val="16"/>
                <w:szCs w:val="16"/>
              </w:rPr>
            </w:pPr>
            <w:r w:rsidRPr="00FC5566">
              <w:rPr>
                <w:sz w:val="16"/>
                <w:szCs w:val="16"/>
              </w:rPr>
              <w:t>Medical facilities, including doctor’s office and clinics, shall be provided with hand-washing facilities within each patient examination and treatment room. The hand wash facility shall be provided with hot and cold water delivered via a mixing faucet.</w:t>
            </w:r>
          </w:p>
        </w:tc>
      </w:tr>
      <w:tr w:rsidR="00FC5566" w:rsidRPr="00FC5566" w14:paraId="2DE7A8B6"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5E205F9E" w14:textId="77777777" w:rsidR="00FC5566" w:rsidRPr="00FC5566" w:rsidRDefault="00FC5566" w:rsidP="00FC5566">
            <w:pPr>
              <w:jc w:val="center"/>
              <w:rPr>
                <w:spacing w:val="-2"/>
                <w:sz w:val="16"/>
                <w:szCs w:val="16"/>
              </w:rPr>
            </w:pPr>
            <w:r w:rsidRPr="00FC5566">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1B012883" w14:textId="77777777" w:rsidR="00FC5566" w:rsidRPr="00FC5566" w:rsidRDefault="00FC5566" w:rsidP="00FC5566">
            <w:pPr>
              <w:ind w:left="96" w:right="58"/>
              <w:rPr>
                <w:iCs/>
                <w:sz w:val="16"/>
                <w:szCs w:val="16"/>
              </w:rPr>
            </w:pPr>
            <w:r w:rsidRPr="00FC5566">
              <w:rPr>
                <w:iCs/>
                <w:sz w:val="16"/>
                <w:szCs w:val="16"/>
              </w:rPr>
              <w:t>Exception</w:t>
            </w:r>
          </w:p>
        </w:tc>
        <w:tc>
          <w:tcPr>
            <w:tcW w:w="7043" w:type="dxa"/>
            <w:gridSpan w:val="2"/>
            <w:tcBorders>
              <w:top w:val="single" w:sz="6" w:space="0" w:color="000000"/>
              <w:left w:val="single" w:sz="6" w:space="0" w:color="000000"/>
              <w:bottom w:val="single" w:sz="6" w:space="0" w:color="000000"/>
              <w:right w:val="single" w:sz="6" w:space="0" w:color="000000"/>
            </w:tcBorders>
          </w:tcPr>
          <w:p w14:paraId="167BE396" w14:textId="77777777" w:rsidR="00FC5566" w:rsidRPr="00FC5566" w:rsidRDefault="00FC5566" w:rsidP="00FC5566">
            <w:pPr>
              <w:ind w:left="91" w:right="90"/>
              <w:rPr>
                <w:b/>
                <w:bCs/>
                <w:sz w:val="16"/>
                <w:szCs w:val="16"/>
              </w:rPr>
            </w:pPr>
            <w:r w:rsidRPr="00FC5566">
              <w:rPr>
                <w:b/>
                <w:bCs/>
                <w:sz w:val="16"/>
                <w:szCs w:val="16"/>
              </w:rPr>
              <w:t>Exception:</w:t>
            </w:r>
          </w:p>
          <w:p w14:paraId="29D6BB99" w14:textId="77777777" w:rsidR="00FC5566" w:rsidRPr="00FC5566" w:rsidRDefault="00FC5566" w:rsidP="00FC5566">
            <w:pPr>
              <w:ind w:left="91" w:right="90"/>
              <w:rPr>
                <w:sz w:val="16"/>
                <w:szCs w:val="16"/>
              </w:rPr>
            </w:pPr>
            <w:r w:rsidRPr="00FC5566">
              <w:rPr>
                <w:sz w:val="16"/>
                <w:szCs w:val="16"/>
              </w:rPr>
              <w:t>In healthcare setting such as doctor's offices and clinics where there is no reasonably anticipated exposure to blood or other potentially infectious materials (OPIM), where hands are not expected to be visibly soiled and clinical situations described in items 1C-J (IA) (74,93,166,169,283,294,312,398) are followed, use of an alcohol-based hand rub for routinely decontaminating hands shall be allowed in lieu of handwashing facilities. The design professional shall provide documentation to the building official specifying the anticipated exposure.</w:t>
            </w:r>
          </w:p>
        </w:tc>
      </w:tr>
      <w:tr w:rsidR="00FC5566" w:rsidRPr="00FC5566" w14:paraId="3B6BBC58" w14:textId="77777777" w:rsidTr="00B247D5">
        <w:trPr>
          <w:trHeight w:val="274"/>
        </w:trPr>
        <w:tc>
          <w:tcPr>
            <w:tcW w:w="1072" w:type="dxa"/>
            <w:tcBorders>
              <w:top w:val="single" w:sz="6" w:space="0" w:color="000000"/>
              <w:left w:val="single" w:sz="6" w:space="0" w:color="000000"/>
              <w:bottom w:val="single" w:sz="6" w:space="0" w:color="000000"/>
              <w:right w:val="single" w:sz="6" w:space="0" w:color="000000"/>
            </w:tcBorders>
          </w:tcPr>
          <w:p w14:paraId="2B401693" w14:textId="77777777" w:rsidR="00FC5566" w:rsidRPr="00FC5566" w:rsidRDefault="00FC5566" w:rsidP="00FC5566">
            <w:pPr>
              <w:jc w:val="center"/>
              <w:rPr>
                <w:spacing w:val="-2"/>
                <w:sz w:val="16"/>
                <w:szCs w:val="16"/>
              </w:rPr>
            </w:pPr>
            <w:r w:rsidRPr="00FC5566">
              <w:rPr>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54AED1AE" w14:textId="77777777" w:rsidR="00FC5566" w:rsidRPr="00FC5566" w:rsidRDefault="00FC5566" w:rsidP="00FC5566">
            <w:pPr>
              <w:ind w:left="96" w:right="58"/>
              <w:rPr>
                <w:iCs/>
                <w:sz w:val="16"/>
                <w:szCs w:val="16"/>
              </w:rPr>
            </w:pPr>
            <w:r w:rsidRPr="00FC5566">
              <w:rPr>
                <w:sz w:val="16"/>
                <w:szCs w:val="16"/>
              </w:rPr>
              <w:t>Chapter</w:t>
            </w:r>
            <w:r w:rsidRPr="00FC5566">
              <w:rPr>
                <w:spacing w:val="-6"/>
                <w:sz w:val="16"/>
                <w:szCs w:val="16"/>
              </w:rPr>
              <w:t xml:space="preserve"> </w:t>
            </w:r>
            <w:r w:rsidRPr="00FC5566">
              <w:rPr>
                <w:sz w:val="16"/>
                <w:szCs w:val="16"/>
              </w:rPr>
              <w:t>5,</w:t>
            </w:r>
            <w:r w:rsidRPr="00FC5566">
              <w:rPr>
                <w:spacing w:val="-5"/>
                <w:sz w:val="16"/>
                <w:szCs w:val="16"/>
              </w:rPr>
              <w:t xml:space="preserve"> </w:t>
            </w:r>
            <w:r w:rsidRPr="00FC5566">
              <w:rPr>
                <w:sz w:val="16"/>
                <w:szCs w:val="16"/>
              </w:rPr>
              <w:t>Water</w:t>
            </w:r>
            <w:r w:rsidRPr="00FC5566">
              <w:rPr>
                <w:spacing w:val="-5"/>
                <w:sz w:val="16"/>
                <w:szCs w:val="16"/>
              </w:rPr>
              <w:t xml:space="preserve"> </w:t>
            </w:r>
            <w:r w:rsidRPr="00FC5566">
              <w:rPr>
                <w:spacing w:val="-2"/>
                <w:sz w:val="16"/>
                <w:szCs w:val="16"/>
              </w:rPr>
              <w:t>Heaters</w:t>
            </w:r>
          </w:p>
        </w:tc>
        <w:tc>
          <w:tcPr>
            <w:tcW w:w="7043" w:type="dxa"/>
            <w:gridSpan w:val="2"/>
            <w:tcBorders>
              <w:top w:val="single" w:sz="6" w:space="0" w:color="000000"/>
              <w:left w:val="single" w:sz="6" w:space="0" w:color="000000"/>
              <w:bottom w:val="single" w:sz="6" w:space="0" w:color="000000"/>
              <w:right w:val="single" w:sz="6" w:space="0" w:color="000000"/>
            </w:tcBorders>
          </w:tcPr>
          <w:p w14:paraId="51AED69A" w14:textId="77777777" w:rsidR="00FC5566" w:rsidRPr="00FC5566" w:rsidRDefault="00FC5566" w:rsidP="00FC5566">
            <w:pPr>
              <w:ind w:left="91" w:right="90"/>
              <w:rPr>
                <w:sz w:val="16"/>
                <w:szCs w:val="16"/>
              </w:rPr>
            </w:pPr>
          </w:p>
        </w:tc>
      </w:tr>
      <w:tr w:rsidR="00FC5566" w:rsidRPr="00FC5566" w14:paraId="63D35957"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2F25531D" w14:textId="77777777" w:rsidR="00FC5566" w:rsidRPr="00FC5566" w:rsidRDefault="00FC5566" w:rsidP="00FC5566">
            <w:pPr>
              <w:jc w:val="center"/>
              <w:rPr>
                <w:spacing w:val="-2"/>
                <w:sz w:val="16"/>
                <w:szCs w:val="16"/>
              </w:rPr>
            </w:pPr>
            <w:r w:rsidRPr="00FC5566">
              <w:rPr>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45F23C87" w14:textId="77777777" w:rsidR="00FC5566" w:rsidRPr="00FC5566" w:rsidRDefault="00FC5566" w:rsidP="00FC5566">
            <w:pPr>
              <w:ind w:left="96" w:right="58"/>
              <w:rPr>
                <w:iCs/>
                <w:sz w:val="16"/>
                <w:szCs w:val="16"/>
              </w:rPr>
            </w:pPr>
            <w:r w:rsidRPr="00FC5566">
              <w:rPr>
                <w:sz w:val="16"/>
                <w:szCs w:val="16"/>
              </w:rPr>
              <w:t>Section</w:t>
            </w:r>
            <w:r w:rsidRPr="00FC5566">
              <w:rPr>
                <w:spacing w:val="-8"/>
                <w:sz w:val="16"/>
                <w:szCs w:val="16"/>
              </w:rPr>
              <w:t xml:space="preserve"> </w:t>
            </w:r>
            <w:r w:rsidRPr="00FC5566">
              <w:rPr>
                <w:spacing w:val="-2"/>
                <w:sz w:val="16"/>
                <w:szCs w:val="16"/>
              </w:rPr>
              <w:t>504.6, Requirements for Discharge Piping</w:t>
            </w:r>
          </w:p>
        </w:tc>
        <w:tc>
          <w:tcPr>
            <w:tcW w:w="7043" w:type="dxa"/>
            <w:gridSpan w:val="2"/>
            <w:tcBorders>
              <w:top w:val="single" w:sz="6" w:space="0" w:color="000000"/>
              <w:left w:val="single" w:sz="6" w:space="0" w:color="000000"/>
              <w:bottom w:val="single" w:sz="6" w:space="0" w:color="000000"/>
              <w:right w:val="single" w:sz="6" w:space="0" w:color="000000"/>
            </w:tcBorders>
          </w:tcPr>
          <w:p w14:paraId="7908DB56" w14:textId="77777777" w:rsidR="00FC5566" w:rsidRPr="00FC5566" w:rsidRDefault="00FC5566" w:rsidP="00FC5566">
            <w:pPr>
              <w:ind w:left="91" w:right="90"/>
              <w:rPr>
                <w:sz w:val="16"/>
                <w:szCs w:val="16"/>
              </w:rPr>
            </w:pPr>
          </w:p>
        </w:tc>
      </w:tr>
      <w:tr w:rsidR="00FC5566" w:rsidRPr="00FC5566" w14:paraId="3DC6C728"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3E175C69" w14:textId="77777777" w:rsidR="00FC5566" w:rsidRPr="00FC5566" w:rsidRDefault="00FC5566" w:rsidP="00FC5566">
            <w:pPr>
              <w:jc w:val="center"/>
              <w:rPr>
                <w:spacing w:val="-2"/>
                <w:sz w:val="16"/>
                <w:szCs w:val="16"/>
              </w:rPr>
            </w:pPr>
            <w:r w:rsidRPr="00FC5566">
              <w:rPr>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21410103" w14:textId="77777777" w:rsidR="00FC5566" w:rsidRPr="00FC5566" w:rsidRDefault="00FC5566" w:rsidP="00FC5566">
            <w:pPr>
              <w:ind w:left="96" w:right="58"/>
              <w:rPr>
                <w:sz w:val="16"/>
                <w:szCs w:val="16"/>
              </w:rPr>
            </w:pPr>
            <w:r w:rsidRPr="00FC5566">
              <w:rPr>
                <w:sz w:val="16"/>
                <w:szCs w:val="16"/>
              </w:rPr>
              <w:t>Item (5.)</w:t>
            </w:r>
          </w:p>
        </w:tc>
        <w:tc>
          <w:tcPr>
            <w:tcW w:w="7043" w:type="dxa"/>
            <w:gridSpan w:val="2"/>
            <w:tcBorders>
              <w:top w:val="single" w:sz="6" w:space="0" w:color="000000"/>
              <w:left w:val="single" w:sz="6" w:space="0" w:color="000000"/>
              <w:bottom w:val="single" w:sz="6" w:space="0" w:color="000000"/>
              <w:right w:val="single" w:sz="6" w:space="0" w:color="000000"/>
            </w:tcBorders>
          </w:tcPr>
          <w:p w14:paraId="55D093E6" w14:textId="77777777" w:rsidR="00FC5566" w:rsidRPr="00FC5566" w:rsidRDefault="00FC5566" w:rsidP="00FC5566">
            <w:pPr>
              <w:ind w:left="91" w:right="90"/>
              <w:rPr>
                <w:sz w:val="16"/>
                <w:szCs w:val="16"/>
              </w:rPr>
            </w:pPr>
            <w:r w:rsidRPr="00FC5566">
              <w:rPr>
                <w:sz w:val="16"/>
                <w:szCs w:val="16"/>
              </w:rPr>
              <w:t>5. Discharge to the floor, to a waste receptor, mop sinks or to the outdoors</w:t>
            </w:r>
          </w:p>
        </w:tc>
      </w:tr>
      <w:tr w:rsidR="00FC5566" w:rsidRPr="00FC5566" w14:paraId="54A737EC" w14:textId="77777777" w:rsidTr="00B247D5">
        <w:trPr>
          <w:trHeight w:val="187"/>
        </w:trPr>
        <w:tc>
          <w:tcPr>
            <w:tcW w:w="1072" w:type="dxa"/>
          </w:tcPr>
          <w:p w14:paraId="0DD312E4" w14:textId="77777777" w:rsidR="00FC5566" w:rsidRPr="00FC5566" w:rsidRDefault="00FC5566" w:rsidP="00FC5566">
            <w:pPr>
              <w:jc w:val="center"/>
              <w:rPr>
                <w:spacing w:val="-2"/>
                <w:sz w:val="16"/>
                <w:szCs w:val="16"/>
              </w:rPr>
            </w:pPr>
            <w:r w:rsidRPr="00FC5566">
              <w:rPr>
                <w:spacing w:val="-2"/>
                <w:sz w:val="16"/>
                <w:szCs w:val="16"/>
              </w:rPr>
              <w:t>Amend</w:t>
            </w:r>
          </w:p>
        </w:tc>
        <w:tc>
          <w:tcPr>
            <w:tcW w:w="2415" w:type="dxa"/>
            <w:gridSpan w:val="2"/>
          </w:tcPr>
          <w:p w14:paraId="758861A2" w14:textId="77777777" w:rsidR="00FC5566" w:rsidRPr="00FC5566" w:rsidRDefault="00FC5566" w:rsidP="00FC5566">
            <w:pPr>
              <w:ind w:left="96" w:right="58"/>
              <w:rPr>
                <w:iCs/>
                <w:sz w:val="16"/>
                <w:szCs w:val="16"/>
              </w:rPr>
            </w:pPr>
            <w:r w:rsidRPr="00FC5566">
              <w:rPr>
                <w:sz w:val="16"/>
                <w:szCs w:val="16"/>
              </w:rPr>
              <w:t>Chapter</w:t>
            </w:r>
            <w:r w:rsidRPr="00FC5566">
              <w:rPr>
                <w:spacing w:val="-6"/>
                <w:sz w:val="16"/>
                <w:szCs w:val="16"/>
              </w:rPr>
              <w:t xml:space="preserve"> </w:t>
            </w:r>
            <w:r w:rsidRPr="00FC5566">
              <w:rPr>
                <w:sz w:val="16"/>
                <w:szCs w:val="16"/>
              </w:rPr>
              <w:t>6,</w:t>
            </w:r>
            <w:r w:rsidRPr="00FC5566">
              <w:rPr>
                <w:spacing w:val="-5"/>
                <w:sz w:val="16"/>
                <w:szCs w:val="16"/>
              </w:rPr>
              <w:t xml:space="preserve"> </w:t>
            </w:r>
            <w:r w:rsidRPr="00FC5566">
              <w:rPr>
                <w:sz w:val="16"/>
                <w:szCs w:val="16"/>
              </w:rPr>
              <w:t>Water</w:t>
            </w:r>
            <w:r w:rsidRPr="00FC5566">
              <w:rPr>
                <w:spacing w:val="-5"/>
                <w:sz w:val="16"/>
                <w:szCs w:val="16"/>
              </w:rPr>
              <w:t xml:space="preserve"> </w:t>
            </w:r>
            <w:r w:rsidRPr="00FC5566">
              <w:rPr>
                <w:spacing w:val="-2"/>
                <w:sz w:val="16"/>
                <w:szCs w:val="16"/>
              </w:rPr>
              <w:t>Supply</w:t>
            </w:r>
            <w:r w:rsidRPr="00FC5566">
              <w:rPr>
                <w:sz w:val="16"/>
                <w:szCs w:val="16"/>
              </w:rPr>
              <w:t xml:space="preserve"> and</w:t>
            </w:r>
            <w:r w:rsidRPr="00FC5566">
              <w:rPr>
                <w:spacing w:val="-3"/>
                <w:sz w:val="16"/>
                <w:szCs w:val="16"/>
              </w:rPr>
              <w:t xml:space="preserve"> </w:t>
            </w:r>
            <w:r w:rsidRPr="00FC5566">
              <w:rPr>
                <w:spacing w:val="-2"/>
                <w:sz w:val="16"/>
                <w:szCs w:val="16"/>
              </w:rPr>
              <w:t>Distribution.</w:t>
            </w:r>
          </w:p>
        </w:tc>
        <w:tc>
          <w:tcPr>
            <w:tcW w:w="7043" w:type="dxa"/>
            <w:gridSpan w:val="2"/>
          </w:tcPr>
          <w:p w14:paraId="0C167585" w14:textId="77777777" w:rsidR="00FC5566" w:rsidRPr="00FC5566" w:rsidRDefault="00FC5566" w:rsidP="00FC5566">
            <w:pPr>
              <w:ind w:left="91" w:right="90"/>
              <w:rPr>
                <w:sz w:val="16"/>
                <w:szCs w:val="16"/>
              </w:rPr>
            </w:pPr>
          </w:p>
        </w:tc>
      </w:tr>
      <w:tr w:rsidR="00FC5566" w:rsidRPr="00FC5566" w14:paraId="0FD4A17D" w14:textId="77777777" w:rsidTr="00B247D5">
        <w:trPr>
          <w:trHeight w:val="187"/>
        </w:trPr>
        <w:tc>
          <w:tcPr>
            <w:tcW w:w="1072" w:type="dxa"/>
          </w:tcPr>
          <w:p w14:paraId="2E1932F3" w14:textId="77777777" w:rsidR="00FC5566" w:rsidRPr="00FC5566" w:rsidRDefault="00FC5566" w:rsidP="00FC5566">
            <w:pPr>
              <w:jc w:val="center"/>
              <w:rPr>
                <w:spacing w:val="-2"/>
                <w:sz w:val="16"/>
                <w:szCs w:val="16"/>
              </w:rPr>
            </w:pPr>
            <w:r w:rsidRPr="00FC5566">
              <w:rPr>
                <w:spacing w:val="-2"/>
                <w:sz w:val="16"/>
                <w:szCs w:val="16"/>
              </w:rPr>
              <w:t>Amend</w:t>
            </w:r>
          </w:p>
        </w:tc>
        <w:tc>
          <w:tcPr>
            <w:tcW w:w="2415" w:type="dxa"/>
            <w:gridSpan w:val="2"/>
          </w:tcPr>
          <w:p w14:paraId="17C4626E" w14:textId="77777777" w:rsidR="00FC5566" w:rsidRPr="00FC5566" w:rsidRDefault="00FC5566" w:rsidP="00FC5566">
            <w:pPr>
              <w:ind w:left="96" w:right="58"/>
              <w:rPr>
                <w:iCs/>
                <w:sz w:val="16"/>
                <w:szCs w:val="16"/>
              </w:rPr>
            </w:pPr>
            <w:r w:rsidRPr="00FC5566">
              <w:rPr>
                <w:sz w:val="16"/>
                <w:szCs w:val="16"/>
              </w:rPr>
              <w:t>Section</w:t>
            </w:r>
            <w:r w:rsidRPr="00FC5566">
              <w:rPr>
                <w:spacing w:val="-10"/>
                <w:sz w:val="16"/>
                <w:szCs w:val="16"/>
              </w:rPr>
              <w:t xml:space="preserve"> </w:t>
            </w:r>
            <w:r w:rsidRPr="00FC5566">
              <w:rPr>
                <w:sz w:val="16"/>
                <w:szCs w:val="16"/>
              </w:rPr>
              <w:t>602.3,</w:t>
            </w:r>
            <w:r w:rsidRPr="00FC5566">
              <w:rPr>
                <w:spacing w:val="-10"/>
                <w:sz w:val="16"/>
                <w:szCs w:val="16"/>
              </w:rPr>
              <w:t xml:space="preserve"> </w:t>
            </w:r>
            <w:r w:rsidRPr="00FC5566">
              <w:rPr>
                <w:sz w:val="16"/>
                <w:szCs w:val="16"/>
              </w:rPr>
              <w:t>Individual</w:t>
            </w:r>
            <w:r w:rsidRPr="00FC5566">
              <w:rPr>
                <w:spacing w:val="40"/>
                <w:sz w:val="16"/>
                <w:szCs w:val="16"/>
              </w:rPr>
              <w:t xml:space="preserve"> </w:t>
            </w:r>
            <w:r w:rsidRPr="00FC5566">
              <w:rPr>
                <w:sz w:val="16"/>
                <w:szCs w:val="16"/>
              </w:rPr>
              <w:t>Water</w:t>
            </w:r>
            <w:r w:rsidRPr="00FC5566">
              <w:rPr>
                <w:spacing w:val="-3"/>
                <w:sz w:val="16"/>
                <w:szCs w:val="16"/>
              </w:rPr>
              <w:t xml:space="preserve"> </w:t>
            </w:r>
            <w:r w:rsidRPr="00FC5566">
              <w:rPr>
                <w:sz w:val="16"/>
                <w:szCs w:val="16"/>
              </w:rPr>
              <w:t>Supply.</w:t>
            </w:r>
          </w:p>
        </w:tc>
        <w:tc>
          <w:tcPr>
            <w:tcW w:w="7043" w:type="dxa"/>
            <w:gridSpan w:val="2"/>
          </w:tcPr>
          <w:p w14:paraId="6400DABE" w14:textId="77777777" w:rsidR="00FC5566" w:rsidRPr="00FC5566" w:rsidRDefault="00FC5566" w:rsidP="00FC5566">
            <w:pPr>
              <w:ind w:left="91" w:right="90"/>
              <w:rPr>
                <w:sz w:val="16"/>
                <w:szCs w:val="16"/>
              </w:rPr>
            </w:pPr>
            <w:r w:rsidRPr="00FC5566">
              <w:rPr>
                <w:sz w:val="16"/>
                <w:szCs w:val="16"/>
              </w:rPr>
              <w:t>Where</w:t>
            </w:r>
            <w:r w:rsidRPr="00FC5566">
              <w:rPr>
                <w:spacing w:val="-4"/>
                <w:sz w:val="16"/>
                <w:szCs w:val="16"/>
              </w:rPr>
              <w:t xml:space="preserve"> </w:t>
            </w:r>
            <w:r w:rsidRPr="00FC5566">
              <w:rPr>
                <w:sz w:val="16"/>
                <w:szCs w:val="16"/>
              </w:rPr>
              <w:t>a</w:t>
            </w:r>
            <w:r w:rsidRPr="00FC5566">
              <w:rPr>
                <w:spacing w:val="-1"/>
                <w:sz w:val="16"/>
                <w:szCs w:val="16"/>
              </w:rPr>
              <w:t xml:space="preserve"> </w:t>
            </w:r>
            <w:r w:rsidRPr="00FC5566">
              <w:rPr>
                <w:sz w:val="16"/>
                <w:szCs w:val="16"/>
              </w:rPr>
              <w:t>potable</w:t>
            </w:r>
            <w:r w:rsidRPr="00FC5566">
              <w:rPr>
                <w:spacing w:val="-4"/>
                <w:sz w:val="16"/>
                <w:szCs w:val="16"/>
              </w:rPr>
              <w:t xml:space="preserve"> </w:t>
            </w:r>
            <w:r w:rsidRPr="00FC5566">
              <w:rPr>
                <w:sz w:val="16"/>
                <w:szCs w:val="16"/>
              </w:rPr>
              <w:t>public</w:t>
            </w:r>
            <w:r w:rsidRPr="00FC5566">
              <w:rPr>
                <w:spacing w:val="-1"/>
                <w:sz w:val="16"/>
                <w:szCs w:val="16"/>
              </w:rPr>
              <w:t xml:space="preserve"> </w:t>
            </w:r>
            <w:r w:rsidRPr="00FC5566">
              <w:rPr>
                <w:sz w:val="16"/>
                <w:szCs w:val="16"/>
              </w:rPr>
              <w:t>water</w:t>
            </w:r>
            <w:r w:rsidRPr="00FC5566">
              <w:rPr>
                <w:spacing w:val="-3"/>
                <w:sz w:val="16"/>
                <w:szCs w:val="16"/>
              </w:rPr>
              <w:t xml:space="preserve"> </w:t>
            </w:r>
            <w:r w:rsidRPr="00FC5566">
              <w:rPr>
                <w:sz w:val="16"/>
                <w:szCs w:val="16"/>
              </w:rPr>
              <w:t>supply</w:t>
            </w:r>
            <w:r w:rsidRPr="00FC5566">
              <w:rPr>
                <w:spacing w:val="-5"/>
                <w:sz w:val="16"/>
                <w:szCs w:val="16"/>
              </w:rPr>
              <w:t xml:space="preserve"> </w:t>
            </w:r>
            <w:r w:rsidRPr="00FC5566">
              <w:rPr>
                <w:sz w:val="16"/>
                <w:szCs w:val="16"/>
              </w:rPr>
              <w:t>is</w:t>
            </w:r>
            <w:r w:rsidRPr="00FC5566">
              <w:rPr>
                <w:spacing w:val="-2"/>
                <w:sz w:val="16"/>
                <w:szCs w:val="16"/>
              </w:rPr>
              <w:t xml:space="preserve"> </w:t>
            </w:r>
            <w:r w:rsidRPr="00FC5566">
              <w:rPr>
                <w:sz w:val="16"/>
                <w:szCs w:val="16"/>
              </w:rPr>
              <w:t>not</w:t>
            </w:r>
            <w:r w:rsidRPr="00FC5566">
              <w:rPr>
                <w:spacing w:val="-3"/>
                <w:sz w:val="16"/>
                <w:szCs w:val="16"/>
              </w:rPr>
              <w:t xml:space="preserve"> </w:t>
            </w:r>
            <w:r w:rsidRPr="00FC5566">
              <w:rPr>
                <w:sz w:val="16"/>
                <w:szCs w:val="16"/>
              </w:rPr>
              <w:t>available,</w:t>
            </w:r>
            <w:r w:rsidRPr="00FC5566">
              <w:rPr>
                <w:spacing w:val="-1"/>
                <w:sz w:val="16"/>
                <w:szCs w:val="16"/>
              </w:rPr>
              <w:t xml:space="preserve"> </w:t>
            </w:r>
            <w:r w:rsidRPr="00FC5566">
              <w:rPr>
                <w:sz w:val="16"/>
                <w:szCs w:val="16"/>
              </w:rPr>
              <w:t>a</w:t>
            </w:r>
            <w:r w:rsidRPr="00FC5566">
              <w:rPr>
                <w:spacing w:val="-4"/>
                <w:sz w:val="16"/>
                <w:szCs w:val="16"/>
              </w:rPr>
              <w:t xml:space="preserve"> </w:t>
            </w:r>
            <w:r w:rsidRPr="00FC5566">
              <w:rPr>
                <w:sz w:val="16"/>
                <w:szCs w:val="16"/>
              </w:rPr>
              <w:t>private</w:t>
            </w:r>
            <w:r w:rsidRPr="00FC5566">
              <w:rPr>
                <w:spacing w:val="-4"/>
                <w:sz w:val="16"/>
                <w:szCs w:val="16"/>
              </w:rPr>
              <w:t xml:space="preserve"> </w:t>
            </w:r>
            <w:r w:rsidRPr="00FC5566">
              <w:rPr>
                <w:sz w:val="16"/>
                <w:szCs w:val="16"/>
              </w:rPr>
              <w:t>water</w:t>
            </w:r>
            <w:r w:rsidRPr="00FC5566">
              <w:rPr>
                <w:spacing w:val="-3"/>
                <w:sz w:val="16"/>
                <w:szCs w:val="16"/>
              </w:rPr>
              <w:t xml:space="preserve"> </w:t>
            </w:r>
            <w:r w:rsidRPr="00FC5566">
              <w:rPr>
                <w:sz w:val="16"/>
                <w:szCs w:val="16"/>
              </w:rPr>
              <w:t>supply</w:t>
            </w:r>
            <w:r w:rsidRPr="00FC5566">
              <w:rPr>
                <w:spacing w:val="-3"/>
                <w:sz w:val="16"/>
                <w:szCs w:val="16"/>
              </w:rPr>
              <w:t xml:space="preserve"> </w:t>
            </w:r>
            <w:r w:rsidRPr="00FC5566">
              <w:rPr>
                <w:sz w:val="16"/>
                <w:szCs w:val="16"/>
              </w:rPr>
              <w:t>meeting</w:t>
            </w:r>
            <w:r w:rsidRPr="00FC5566">
              <w:rPr>
                <w:spacing w:val="-3"/>
                <w:sz w:val="16"/>
                <w:szCs w:val="16"/>
              </w:rPr>
              <w:t xml:space="preserve"> </w:t>
            </w:r>
            <w:r w:rsidRPr="00FC5566">
              <w:rPr>
                <w:sz w:val="16"/>
                <w:szCs w:val="16"/>
              </w:rPr>
              <w:t>the</w:t>
            </w:r>
            <w:r w:rsidRPr="00FC5566">
              <w:rPr>
                <w:spacing w:val="-4"/>
                <w:sz w:val="16"/>
                <w:szCs w:val="16"/>
              </w:rPr>
              <w:t xml:space="preserve"> </w:t>
            </w:r>
            <w:r w:rsidRPr="00FC5566">
              <w:rPr>
                <w:sz w:val="16"/>
                <w:szCs w:val="16"/>
              </w:rPr>
              <w:t>applicable</w:t>
            </w:r>
            <w:r w:rsidRPr="00FC5566">
              <w:rPr>
                <w:spacing w:val="-4"/>
                <w:sz w:val="16"/>
                <w:szCs w:val="16"/>
              </w:rPr>
              <w:t xml:space="preserve"> </w:t>
            </w:r>
            <w:r w:rsidRPr="00FC5566">
              <w:rPr>
                <w:sz w:val="16"/>
                <w:szCs w:val="16"/>
              </w:rPr>
              <w:t>requirements of</w:t>
            </w:r>
            <w:r w:rsidRPr="00FC5566">
              <w:rPr>
                <w:spacing w:val="40"/>
                <w:sz w:val="16"/>
                <w:szCs w:val="16"/>
              </w:rPr>
              <w:t xml:space="preserve"> </w:t>
            </w:r>
            <w:r w:rsidRPr="00FC5566">
              <w:rPr>
                <w:sz w:val="16"/>
                <w:szCs w:val="16"/>
              </w:rPr>
              <w:t>LAC 51:XII (Water Supplies) and LAC 56:I (Water Wells) shall be utilized.</w:t>
            </w:r>
          </w:p>
        </w:tc>
      </w:tr>
      <w:tr w:rsidR="00FC5566" w:rsidRPr="00FC5566" w14:paraId="346DF0F4" w14:textId="77777777" w:rsidTr="00B247D5">
        <w:trPr>
          <w:trHeight w:val="187"/>
        </w:trPr>
        <w:tc>
          <w:tcPr>
            <w:tcW w:w="1072" w:type="dxa"/>
          </w:tcPr>
          <w:p w14:paraId="6B43F28D" w14:textId="77777777" w:rsidR="00FC5566" w:rsidRPr="00FC5566" w:rsidRDefault="00FC5566" w:rsidP="00FC5566">
            <w:pPr>
              <w:jc w:val="center"/>
              <w:rPr>
                <w:spacing w:val="-2"/>
                <w:sz w:val="16"/>
                <w:szCs w:val="16"/>
                <w:highlight w:val="yellow"/>
              </w:rPr>
            </w:pPr>
            <w:r w:rsidRPr="00FC5566">
              <w:rPr>
                <w:spacing w:val="-2"/>
                <w:sz w:val="16"/>
                <w:szCs w:val="16"/>
              </w:rPr>
              <w:lastRenderedPageBreak/>
              <w:t>Adopt</w:t>
            </w:r>
          </w:p>
        </w:tc>
        <w:tc>
          <w:tcPr>
            <w:tcW w:w="2415" w:type="dxa"/>
            <w:gridSpan w:val="2"/>
          </w:tcPr>
          <w:p w14:paraId="28BD09A1" w14:textId="77777777" w:rsidR="00FC5566" w:rsidRPr="00FC5566" w:rsidRDefault="00FC5566" w:rsidP="00FC5566">
            <w:pPr>
              <w:widowControl w:val="0"/>
              <w:autoSpaceDE w:val="0"/>
              <w:autoSpaceDN w:val="0"/>
              <w:ind w:left="96" w:right="58"/>
              <w:rPr>
                <w:iCs/>
                <w:sz w:val="16"/>
                <w:szCs w:val="16"/>
                <w:highlight w:val="yellow"/>
              </w:rPr>
            </w:pPr>
            <w:r w:rsidRPr="00FC5566">
              <w:rPr>
                <w:sz w:val="16"/>
                <w:szCs w:val="16"/>
              </w:rPr>
              <w:t>Section 603.3, Potable</w:t>
            </w:r>
            <w:r w:rsidRPr="00FC5566">
              <w:rPr>
                <w:spacing w:val="40"/>
                <w:sz w:val="16"/>
                <w:szCs w:val="16"/>
              </w:rPr>
              <w:t xml:space="preserve"> </w:t>
            </w:r>
            <w:r w:rsidRPr="00FC5566">
              <w:rPr>
                <w:sz w:val="16"/>
                <w:szCs w:val="16"/>
              </w:rPr>
              <w:t>Water (Pressure) Lines</w:t>
            </w:r>
            <w:r w:rsidRPr="00FC5566">
              <w:rPr>
                <w:spacing w:val="40"/>
                <w:sz w:val="16"/>
                <w:szCs w:val="16"/>
              </w:rPr>
              <w:t xml:space="preserve"> </w:t>
            </w:r>
            <w:r w:rsidRPr="00FC5566">
              <w:rPr>
                <w:sz w:val="16"/>
                <w:szCs w:val="16"/>
              </w:rPr>
              <w:t>Near Underground Hazards</w:t>
            </w:r>
          </w:p>
        </w:tc>
        <w:tc>
          <w:tcPr>
            <w:tcW w:w="7043" w:type="dxa"/>
            <w:gridSpan w:val="2"/>
          </w:tcPr>
          <w:p w14:paraId="77272972" w14:textId="77777777" w:rsidR="00FC5566" w:rsidRPr="00FC5566" w:rsidRDefault="00FC5566" w:rsidP="00FC5566">
            <w:pPr>
              <w:ind w:left="91" w:right="90"/>
              <w:rPr>
                <w:sz w:val="16"/>
                <w:szCs w:val="16"/>
                <w:highlight w:val="yellow"/>
              </w:rPr>
            </w:pPr>
            <w:r w:rsidRPr="00FC5566">
              <w:rPr>
                <w:sz w:val="16"/>
                <w:szCs w:val="16"/>
              </w:rPr>
              <w:t>Underground potable water (pressure) lines shall not be located within 25 feet (7.6 m) of any soil absorption</w:t>
            </w:r>
            <w:r w:rsidRPr="00FC5566">
              <w:rPr>
                <w:spacing w:val="40"/>
                <w:sz w:val="16"/>
                <w:szCs w:val="16"/>
              </w:rPr>
              <w:t xml:space="preserve"> </w:t>
            </w:r>
            <w:r w:rsidRPr="00FC5566">
              <w:rPr>
                <w:sz w:val="16"/>
                <w:szCs w:val="16"/>
              </w:rPr>
              <w:t>trenches, sand filter beds, oxidation ponds, or any effluent reduction option including, but not limited to effluent</w:t>
            </w:r>
            <w:r w:rsidRPr="00FC5566">
              <w:rPr>
                <w:spacing w:val="40"/>
                <w:sz w:val="16"/>
                <w:szCs w:val="16"/>
              </w:rPr>
              <w:t xml:space="preserve"> </w:t>
            </w:r>
            <w:r w:rsidRPr="00FC5566">
              <w:rPr>
                <w:sz w:val="16"/>
                <w:szCs w:val="16"/>
              </w:rPr>
              <w:t>reduction</w:t>
            </w:r>
            <w:r w:rsidRPr="00FC5566">
              <w:rPr>
                <w:spacing w:val="-3"/>
                <w:sz w:val="16"/>
                <w:szCs w:val="16"/>
              </w:rPr>
              <w:t xml:space="preserve"> </w:t>
            </w:r>
            <w:r w:rsidRPr="00FC5566">
              <w:rPr>
                <w:sz w:val="16"/>
                <w:szCs w:val="16"/>
              </w:rPr>
              <w:t>fields,</w:t>
            </w:r>
            <w:r w:rsidRPr="00FC5566">
              <w:rPr>
                <w:spacing w:val="-1"/>
                <w:sz w:val="16"/>
                <w:szCs w:val="16"/>
              </w:rPr>
              <w:t xml:space="preserve"> </w:t>
            </w:r>
            <w:r w:rsidRPr="00FC5566">
              <w:rPr>
                <w:sz w:val="16"/>
                <w:szCs w:val="16"/>
              </w:rPr>
              <w:t>rock</w:t>
            </w:r>
            <w:r w:rsidRPr="00FC5566">
              <w:rPr>
                <w:spacing w:val="-3"/>
                <w:sz w:val="16"/>
                <w:szCs w:val="16"/>
              </w:rPr>
              <w:t xml:space="preserve"> </w:t>
            </w:r>
            <w:r w:rsidRPr="00FC5566">
              <w:rPr>
                <w:sz w:val="16"/>
                <w:szCs w:val="16"/>
              </w:rPr>
              <w:t>plant</w:t>
            </w:r>
            <w:r w:rsidRPr="00FC5566">
              <w:rPr>
                <w:spacing w:val="-1"/>
                <w:sz w:val="16"/>
                <w:szCs w:val="16"/>
              </w:rPr>
              <w:t xml:space="preserve"> </w:t>
            </w:r>
            <w:r w:rsidRPr="00FC5566">
              <w:rPr>
                <w:sz w:val="16"/>
                <w:szCs w:val="16"/>
              </w:rPr>
              <w:t>filters,</w:t>
            </w:r>
            <w:r w:rsidRPr="00FC5566">
              <w:rPr>
                <w:spacing w:val="-1"/>
                <w:sz w:val="16"/>
                <w:szCs w:val="16"/>
              </w:rPr>
              <w:t xml:space="preserve"> </w:t>
            </w:r>
            <w:r w:rsidRPr="00FC5566">
              <w:rPr>
                <w:sz w:val="16"/>
                <w:szCs w:val="16"/>
              </w:rPr>
              <w:t>spray</w:t>
            </w:r>
            <w:r w:rsidRPr="00FC5566">
              <w:rPr>
                <w:spacing w:val="-5"/>
                <w:sz w:val="16"/>
                <w:szCs w:val="16"/>
              </w:rPr>
              <w:t xml:space="preserve"> </w:t>
            </w:r>
            <w:r w:rsidRPr="00FC5566">
              <w:rPr>
                <w:sz w:val="16"/>
                <w:szCs w:val="16"/>
              </w:rPr>
              <w:t>irrigation</w:t>
            </w:r>
            <w:r w:rsidRPr="00FC5566">
              <w:rPr>
                <w:spacing w:val="-3"/>
                <w:sz w:val="16"/>
                <w:szCs w:val="16"/>
              </w:rPr>
              <w:t xml:space="preserve"> </w:t>
            </w:r>
            <w:r w:rsidRPr="00FC5566">
              <w:rPr>
                <w:sz w:val="16"/>
                <w:szCs w:val="16"/>
              </w:rPr>
              <w:t>systems</w:t>
            </w:r>
            <w:r w:rsidRPr="00FC5566">
              <w:rPr>
                <w:spacing w:val="-2"/>
                <w:sz w:val="16"/>
                <w:szCs w:val="16"/>
              </w:rPr>
              <w:t xml:space="preserve"> </w:t>
            </w:r>
            <w:r w:rsidRPr="00FC5566">
              <w:rPr>
                <w:sz w:val="16"/>
                <w:szCs w:val="16"/>
              </w:rPr>
              <w:t>(from</w:t>
            </w:r>
            <w:r w:rsidRPr="00FC5566">
              <w:rPr>
                <w:spacing w:val="-2"/>
                <w:sz w:val="16"/>
                <w:szCs w:val="16"/>
              </w:rPr>
              <w:t xml:space="preserve"> </w:t>
            </w:r>
            <w:r w:rsidRPr="00FC5566">
              <w:rPr>
                <w:sz w:val="16"/>
                <w:szCs w:val="16"/>
              </w:rPr>
              <w:t>the</w:t>
            </w:r>
            <w:r w:rsidRPr="00FC5566">
              <w:rPr>
                <w:spacing w:val="-4"/>
                <w:sz w:val="16"/>
                <w:szCs w:val="16"/>
              </w:rPr>
              <w:t xml:space="preserve"> </w:t>
            </w:r>
            <w:r w:rsidRPr="00FC5566">
              <w:rPr>
                <w:sz w:val="16"/>
                <w:szCs w:val="16"/>
              </w:rPr>
              <w:t>edge</w:t>
            </w:r>
            <w:r w:rsidRPr="00FC5566">
              <w:rPr>
                <w:spacing w:val="-4"/>
                <w:sz w:val="16"/>
                <w:szCs w:val="16"/>
              </w:rPr>
              <w:t xml:space="preserve"> </w:t>
            </w:r>
            <w:r w:rsidRPr="00FC5566">
              <w:rPr>
                <w:sz w:val="16"/>
                <w:szCs w:val="16"/>
              </w:rPr>
              <w:t>of</w:t>
            </w:r>
            <w:r w:rsidRPr="00FC5566">
              <w:rPr>
                <w:spacing w:val="-3"/>
                <w:sz w:val="16"/>
                <w:szCs w:val="16"/>
              </w:rPr>
              <w:t xml:space="preserve"> </w:t>
            </w:r>
            <w:r w:rsidRPr="00FC5566">
              <w:rPr>
                <w:sz w:val="16"/>
                <w:szCs w:val="16"/>
              </w:rPr>
              <w:t>the</w:t>
            </w:r>
            <w:r w:rsidRPr="00FC5566">
              <w:rPr>
                <w:spacing w:val="-4"/>
                <w:sz w:val="16"/>
                <w:szCs w:val="16"/>
              </w:rPr>
              <w:t xml:space="preserve"> </w:t>
            </w:r>
            <w:r w:rsidRPr="00FC5566">
              <w:rPr>
                <w:sz w:val="16"/>
                <w:szCs w:val="16"/>
              </w:rPr>
              <w:t>spray</w:t>
            </w:r>
            <w:r w:rsidRPr="00FC5566">
              <w:rPr>
                <w:spacing w:val="-5"/>
                <w:sz w:val="16"/>
                <w:szCs w:val="16"/>
              </w:rPr>
              <w:t xml:space="preserve"> </w:t>
            </w:r>
            <w:r w:rsidRPr="00FC5566">
              <w:rPr>
                <w:sz w:val="16"/>
                <w:szCs w:val="16"/>
              </w:rPr>
              <w:t>and</w:t>
            </w:r>
            <w:r w:rsidRPr="00FC5566">
              <w:rPr>
                <w:spacing w:val="-1"/>
                <w:sz w:val="16"/>
                <w:szCs w:val="16"/>
              </w:rPr>
              <w:t xml:space="preserve"> </w:t>
            </w:r>
            <w:r w:rsidRPr="00FC5566">
              <w:rPr>
                <w:sz w:val="16"/>
                <w:szCs w:val="16"/>
              </w:rPr>
              <w:t>its</w:t>
            </w:r>
            <w:r w:rsidRPr="00FC5566">
              <w:rPr>
                <w:spacing w:val="-4"/>
                <w:sz w:val="16"/>
                <w:szCs w:val="16"/>
              </w:rPr>
              <w:t xml:space="preserve"> </w:t>
            </w:r>
            <w:r w:rsidRPr="00FC5566">
              <w:rPr>
                <w:sz w:val="16"/>
                <w:szCs w:val="16"/>
              </w:rPr>
              <w:t>drainage),</w:t>
            </w:r>
            <w:r w:rsidRPr="00FC5566">
              <w:rPr>
                <w:spacing w:val="-1"/>
                <w:sz w:val="16"/>
                <w:szCs w:val="16"/>
              </w:rPr>
              <w:t xml:space="preserve"> </w:t>
            </w:r>
            <w:r w:rsidRPr="00FC5566">
              <w:rPr>
                <w:sz w:val="16"/>
                <w:szCs w:val="16"/>
              </w:rPr>
              <w:t>overland</w:t>
            </w:r>
            <w:r w:rsidRPr="00FC5566">
              <w:rPr>
                <w:spacing w:val="40"/>
                <w:sz w:val="16"/>
                <w:szCs w:val="16"/>
              </w:rPr>
              <w:t xml:space="preserve"> </w:t>
            </w:r>
            <w:r w:rsidRPr="00FC5566">
              <w:rPr>
                <w:sz w:val="16"/>
                <w:szCs w:val="16"/>
              </w:rPr>
              <w:t>flow systems (from the discharge point and field of flow), mound systems, or subsurface drip disposal systems</w:t>
            </w:r>
            <w:r w:rsidRPr="00FC5566">
              <w:rPr>
                <w:spacing w:val="40"/>
                <w:sz w:val="16"/>
                <w:szCs w:val="16"/>
              </w:rPr>
              <w:t xml:space="preserve"> </w:t>
            </w:r>
            <w:r w:rsidRPr="00FC5566">
              <w:rPr>
                <w:sz w:val="16"/>
                <w:szCs w:val="16"/>
              </w:rPr>
              <w:t>which have been installed for either the disposal of septic tank effluent or mechanical treatment plant effluent.</w:t>
            </w:r>
          </w:p>
        </w:tc>
      </w:tr>
      <w:tr w:rsidR="00FC5566" w:rsidRPr="00FC5566" w14:paraId="5045553C" w14:textId="77777777" w:rsidTr="00B247D5">
        <w:trPr>
          <w:trHeight w:val="187"/>
        </w:trPr>
        <w:tc>
          <w:tcPr>
            <w:tcW w:w="1072" w:type="dxa"/>
          </w:tcPr>
          <w:p w14:paraId="78C181E6" w14:textId="77777777" w:rsidR="00FC5566" w:rsidRPr="00FC5566" w:rsidRDefault="00FC5566" w:rsidP="00FC5566">
            <w:pPr>
              <w:jc w:val="center"/>
              <w:rPr>
                <w:spacing w:val="-2"/>
                <w:sz w:val="16"/>
                <w:szCs w:val="16"/>
                <w:highlight w:val="yellow"/>
              </w:rPr>
            </w:pPr>
            <w:r w:rsidRPr="00FC5566">
              <w:rPr>
                <w:spacing w:val="-2"/>
                <w:sz w:val="16"/>
                <w:szCs w:val="16"/>
              </w:rPr>
              <w:t>Adopt</w:t>
            </w:r>
          </w:p>
        </w:tc>
        <w:tc>
          <w:tcPr>
            <w:tcW w:w="2415" w:type="dxa"/>
            <w:gridSpan w:val="2"/>
          </w:tcPr>
          <w:p w14:paraId="32A15CC7" w14:textId="77777777" w:rsidR="00FC5566" w:rsidRPr="00FC5566" w:rsidRDefault="00FC5566" w:rsidP="00FC5566">
            <w:pPr>
              <w:widowControl w:val="0"/>
              <w:autoSpaceDE w:val="0"/>
              <w:autoSpaceDN w:val="0"/>
              <w:ind w:left="96" w:right="58"/>
              <w:rPr>
                <w:sz w:val="16"/>
                <w:szCs w:val="16"/>
              </w:rPr>
            </w:pPr>
            <w:r w:rsidRPr="00FC5566">
              <w:rPr>
                <w:sz w:val="16"/>
                <w:szCs w:val="16"/>
              </w:rPr>
              <w:t>Section</w:t>
            </w:r>
            <w:r w:rsidRPr="00FC5566">
              <w:rPr>
                <w:spacing w:val="-4"/>
                <w:sz w:val="16"/>
                <w:szCs w:val="16"/>
              </w:rPr>
              <w:t xml:space="preserve"> </w:t>
            </w:r>
            <w:r w:rsidRPr="00FC5566">
              <w:rPr>
                <w:sz w:val="16"/>
                <w:szCs w:val="16"/>
              </w:rPr>
              <w:t>603.4,</w:t>
            </w:r>
            <w:r w:rsidRPr="00FC5566">
              <w:rPr>
                <w:spacing w:val="-2"/>
                <w:sz w:val="16"/>
                <w:szCs w:val="16"/>
              </w:rPr>
              <w:t xml:space="preserve"> </w:t>
            </w:r>
            <w:r w:rsidRPr="00FC5566">
              <w:rPr>
                <w:sz w:val="16"/>
                <w:szCs w:val="16"/>
              </w:rPr>
              <w:t>Potable</w:t>
            </w:r>
            <w:r w:rsidRPr="00FC5566">
              <w:rPr>
                <w:spacing w:val="40"/>
                <w:sz w:val="16"/>
                <w:szCs w:val="16"/>
              </w:rPr>
              <w:t xml:space="preserve"> </w:t>
            </w:r>
            <w:r w:rsidRPr="00FC5566">
              <w:rPr>
                <w:sz w:val="16"/>
                <w:szCs w:val="16"/>
              </w:rPr>
              <w:t>Water</w:t>
            </w:r>
            <w:r w:rsidRPr="00FC5566">
              <w:rPr>
                <w:spacing w:val="-10"/>
                <w:sz w:val="16"/>
                <w:szCs w:val="16"/>
              </w:rPr>
              <w:t xml:space="preserve"> </w:t>
            </w:r>
            <w:r w:rsidRPr="00FC5566">
              <w:rPr>
                <w:sz w:val="16"/>
                <w:szCs w:val="16"/>
              </w:rPr>
              <w:t>(Pressure)</w:t>
            </w:r>
            <w:r w:rsidRPr="00FC5566">
              <w:rPr>
                <w:spacing w:val="-10"/>
                <w:sz w:val="16"/>
                <w:szCs w:val="16"/>
              </w:rPr>
              <w:t xml:space="preserve"> </w:t>
            </w:r>
            <w:r w:rsidRPr="00FC5566">
              <w:rPr>
                <w:sz w:val="16"/>
                <w:szCs w:val="16"/>
              </w:rPr>
              <w:t>Lines</w:t>
            </w:r>
            <w:r w:rsidRPr="00FC5566">
              <w:rPr>
                <w:spacing w:val="40"/>
                <w:sz w:val="16"/>
                <w:szCs w:val="16"/>
              </w:rPr>
              <w:t xml:space="preserve"> </w:t>
            </w:r>
            <w:r w:rsidRPr="00FC5566">
              <w:rPr>
                <w:sz w:val="16"/>
                <w:szCs w:val="16"/>
              </w:rPr>
              <w:t>Near Septic Tanks,</w:t>
            </w:r>
            <w:r w:rsidRPr="00FC5566">
              <w:rPr>
                <w:spacing w:val="40"/>
                <w:sz w:val="16"/>
                <w:szCs w:val="16"/>
              </w:rPr>
              <w:t xml:space="preserve"> </w:t>
            </w:r>
            <w:r w:rsidRPr="00FC5566">
              <w:rPr>
                <w:sz w:val="16"/>
                <w:szCs w:val="16"/>
              </w:rPr>
              <w:t>Mechanical</w:t>
            </w:r>
            <w:r w:rsidRPr="00FC5566">
              <w:rPr>
                <w:spacing w:val="-3"/>
                <w:sz w:val="16"/>
                <w:szCs w:val="16"/>
              </w:rPr>
              <w:t xml:space="preserve"> </w:t>
            </w:r>
            <w:r w:rsidRPr="00FC5566">
              <w:rPr>
                <w:sz w:val="16"/>
                <w:szCs w:val="16"/>
              </w:rPr>
              <w:t>Sewage</w:t>
            </w:r>
            <w:r w:rsidRPr="00FC5566">
              <w:rPr>
                <w:spacing w:val="40"/>
                <w:sz w:val="16"/>
                <w:szCs w:val="16"/>
              </w:rPr>
              <w:t xml:space="preserve"> </w:t>
            </w:r>
            <w:r w:rsidRPr="00FC5566">
              <w:rPr>
                <w:sz w:val="16"/>
                <w:szCs w:val="16"/>
              </w:rPr>
              <w:t>Treatment Plants, and Pump</w:t>
            </w:r>
            <w:r w:rsidRPr="00FC5566">
              <w:rPr>
                <w:spacing w:val="-4"/>
                <w:sz w:val="16"/>
                <w:szCs w:val="16"/>
              </w:rPr>
              <w:t xml:space="preserve"> </w:t>
            </w:r>
            <w:r w:rsidRPr="00FC5566">
              <w:rPr>
                <w:spacing w:val="-2"/>
                <w:sz w:val="16"/>
                <w:szCs w:val="16"/>
              </w:rPr>
              <w:t>Stations.</w:t>
            </w:r>
          </w:p>
        </w:tc>
        <w:tc>
          <w:tcPr>
            <w:tcW w:w="7043" w:type="dxa"/>
            <w:gridSpan w:val="2"/>
          </w:tcPr>
          <w:p w14:paraId="7370FA75" w14:textId="77777777" w:rsidR="00FC5566" w:rsidRPr="00FC5566" w:rsidRDefault="00FC5566" w:rsidP="00FC5566">
            <w:pPr>
              <w:ind w:left="91" w:right="90"/>
              <w:rPr>
                <w:sz w:val="16"/>
                <w:szCs w:val="16"/>
                <w:highlight w:val="yellow"/>
              </w:rPr>
            </w:pPr>
            <w:r w:rsidRPr="00FC5566">
              <w:rPr>
                <w:sz w:val="16"/>
                <w:szCs w:val="16"/>
              </w:rPr>
              <w:t>Underground</w:t>
            </w:r>
            <w:r w:rsidRPr="00FC5566">
              <w:rPr>
                <w:spacing w:val="-3"/>
                <w:sz w:val="16"/>
                <w:szCs w:val="16"/>
              </w:rPr>
              <w:t xml:space="preserve"> </w:t>
            </w:r>
            <w:r w:rsidRPr="00FC5566">
              <w:rPr>
                <w:sz w:val="16"/>
                <w:szCs w:val="16"/>
              </w:rPr>
              <w:t>potable</w:t>
            </w:r>
            <w:r w:rsidRPr="00FC5566">
              <w:rPr>
                <w:spacing w:val="-4"/>
                <w:sz w:val="16"/>
                <w:szCs w:val="16"/>
              </w:rPr>
              <w:t xml:space="preserve"> </w:t>
            </w:r>
            <w:r w:rsidRPr="00FC5566">
              <w:rPr>
                <w:sz w:val="16"/>
                <w:szCs w:val="16"/>
              </w:rPr>
              <w:t>water</w:t>
            </w:r>
            <w:r w:rsidRPr="00FC5566">
              <w:rPr>
                <w:spacing w:val="-3"/>
                <w:sz w:val="16"/>
                <w:szCs w:val="16"/>
              </w:rPr>
              <w:t xml:space="preserve"> </w:t>
            </w:r>
            <w:r w:rsidRPr="00FC5566">
              <w:rPr>
                <w:sz w:val="16"/>
                <w:szCs w:val="16"/>
              </w:rPr>
              <w:t>(pressure)</w:t>
            </w:r>
            <w:r w:rsidRPr="00FC5566">
              <w:rPr>
                <w:spacing w:val="-1"/>
                <w:sz w:val="16"/>
                <w:szCs w:val="16"/>
              </w:rPr>
              <w:t xml:space="preserve"> </w:t>
            </w:r>
            <w:r w:rsidRPr="00FC5566">
              <w:rPr>
                <w:sz w:val="16"/>
                <w:szCs w:val="16"/>
              </w:rPr>
              <w:t>lines</w:t>
            </w:r>
            <w:r w:rsidRPr="00FC5566">
              <w:rPr>
                <w:spacing w:val="-3"/>
                <w:sz w:val="16"/>
                <w:szCs w:val="16"/>
              </w:rPr>
              <w:t xml:space="preserve"> </w:t>
            </w:r>
            <w:r w:rsidRPr="00FC5566">
              <w:rPr>
                <w:sz w:val="16"/>
                <w:szCs w:val="16"/>
              </w:rPr>
              <w:t>shall</w:t>
            </w:r>
            <w:r w:rsidRPr="00FC5566">
              <w:rPr>
                <w:spacing w:val="-3"/>
                <w:sz w:val="16"/>
                <w:szCs w:val="16"/>
              </w:rPr>
              <w:t xml:space="preserve"> </w:t>
            </w:r>
            <w:r w:rsidRPr="00FC5566">
              <w:rPr>
                <w:sz w:val="16"/>
                <w:szCs w:val="16"/>
              </w:rPr>
              <w:t>not</w:t>
            </w:r>
            <w:r w:rsidRPr="00FC5566">
              <w:rPr>
                <w:spacing w:val="-3"/>
                <w:sz w:val="16"/>
                <w:szCs w:val="16"/>
              </w:rPr>
              <w:t xml:space="preserve"> </w:t>
            </w:r>
            <w:r w:rsidRPr="00FC5566">
              <w:rPr>
                <w:sz w:val="16"/>
                <w:szCs w:val="16"/>
              </w:rPr>
              <w:t>be</w:t>
            </w:r>
            <w:r w:rsidRPr="00FC5566">
              <w:rPr>
                <w:spacing w:val="-4"/>
                <w:sz w:val="16"/>
                <w:szCs w:val="16"/>
              </w:rPr>
              <w:t xml:space="preserve"> </w:t>
            </w:r>
            <w:r w:rsidRPr="00FC5566">
              <w:rPr>
                <w:sz w:val="16"/>
                <w:szCs w:val="16"/>
              </w:rPr>
              <w:t>located</w:t>
            </w:r>
            <w:r w:rsidRPr="00FC5566">
              <w:rPr>
                <w:spacing w:val="-2"/>
                <w:sz w:val="16"/>
                <w:szCs w:val="16"/>
              </w:rPr>
              <w:t xml:space="preserve"> </w:t>
            </w:r>
            <w:r w:rsidRPr="00FC5566">
              <w:rPr>
                <w:sz w:val="16"/>
                <w:szCs w:val="16"/>
              </w:rPr>
              <w:t>within</w:t>
            </w:r>
            <w:r w:rsidRPr="00FC5566">
              <w:rPr>
                <w:spacing w:val="-3"/>
                <w:sz w:val="16"/>
                <w:szCs w:val="16"/>
              </w:rPr>
              <w:t xml:space="preserve"> </w:t>
            </w:r>
            <w:r w:rsidRPr="00FC5566">
              <w:rPr>
                <w:sz w:val="16"/>
                <w:szCs w:val="16"/>
              </w:rPr>
              <w:t>10</w:t>
            </w:r>
            <w:r w:rsidRPr="00FC5566">
              <w:rPr>
                <w:spacing w:val="-2"/>
                <w:sz w:val="16"/>
                <w:szCs w:val="16"/>
              </w:rPr>
              <w:t xml:space="preserve"> </w:t>
            </w:r>
            <w:r w:rsidRPr="00FC5566">
              <w:rPr>
                <w:sz w:val="16"/>
                <w:szCs w:val="16"/>
              </w:rPr>
              <w:t>feet</w:t>
            </w:r>
            <w:r w:rsidRPr="00FC5566">
              <w:rPr>
                <w:spacing w:val="-2"/>
                <w:sz w:val="16"/>
                <w:szCs w:val="16"/>
              </w:rPr>
              <w:t xml:space="preserve"> </w:t>
            </w:r>
            <w:r w:rsidRPr="00FC5566">
              <w:rPr>
                <w:sz w:val="16"/>
                <w:szCs w:val="16"/>
              </w:rPr>
              <w:t>(3.0</w:t>
            </w:r>
            <w:r w:rsidRPr="00FC5566">
              <w:rPr>
                <w:spacing w:val="-2"/>
                <w:sz w:val="16"/>
                <w:szCs w:val="16"/>
              </w:rPr>
              <w:t xml:space="preserve"> </w:t>
            </w:r>
            <w:r w:rsidRPr="00FC5566">
              <w:rPr>
                <w:sz w:val="16"/>
                <w:szCs w:val="16"/>
              </w:rPr>
              <w:t>m)</w:t>
            </w:r>
            <w:r w:rsidRPr="00FC5566">
              <w:rPr>
                <w:spacing w:val="-3"/>
                <w:sz w:val="16"/>
                <w:szCs w:val="16"/>
              </w:rPr>
              <w:t xml:space="preserve"> </w:t>
            </w:r>
            <w:r w:rsidRPr="00FC5566">
              <w:rPr>
                <w:sz w:val="16"/>
                <w:szCs w:val="16"/>
              </w:rPr>
              <w:t>of</w:t>
            </w:r>
            <w:r w:rsidRPr="00FC5566">
              <w:rPr>
                <w:spacing w:val="-3"/>
                <w:sz w:val="16"/>
                <w:szCs w:val="16"/>
              </w:rPr>
              <w:t xml:space="preserve"> </w:t>
            </w:r>
            <w:r w:rsidRPr="00FC5566">
              <w:rPr>
                <w:sz w:val="16"/>
                <w:szCs w:val="16"/>
              </w:rPr>
              <w:t>any</w:t>
            </w:r>
            <w:r w:rsidRPr="00FC5566">
              <w:rPr>
                <w:spacing w:val="-5"/>
                <w:sz w:val="16"/>
                <w:szCs w:val="16"/>
              </w:rPr>
              <w:t xml:space="preserve"> </w:t>
            </w:r>
            <w:r w:rsidRPr="00FC5566">
              <w:rPr>
                <w:sz w:val="16"/>
                <w:szCs w:val="16"/>
              </w:rPr>
              <w:t>septic tank,</w:t>
            </w:r>
            <w:r w:rsidRPr="00FC5566">
              <w:rPr>
                <w:spacing w:val="40"/>
                <w:sz w:val="16"/>
                <w:szCs w:val="16"/>
              </w:rPr>
              <w:t xml:space="preserve"> </w:t>
            </w:r>
            <w:r w:rsidRPr="00FC5566">
              <w:rPr>
                <w:sz w:val="16"/>
                <w:szCs w:val="16"/>
              </w:rPr>
              <w:t>mechanical sewage treatment plant, or sewage pump station.</w:t>
            </w:r>
          </w:p>
        </w:tc>
      </w:tr>
      <w:tr w:rsidR="00FC5566" w:rsidRPr="00FC5566" w14:paraId="5C4D65EF" w14:textId="77777777" w:rsidTr="00B247D5">
        <w:trPr>
          <w:trHeight w:val="187"/>
        </w:trPr>
        <w:tc>
          <w:tcPr>
            <w:tcW w:w="1072" w:type="dxa"/>
          </w:tcPr>
          <w:p w14:paraId="0EE3CD05" w14:textId="77777777" w:rsidR="00FC5566" w:rsidRPr="00FC5566" w:rsidRDefault="00FC5566" w:rsidP="00FC5566">
            <w:pPr>
              <w:jc w:val="center"/>
              <w:rPr>
                <w:spacing w:val="-2"/>
                <w:sz w:val="16"/>
                <w:szCs w:val="16"/>
                <w:highlight w:val="yellow"/>
              </w:rPr>
            </w:pPr>
            <w:r w:rsidRPr="00FC5566">
              <w:rPr>
                <w:spacing w:val="-2"/>
                <w:sz w:val="16"/>
                <w:szCs w:val="16"/>
              </w:rPr>
              <w:t>Adopt</w:t>
            </w:r>
          </w:p>
        </w:tc>
        <w:tc>
          <w:tcPr>
            <w:tcW w:w="2415" w:type="dxa"/>
            <w:gridSpan w:val="2"/>
          </w:tcPr>
          <w:p w14:paraId="543CF3B6" w14:textId="77777777" w:rsidR="00FC5566" w:rsidRPr="00FC5566" w:rsidRDefault="00FC5566" w:rsidP="00FC5566">
            <w:pPr>
              <w:ind w:left="96" w:right="58"/>
              <w:rPr>
                <w:iCs/>
                <w:sz w:val="16"/>
                <w:szCs w:val="16"/>
                <w:highlight w:val="yellow"/>
              </w:rPr>
            </w:pPr>
            <w:r w:rsidRPr="00FC5566">
              <w:rPr>
                <w:sz w:val="16"/>
                <w:szCs w:val="16"/>
              </w:rPr>
              <w:t>Section 603.5, Potable</w:t>
            </w:r>
            <w:r w:rsidRPr="00FC5566">
              <w:rPr>
                <w:spacing w:val="40"/>
                <w:sz w:val="16"/>
                <w:szCs w:val="16"/>
              </w:rPr>
              <w:t xml:space="preserve"> </w:t>
            </w:r>
            <w:r w:rsidRPr="00FC5566">
              <w:rPr>
                <w:sz w:val="16"/>
                <w:szCs w:val="16"/>
              </w:rPr>
              <w:t>Water (Pressure) Lines</w:t>
            </w:r>
            <w:r w:rsidRPr="00FC5566">
              <w:rPr>
                <w:spacing w:val="40"/>
                <w:sz w:val="16"/>
                <w:szCs w:val="16"/>
              </w:rPr>
              <w:t xml:space="preserve"> </w:t>
            </w:r>
            <w:r w:rsidRPr="00FC5566">
              <w:rPr>
                <w:sz w:val="16"/>
                <w:szCs w:val="16"/>
              </w:rPr>
              <w:t>Near Seepage Pit, Cesspool,</w:t>
            </w:r>
            <w:r w:rsidRPr="00FC5566">
              <w:rPr>
                <w:spacing w:val="-10"/>
                <w:sz w:val="16"/>
                <w:szCs w:val="16"/>
              </w:rPr>
              <w:t xml:space="preserve"> </w:t>
            </w:r>
            <w:r w:rsidRPr="00FC5566">
              <w:rPr>
                <w:sz w:val="16"/>
                <w:szCs w:val="16"/>
              </w:rPr>
              <w:t>or</w:t>
            </w:r>
            <w:r w:rsidRPr="00FC5566">
              <w:rPr>
                <w:spacing w:val="-10"/>
                <w:sz w:val="16"/>
                <w:szCs w:val="16"/>
              </w:rPr>
              <w:t xml:space="preserve"> </w:t>
            </w:r>
            <w:r w:rsidRPr="00FC5566">
              <w:rPr>
                <w:sz w:val="16"/>
                <w:szCs w:val="16"/>
              </w:rPr>
              <w:t>Sanitary</w:t>
            </w:r>
            <w:r w:rsidRPr="00FC5566">
              <w:rPr>
                <w:spacing w:val="-10"/>
                <w:sz w:val="16"/>
                <w:szCs w:val="16"/>
              </w:rPr>
              <w:t xml:space="preserve"> </w:t>
            </w:r>
            <w:r w:rsidRPr="00FC5566">
              <w:rPr>
                <w:sz w:val="16"/>
                <w:szCs w:val="16"/>
              </w:rPr>
              <w:t>Pit</w:t>
            </w:r>
            <w:r w:rsidRPr="00FC5566">
              <w:rPr>
                <w:spacing w:val="40"/>
                <w:sz w:val="16"/>
                <w:szCs w:val="16"/>
              </w:rPr>
              <w:t xml:space="preserve"> </w:t>
            </w:r>
            <w:r w:rsidRPr="00FC5566">
              <w:rPr>
                <w:spacing w:val="-2"/>
                <w:sz w:val="16"/>
                <w:szCs w:val="16"/>
              </w:rPr>
              <w:t>Privy.</w:t>
            </w:r>
          </w:p>
        </w:tc>
        <w:tc>
          <w:tcPr>
            <w:tcW w:w="7043" w:type="dxa"/>
            <w:gridSpan w:val="2"/>
          </w:tcPr>
          <w:p w14:paraId="415E5E1D" w14:textId="77777777" w:rsidR="00FC5566" w:rsidRPr="00FC5566" w:rsidRDefault="00FC5566" w:rsidP="00FC5566">
            <w:pPr>
              <w:ind w:left="91" w:right="90"/>
              <w:rPr>
                <w:sz w:val="16"/>
                <w:szCs w:val="16"/>
                <w:highlight w:val="yellow"/>
              </w:rPr>
            </w:pPr>
            <w:r w:rsidRPr="00FC5566">
              <w:rPr>
                <w:sz w:val="16"/>
                <w:szCs w:val="16"/>
              </w:rPr>
              <w:t>Underground</w:t>
            </w:r>
            <w:r w:rsidRPr="00FC5566">
              <w:rPr>
                <w:spacing w:val="-3"/>
                <w:sz w:val="16"/>
                <w:szCs w:val="16"/>
              </w:rPr>
              <w:t xml:space="preserve"> </w:t>
            </w:r>
            <w:r w:rsidRPr="00FC5566">
              <w:rPr>
                <w:sz w:val="16"/>
                <w:szCs w:val="16"/>
              </w:rPr>
              <w:t>potable</w:t>
            </w:r>
            <w:r w:rsidRPr="00FC5566">
              <w:rPr>
                <w:spacing w:val="-4"/>
                <w:sz w:val="16"/>
                <w:szCs w:val="16"/>
              </w:rPr>
              <w:t xml:space="preserve"> </w:t>
            </w:r>
            <w:r w:rsidRPr="00FC5566">
              <w:rPr>
                <w:sz w:val="16"/>
                <w:szCs w:val="16"/>
              </w:rPr>
              <w:t>water</w:t>
            </w:r>
            <w:r w:rsidRPr="00FC5566">
              <w:rPr>
                <w:spacing w:val="-3"/>
                <w:sz w:val="16"/>
                <w:szCs w:val="16"/>
              </w:rPr>
              <w:t xml:space="preserve"> </w:t>
            </w:r>
            <w:r w:rsidRPr="00FC5566">
              <w:rPr>
                <w:sz w:val="16"/>
                <w:szCs w:val="16"/>
              </w:rPr>
              <w:t>(pressure)</w:t>
            </w:r>
            <w:r w:rsidRPr="00FC5566">
              <w:rPr>
                <w:spacing w:val="-1"/>
                <w:sz w:val="16"/>
                <w:szCs w:val="16"/>
              </w:rPr>
              <w:t xml:space="preserve"> </w:t>
            </w:r>
            <w:r w:rsidRPr="00FC5566">
              <w:rPr>
                <w:sz w:val="16"/>
                <w:szCs w:val="16"/>
              </w:rPr>
              <w:t>lines</w:t>
            </w:r>
            <w:r w:rsidRPr="00FC5566">
              <w:rPr>
                <w:spacing w:val="-3"/>
                <w:sz w:val="16"/>
                <w:szCs w:val="16"/>
              </w:rPr>
              <w:t xml:space="preserve"> </w:t>
            </w:r>
            <w:r w:rsidRPr="00FC5566">
              <w:rPr>
                <w:sz w:val="16"/>
                <w:szCs w:val="16"/>
              </w:rPr>
              <w:t>shall</w:t>
            </w:r>
            <w:r w:rsidRPr="00FC5566">
              <w:rPr>
                <w:spacing w:val="-3"/>
                <w:sz w:val="16"/>
                <w:szCs w:val="16"/>
              </w:rPr>
              <w:t xml:space="preserve"> </w:t>
            </w:r>
            <w:r w:rsidRPr="00FC5566">
              <w:rPr>
                <w:sz w:val="16"/>
                <w:szCs w:val="16"/>
              </w:rPr>
              <w:t>not</w:t>
            </w:r>
            <w:r w:rsidRPr="00FC5566">
              <w:rPr>
                <w:spacing w:val="-3"/>
                <w:sz w:val="16"/>
                <w:szCs w:val="16"/>
              </w:rPr>
              <w:t xml:space="preserve"> </w:t>
            </w:r>
            <w:r w:rsidRPr="00FC5566">
              <w:rPr>
                <w:sz w:val="16"/>
                <w:szCs w:val="16"/>
              </w:rPr>
              <w:t>be</w:t>
            </w:r>
            <w:r w:rsidRPr="00FC5566">
              <w:rPr>
                <w:spacing w:val="-4"/>
                <w:sz w:val="16"/>
                <w:szCs w:val="16"/>
              </w:rPr>
              <w:t xml:space="preserve"> </w:t>
            </w:r>
            <w:r w:rsidRPr="00FC5566">
              <w:rPr>
                <w:sz w:val="16"/>
                <w:szCs w:val="16"/>
              </w:rPr>
              <w:t>located</w:t>
            </w:r>
            <w:r w:rsidRPr="00FC5566">
              <w:rPr>
                <w:spacing w:val="-2"/>
                <w:sz w:val="16"/>
                <w:szCs w:val="16"/>
              </w:rPr>
              <w:t xml:space="preserve"> </w:t>
            </w:r>
            <w:r w:rsidRPr="00FC5566">
              <w:rPr>
                <w:sz w:val="16"/>
                <w:szCs w:val="16"/>
              </w:rPr>
              <w:t>within</w:t>
            </w:r>
            <w:r w:rsidRPr="00FC5566">
              <w:rPr>
                <w:spacing w:val="-3"/>
                <w:sz w:val="16"/>
                <w:szCs w:val="16"/>
              </w:rPr>
              <w:t xml:space="preserve"> </w:t>
            </w:r>
            <w:r w:rsidRPr="00FC5566">
              <w:rPr>
                <w:sz w:val="16"/>
                <w:szCs w:val="16"/>
              </w:rPr>
              <w:t>50</w:t>
            </w:r>
            <w:r w:rsidRPr="00FC5566">
              <w:rPr>
                <w:spacing w:val="-2"/>
                <w:sz w:val="16"/>
                <w:szCs w:val="16"/>
              </w:rPr>
              <w:t xml:space="preserve"> </w:t>
            </w:r>
            <w:r w:rsidRPr="00FC5566">
              <w:rPr>
                <w:sz w:val="16"/>
                <w:szCs w:val="16"/>
              </w:rPr>
              <w:t>feet</w:t>
            </w:r>
            <w:r w:rsidRPr="00FC5566">
              <w:rPr>
                <w:spacing w:val="-2"/>
                <w:sz w:val="16"/>
                <w:szCs w:val="16"/>
              </w:rPr>
              <w:t xml:space="preserve"> </w:t>
            </w:r>
            <w:r w:rsidRPr="00FC5566">
              <w:rPr>
                <w:sz w:val="16"/>
                <w:szCs w:val="16"/>
              </w:rPr>
              <w:t>(15.2m) of</w:t>
            </w:r>
            <w:r w:rsidRPr="00FC5566">
              <w:rPr>
                <w:spacing w:val="-3"/>
                <w:sz w:val="16"/>
                <w:szCs w:val="16"/>
              </w:rPr>
              <w:t xml:space="preserve"> </w:t>
            </w:r>
            <w:r w:rsidRPr="00FC5566">
              <w:rPr>
                <w:sz w:val="16"/>
                <w:szCs w:val="16"/>
              </w:rPr>
              <w:t>any</w:t>
            </w:r>
            <w:r w:rsidRPr="00FC5566">
              <w:rPr>
                <w:spacing w:val="-5"/>
                <w:sz w:val="16"/>
                <w:szCs w:val="16"/>
              </w:rPr>
              <w:t xml:space="preserve"> </w:t>
            </w:r>
            <w:r w:rsidRPr="00FC5566">
              <w:rPr>
                <w:sz w:val="16"/>
                <w:szCs w:val="16"/>
              </w:rPr>
              <w:t>seepage</w:t>
            </w:r>
            <w:r w:rsidRPr="00FC5566">
              <w:rPr>
                <w:spacing w:val="-4"/>
                <w:sz w:val="16"/>
                <w:szCs w:val="16"/>
              </w:rPr>
              <w:t xml:space="preserve"> </w:t>
            </w:r>
            <w:r w:rsidRPr="00FC5566">
              <w:rPr>
                <w:sz w:val="16"/>
                <w:szCs w:val="16"/>
              </w:rPr>
              <w:t>pit,</w:t>
            </w:r>
            <w:r w:rsidRPr="00FC5566">
              <w:rPr>
                <w:spacing w:val="-2"/>
                <w:sz w:val="16"/>
                <w:szCs w:val="16"/>
              </w:rPr>
              <w:t xml:space="preserve"> </w:t>
            </w:r>
            <w:r w:rsidRPr="00FC5566">
              <w:rPr>
                <w:sz w:val="16"/>
                <w:szCs w:val="16"/>
              </w:rPr>
              <w:t>cesspool,</w:t>
            </w:r>
            <w:r w:rsidRPr="00FC5566">
              <w:rPr>
                <w:spacing w:val="40"/>
                <w:sz w:val="16"/>
                <w:szCs w:val="16"/>
              </w:rPr>
              <w:t xml:space="preserve"> </w:t>
            </w:r>
            <w:r w:rsidRPr="00FC5566">
              <w:rPr>
                <w:sz w:val="16"/>
                <w:szCs w:val="16"/>
              </w:rPr>
              <w:t>or sanitary pit privy.</w:t>
            </w:r>
          </w:p>
        </w:tc>
      </w:tr>
      <w:tr w:rsidR="00FC5566" w:rsidRPr="00FC5566" w14:paraId="05C05ADD" w14:textId="77777777" w:rsidTr="00B247D5">
        <w:trPr>
          <w:trHeight w:val="187"/>
        </w:trPr>
        <w:tc>
          <w:tcPr>
            <w:tcW w:w="1072" w:type="dxa"/>
          </w:tcPr>
          <w:p w14:paraId="204C7524" w14:textId="77777777" w:rsidR="00FC5566" w:rsidRPr="00FC5566" w:rsidRDefault="00FC5566" w:rsidP="00FC5566">
            <w:pPr>
              <w:jc w:val="center"/>
              <w:rPr>
                <w:spacing w:val="-2"/>
                <w:sz w:val="16"/>
                <w:szCs w:val="16"/>
                <w:highlight w:val="yellow"/>
              </w:rPr>
            </w:pPr>
            <w:r w:rsidRPr="00FC5566">
              <w:rPr>
                <w:spacing w:val="-2"/>
                <w:sz w:val="16"/>
                <w:szCs w:val="16"/>
              </w:rPr>
              <w:t>Adopt</w:t>
            </w:r>
          </w:p>
        </w:tc>
        <w:tc>
          <w:tcPr>
            <w:tcW w:w="2415" w:type="dxa"/>
            <w:gridSpan w:val="2"/>
          </w:tcPr>
          <w:p w14:paraId="3036AE76" w14:textId="77777777" w:rsidR="00FC5566" w:rsidRPr="00FC5566" w:rsidRDefault="00FC5566" w:rsidP="00FC5566">
            <w:pPr>
              <w:widowControl w:val="0"/>
              <w:autoSpaceDE w:val="0"/>
              <w:autoSpaceDN w:val="0"/>
              <w:ind w:left="96" w:right="58"/>
              <w:rPr>
                <w:sz w:val="16"/>
                <w:szCs w:val="16"/>
              </w:rPr>
            </w:pPr>
            <w:r w:rsidRPr="00FC5566">
              <w:rPr>
                <w:sz w:val="16"/>
                <w:szCs w:val="16"/>
              </w:rPr>
              <w:t>603.6,</w:t>
            </w:r>
            <w:r w:rsidRPr="00FC5566">
              <w:rPr>
                <w:spacing w:val="-11"/>
                <w:sz w:val="16"/>
                <w:szCs w:val="16"/>
              </w:rPr>
              <w:t xml:space="preserve"> </w:t>
            </w:r>
            <w:r w:rsidRPr="00FC5566">
              <w:rPr>
                <w:sz w:val="16"/>
                <w:szCs w:val="16"/>
              </w:rPr>
              <w:t>Reclaimed</w:t>
            </w:r>
            <w:r w:rsidRPr="00FC5566">
              <w:rPr>
                <w:spacing w:val="-5"/>
                <w:sz w:val="16"/>
                <w:szCs w:val="16"/>
              </w:rPr>
              <w:t xml:space="preserve"> </w:t>
            </w:r>
            <w:r w:rsidRPr="00FC5566">
              <w:rPr>
                <w:spacing w:val="-4"/>
                <w:sz w:val="16"/>
                <w:szCs w:val="16"/>
              </w:rPr>
              <w:t>Water</w:t>
            </w:r>
            <w:r w:rsidRPr="00FC5566">
              <w:rPr>
                <w:sz w:val="16"/>
                <w:szCs w:val="16"/>
              </w:rPr>
              <w:t xml:space="preserve"> </w:t>
            </w:r>
            <w:r w:rsidRPr="00FC5566">
              <w:rPr>
                <w:spacing w:val="-2"/>
                <w:sz w:val="16"/>
                <w:szCs w:val="16"/>
              </w:rPr>
              <w:t>Lines.</w:t>
            </w:r>
          </w:p>
        </w:tc>
        <w:tc>
          <w:tcPr>
            <w:tcW w:w="7043" w:type="dxa"/>
            <w:gridSpan w:val="2"/>
          </w:tcPr>
          <w:p w14:paraId="3CCFAA2D" w14:textId="77777777" w:rsidR="00FC5566" w:rsidRPr="00FC5566" w:rsidRDefault="00FC5566" w:rsidP="00FC5566">
            <w:pPr>
              <w:ind w:left="91" w:right="90"/>
              <w:rPr>
                <w:sz w:val="16"/>
                <w:szCs w:val="16"/>
                <w:highlight w:val="yellow"/>
              </w:rPr>
            </w:pPr>
            <w:r w:rsidRPr="00FC5566">
              <w:rPr>
                <w:sz w:val="16"/>
                <w:szCs w:val="16"/>
              </w:rPr>
              <w:t>Reclaimed</w:t>
            </w:r>
            <w:r w:rsidRPr="00FC5566">
              <w:rPr>
                <w:spacing w:val="-6"/>
                <w:sz w:val="16"/>
                <w:szCs w:val="16"/>
              </w:rPr>
              <w:t xml:space="preserve"> </w:t>
            </w:r>
            <w:r w:rsidRPr="00FC5566">
              <w:rPr>
                <w:sz w:val="16"/>
                <w:szCs w:val="16"/>
              </w:rPr>
              <w:t>water</w:t>
            </w:r>
            <w:r w:rsidRPr="00FC5566">
              <w:rPr>
                <w:spacing w:val="-5"/>
                <w:sz w:val="16"/>
                <w:szCs w:val="16"/>
              </w:rPr>
              <w:t xml:space="preserve"> </w:t>
            </w:r>
            <w:r w:rsidRPr="00FC5566">
              <w:rPr>
                <w:sz w:val="16"/>
                <w:szCs w:val="16"/>
              </w:rPr>
              <w:t>lines</w:t>
            </w:r>
            <w:r w:rsidRPr="00FC5566">
              <w:rPr>
                <w:spacing w:val="-4"/>
                <w:sz w:val="16"/>
                <w:szCs w:val="16"/>
              </w:rPr>
              <w:t xml:space="preserve"> </w:t>
            </w:r>
            <w:r w:rsidRPr="00FC5566">
              <w:rPr>
                <w:sz w:val="16"/>
                <w:szCs w:val="16"/>
              </w:rPr>
              <w:t>shall</w:t>
            </w:r>
            <w:r w:rsidRPr="00FC5566">
              <w:rPr>
                <w:spacing w:val="-6"/>
                <w:sz w:val="16"/>
                <w:szCs w:val="16"/>
              </w:rPr>
              <w:t xml:space="preserve"> </w:t>
            </w:r>
            <w:r w:rsidRPr="00FC5566">
              <w:rPr>
                <w:sz w:val="16"/>
                <w:szCs w:val="16"/>
              </w:rPr>
              <w:t>be</w:t>
            </w:r>
            <w:r w:rsidRPr="00FC5566">
              <w:rPr>
                <w:spacing w:val="-6"/>
                <w:sz w:val="16"/>
                <w:szCs w:val="16"/>
              </w:rPr>
              <w:t xml:space="preserve"> </w:t>
            </w:r>
            <w:r w:rsidRPr="00FC5566">
              <w:rPr>
                <w:sz w:val="16"/>
                <w:szCs w:val="16"/>
              </w:rPr>
              <w:t>installed with a minimum horizontal spacing of 5 feet and vertical spacing of 1 foot from potable water services.</w:t>
            </w:r>
          </w:p>
        </w:tc>
      </w:tr>
      <w:tr w:rsidR="00FC5566" w:rsidRPr="00FC5566" w14:paraId="504ED248" w14:textId="77777777" w:rsidTr="00B247D5">
        <w:trPr>
          <w:trHeight w:val="274"/>
        </w:trPr>
        <w:tc>
          <w:tcPr>
            <w:tcW w:w="1072" w:type="dxa"/>
            <w:tcBorders>
              <w:top w:val="single" w:sz="6" w:space="0" w:color="000000"/>
              <w:left w:val="single" w:sz="6" w:space="0" w:color="000000"/>
              <w:bottom w:val="single" w:sz="6" w:space="0" w:color="000000"/>
              <w:right w:val="single" w:sz="6" w:space="0" w:color="000000"/>
            </w:tcBorders>
          </w:tcPr>
          <w:p w14:paraId="3F6A93F2" w14:textId="77777777" w:rsidR="00FC5566" w:rsidRPr="00FC5566" w:rsidRDefault="00FC5566" w:rsidP="00FC5566">
            <w:pPr>
              <w:jc w:val="center"/>
              <w:rPr>
                <w:spacing w:val="-2"/>
                <w:sz w:val="16"/>
                <w:szCs w:val="16"/>
                <w:highlight w:val="yellow"/>
              </w:rPr>
            </w:pPr>
            <w:r w:rsidRPr="00FC5566">
              <w:rPr>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76BA8593" w14:textId="77777777" w:rsidR="00FC5566" w:rsidRPr="00FC5566" w:rsidRDefault="00FC5566" w:rsidP="00FC5566">
            <w:pPr>
              <w:ind w:left="96" w:right="58"/>
              <w:rPr>
                <w:iCs/>
                <w:sz w:val="16"/>
                <w:szCs w:val="16"/>
                <w:highlight w:val="yellow"/>
              </w:rPr>
            </w:pPr>
            <w:r w:rsidRPr="00FC5566">
              <w:rPr>
                <w:spacing w:val="-2"/>
                <w:sz w:val="16"/>
                <w:szCs w:val="16"/>
              </w:rPr>
              <w:t>Table 605.3, Water Service Pipe.</w:t>
            </w:r>
          </w:p>
        </w:tc>
        <w:tc>
          <w:tcPr>
            <w:tcW w:w="7043" w:type="dxa"/>
            <w:gridSpan w:val="2"/>
            <w:tcBorders>
              <w:top w:val="single" w:sz="6" w:space="0" w:color="000000"/>
              <w:left w:val="single" w:sz="6" w:space="0" w:color="000000"/>
              <w:bottom w:val="single" w:sz="6" w:space="0" w:color="000000"/>
              <w:right w:val="single" w:sz="6" w:space="0" w:color="000000"/>
            </w:tcBorders>
          </w:tcPr>
          <w:p w14:paraId="6CA3505C" w14:textId="77777777" w:rsidR="00FC5566" w:rsidRPr="00FC5566" w:rsidRDefault="00FC5566" w:rsidP="00FC5566">
            <w:pPr>
              <w:ind w:left="91" w:right="90"/>
              <w:rPr>
                <w:sz w:val="16"/>
                <w:szCs w:val="16"/>
                <w:highlight w:val="yellow"/>
              </w:rPr>
            </w:pPr>
          </w:p>
        </w:tc>
      </w:tr>
      <w:tr w:rsidR="00FC5566" w:rsidRPr="00FC5566" w14:paraId="67FD385D" w14:textId="77777777" w:rsidTr="00B247D5">
        <w:trPr>
          <w:trHeight w:val="187"/>
        </w:trPr>
        <w:tc>
          <w:tcPr>
            <w:tcW w:w="1072" w:type="dxa"/>
          </w:tcPr>
          <w:p w14:paraId="7AE5ED8B" w14:textId="77777777" w:rsidR="00FC5566" w:rsidRPr="00FC5566" w:rsidRDefault="00FC5566" w:rsidP="00FC5566">
            <w:pPr>
              <w:jc w:val="center"/>
              <w:rPr>
                <w:spacing w:val="-2"/>
                <w:sz w:val="16"/>
                <w:szCs w:val="16"/>
              </w:rPr>
            </w:pPr>
            <w:r w:rsidRPr="00FC5566">
              <w:rPr>
                <w:spacing w:val="-2"/>
                <w:sz w:val="16"/>
                <w:szCs w:val="16"/>
              </w:rPr>
              <w:t>Amend</w:t>
            </w:r>
          </w:p>
        </w:tc>
        <w:tc>
          <w:tcPr>
            <w:tcW w:w="2415" w:type="dxa"/>
            <w:gridSpan w:val="2"/>
          </w:tcPr>
          <w:p w14:paraId="61D6E215" w14:textId="77777777" w:rsidR="00FC5566" w:rsidRPr="00FC5566" w:rsidRDefault="00FC5566" w:rsidP="00FC5566">
            <w:pPr>
              <w:ind w:left="96" w:right="58"/>
              <w:rPr>
                <w:iCs/>
                <w:sz w:val="16"/>
                <w:szCs w:val="16"/>
              </w:rPr>
            </w:pPr>
            <w:r w:rsidRPr="00FC5566">
              <w:rPr>
                <w:sz w:val="16"/>
                <w:szCs w:val="16"/>
              </w:rPr>
              <w:t>Material (Cross-linked polyethylene (PEX) plastic tubing)</w:t>
            </w:r>
          </w:p>
        </w:tc>
        <w:tc>
          <w:tcPr>
            <w:tcW w:w="7043" w:type="dxa"/>
            <w:gridSpan w:val="2"/>
          </w:tcPr>
          <w:p w14:paraId="0BAC31C0" w14:textId="77777777" w:rsidR="00FC5566" w:rsidRPr="00FC5566" w:rsidRDefault="00FC5566" w:rsidP="00FC5566">
            <w:pPr>
              <w:ind w:left="91" w:right="90"/>
              <w:rPr>
                <w:sz w:val="16"/>
                <w:szCs w:val="16"/>
              </w:rPr>
            </w:pPr>
          </w:p>
        </w:tc>
      </w:tr>
      <w:tr w:rsidR="00FC5566" w:rsidRPr="00FC5566" w14:paraId="776056C8" w14:textId="77777777" w:rsidTr="00B247D5">
        <w:trPr>
          <w:trHeight w:val="187"/>
        </w:trPr>
        <w:tc>
          <w:tcPr>
            <w:tcW w:w="1072" w:type="dxa"/>
          </w:tcPr>
          <w:p w14:paraId="786828AA" w14:textId="77777777" w:rsidR="00FC5566" w:rsidRPr="00FC5566" w:rsidRDefault="00FC5566" w:rsidP="00FC5566">
            <w:pPr>
              <w:jc w:val="center"/>
              <w:rPr>
                <w:spacing w:val="-2"/>
                <w:sz w:val="16"/>
                <w:szCs w:val="16"/>
              </w:rPr>
            </w:pPr>
            <w:r w:rsidRPr="00FC5566">
              <w:rPr>
                <w:spacing w:val="-2"/>
                <w:sz w:val="16"/>
                <w:szCs w:val="16"/>
              </w:rPr>
              <w:t>Amend</w:t>
            </w:r>
          </w:p>
        </w:tc>
        <w:tc>
          <w:tcPr>
            <w:tcW w:w="2415" w:type="dxa"/>
            <w:gridSpan w:val="2"/>
          </w:tcPr>
          <w:p w14:paraId="4EECFCA4" w14:textId="77777777" w:rsidR="00FC5566" w:rsidRPr="00FC5566" w:rsidRDefault="00FC5566" w:rsidP="00FC5566">
            <w:pPr>
              <w:ind w:left="96" w:right="58"/>
              <w:rPr>
                <w:sz w:val="16"/>
                <w:szCs w:val="16"/>
              </w:rPr>
            </w:pPr>
            <w:r w:rsidRPr="00FC5566">
              <w:rPr>
                <w:sz w:val="16"/>
                <w:szCs w:val="16"/>
              </w:rPr>
              <w:t>Standard for Material</w:t>
            </w:r>
          </w:p>
        </w:tc>
        <w:tc>
          <w:tcPr>
            <w:tcW w:w="7043" w:type="dxa"/>
            <w:gridSpan w:val="2"/>
          </w:tcPr>
          <w:p w14:paraId="74A4F538" w14:textId="77777777" w:rsidR="00FC5566" w:rsidRPr="00FC5566" w:rsidRDefault="00FC5566" w:rsidP="00FC5566">
            <w:pPr>
              <w:ind w:left="91" w:right="90"/>
              <w:rPr>
                <w:sz w:val="16"/>
                <w:szCs w:val="16"/>
              </w:rPr>
            </w:pPr>
            <w:r w:rsidRPr="00FC5566">
              <w:rPr>
                <w:sz w:val="16"/>
                <w:szCs w:val="16"/>
              </w:rPr>
              <w:t>ASTM F 876; ASTM F 877; CSA B137.5</w:t>
            </w:r>
          </w:p>
        </w:tc>
      </w:tr>
      <w:tr w:rsidR="00FC5566" w:rsidRPr="00FC5566" w14:paraId="517BD899" w14:textId="77777777" w:rsidTr="00B247D5">
        <w:trPr>
          <w:trHeight w:val="187"/>
        </w:trPr>
        <w:tc>
          <w:tcPr>
            <w:tcW w:w="1072" w:type="dxa"/>
          </w:tcPr>
          <w:p w14:paraId="45EE3729" w14:textId="77777777" w:rsidR="00FC5566" w:rsidRPr="00FC5566" w:rsidRDefault="00FC5566" w:rsidP="00FC5566">
            <w:pPr>
              <w:jc w:val="center"/>
              <w:rPr>
                <w:spacing w:val="-2"/>
                <w:sz w:val="16"/>
                <w:szCs w:val="16"/>
                <w:highlight w:val="yellow"/>
              </w:rPr>
            </w:pPr>
            <w:r w:rsidRPr="00FC5566">
              <w:rPr>
                <w:spacing w:val="-2"/>
                <w:sz w:val="16"/>
                <w:szCs w:val="16"/>
              </w:rPr>
              <w:t>Amend</w:t>
            </w:r>
          </w:p>
        </w:tc>
        <w:tc>
          <w:tcPr>
            <w:tcW w:w="2415" w:type="dxa"/>
            <w:gridSpan w:val="2"/>
          </w:tcPr>
          <w:p w14:paraId="5EC6E726" w14:textId="77777777" w:rsidR="00FC5566" w:rsidRPr="00FC5566" w:rsidRDefault="00FC5566" w:rsidP="00FC5566">
            <w:pPr>
              <w:ind w:left="96" w:right="58"/>
              <w:rPr>
                <w:iCs/>
                <w:sz w:val="16"/>
                <w:szCs w:val="16"/>
                <w:highlight w:val="yellow"/>
              </w:rPr>
            </w:pPr>
            <w:r w:rsidRPr="00FC5566">
              <w:rPr>
                <w:sz w:val="16"/>
                <w:szCs w:val="16"/>
              </w:rPr>
              <w:t>Section</w:t>
            </w:r>
            <w:r w:rsidRPr="00FC5566">
              <w:rPr>
                <w:spacing w:val="-10"/>
                <w:sz w:val="16"/>
                <w:szCs w:val="16"/>
              </w:rPr>
              <w:t xml:space="preserve"> </w:t>
            </w:r>
            <w:r w:rsidRPr="00FC5566">
              <w:rPr>
                <w:sz w:val="16"/>
                <w:szCs w:val="16"/>
              </w:rPr>
              <w:t>605.3.1,</w:t>
            </w:r>
            <w:r w:rsidRPr="00FC5566">
              <w:rPr>
                <w:spacing w:val="-10"/>
                <w:sz w:val="16"/>
                <w:szCs w:val="16"/>
              </w:rPr>
              <w:t xml:space="preserve"> </w:t>
            </w:r>
            <w:r w:rsidRPr="00FC5566">
              <w:rPr>
                <w:sz w:val="16"/>
                <w:szCs w:val="16"/>
              </w:rPr>
              <w:t>Dual</w:t>
            </w:r>
            <w:r w:rsidRPr="00FC5566">
              <w:rPr>
                <w:spacing w:val="40"/>
                <w:sz w:val="16"/>
                <w:szCs w:val="16"/>
              </w:rPr>
              <w:t xml:space="preserve"> </w:t>
            </w:r>
            <w:r w:rsidRPr="00FC5566">
              <w:rPr>
                <w:spacing w:val="-2"/>
                <w:sz w:val="16"/>
                <w:szCs w:val="16"/>
              </w:rPr>
              <w:t>Check-Valve-Type</w:t>
            </w:r>
            <w:r w:rsidRPr="00FC5566">
              <w:rPr>
                <w:spacing w:val="40"/>
                <w:sz w:val="16"/>
                <w:szCs w:val="16"/>
              </w:rPr>
              <w:t xml:space="preserve"> </w:t>
            </w:r>
            <w:r w:rsidRPr="00FC5566">
              <w:rPr>
                <w:sz w:val="16"/>
                <w:szCs w:val="16"/>
              </w:rPr>
              <w:t>Backflow</w:t>
            </w:r>
            <w:r w:rsidRPr="00FC5566">
              <w:rPr>
                <w:spacing w:val="-7"/>
                <w:sz w:val="16"/>
                <w:szCs w:val="16"/>
              </w:rPr>
              <w:t xml:space="preserve"> </w:t>
            </w:r>
            <w:r w:rsidRPr="00FC5566">
              <w:rPr>
                <w:sz w:val="16"/>
                <w:szCs w:val="16"/>
              </w:rPr>
              <w:t>Preventer.</w:t>
            </w:r>
          </w:p>
        </w:tc>
        <w:tc>
          <w:tcPr>
            <w:tcW w:w="7043" w:type="dxa"/>
            <w:gridSpan w:val="2"/>
          </w:tcPr>
          <w:p w14:paraId="0F9E930B" w14:textId="77777777" w:rsidR="00FC5566" w:rsidRPr="00FC5566" w:rsidRDefault="00FC5566" w:rsidP="00FC5566">
            <w:pPr>
              <w:ind w:left="91" w:right="90"/>
              <w:rPr>
                <w:sz w:val="16"/>
                <w:szCs w:val="16"/>
                <w:highlight w:val="yellow"/>
              </w:rPr>
            </w:pPr>
            <w:r w:rsidRPr="00FC5566">
              <w:rPr>
                <w:sz w:val="16"/>
                <w:szCs w:val="16"/>
              </w:rPr>
              <w:t>Dual</w:t>
            </w:r>
            <w:r w:rsidRPr="00FC5566">
              <w:rPr>
                <w:spacing w:val="-1"/>
                <w:sz w:val="16"/>
                <w:szCs w:val="16"/>
              </w:rPr>
              <w:t xml:space="preserve"> </w:t>
            </w:r>
            <w:r w:rsidRPr="00FC5566">
              <w:rPr>
                <w:sz w:val="16"/>
                <w:szCs w:val="16"/>
              </w:rPr>
              <w:t>check-valve</w:t>
            </w:r>
            <w:r w:rsidRPr="00FC5566">
              <w:rPr>
                <w:spacing w:val="-2"/>
                <w:sz w:val="16"/>
                <w:szCs w:val="16"/>
              </w:rPr>
              <w:t xml:space="preserve"> </w:t>
            </w:r>
            <w:r w:rsidRPr="00FC5566">
              <w:rPr>
                <w:sz w:val="16"/>
                <w:szCs w:val="16"/>
              </w:rPr>
              <w:t>backflow</w:t>
            </w:r>
            <w:r w:rsidRPr="00FC5566">
              <w:rPr>
                <w:spacing w:val="-3"/>
                <w:sz w:val="16"/>
                <w:szCs w:val="16"/>
              </w:rPr>
              <w:t xml:space="preserve"> </w:t>
            </w:r>
            <w:r w:rsidRPr="00FC5566">
              <w:rPr>
                <w:sz w:val="16"/>
                <w:szCs w:val="16"/>
              </w:rPr>
              <w:t>preventers installed on</w:t>
            </w:r>
            <w:r w:rsidRPr="00FC5566">
              <w:rPr>
                <w:spacing w:val="-1"/>
                <w:sz w:val="16"/>
                <w:szCs w:val="16"/>
              </w:rPr>
              <w:t xml:space="preserve"> </w:t>
            </w:r>
            <w:r w:rsidRPr="00FC5566">
              <w:rPr>
                <w:sz w:val="16"/>
                <w:szCs w:val="16"/>
              </w:rPr>
              <w:t>the</w:t>
            </w:r>
            <w:r w:rsidRPr="00FC5566">
              <w:rPr>
                <w:spacing w:val="-2"/>
                <w:sz w:val="16"/>
                <w:szCs w:val="16"/>
              </w:rPr>
              <w:t xml:space="preserve"> </w:t>
            </w:r>
            <w:r w:rsidRPr="00FC5566">
              <w:rPr>
                <w:sz w:val="16"/>
                <w:szCs w:val="16"/>
              </w:rPr>
              <w:t>water</w:t>
            </w:r>
            <w:r w:rsidRPr="00FC5566">
              <w:rPr>
                <w:spacing w:val="-1"/>
                <w:sz w:val="16"/>
                <w:szCs w:val="16"/>
              </w:rPr>
              <w:t xml:space="preserve"> </w:t>
            </w:r>
            <w:r w:rsidRPr="00FC5566">
              <w:rPr>
                <w:sz w:val="16"/>
                <w:szCs w:val="16"/>
              </w:rPr>
              <w:t>supply</w:t>
            </w:r>
            <w:r w:rsidRPr="00FC5566">
              <w:rPr>
                <w:spacing w:val="-3"/>
                <w:sz w:val="16"/>
                <w:szCs w:val="16"/>
              </w:rPr>
              <w:t xml:space="preserve"> </w:t>
            </w:r>
            <w:r w:rsidRPr="00FC5566">
              <w:rPr>
                <w:sz w:val="16"/>
                <w:szCs w:val="16"/>
              </w:rPr>
              <w:t>system shall</w:t>
            </w:r>
            <w:r w:rsidRPr="00FC5566">
              <w:rPr>
                <w:spacing w:val="-1"/>
                <w:sz w:val="16"/>
                <w:szCs w:val="16"/>
              </w:rPr>
              <w:t xml:space="preserve"> </w:t>
            </w:r>
            <w:r w:rsidRPr="00FC5566">
              <w:rPr>
                <w:sz w:val="16"/>
                <w:szCs w:val="16"/>
              </w:rPr>
              <w:t>comply</w:t>
            </w:r>
            <w:r w:rsidRPr="00FC5566">
              <w:rPr>
                <w:spacing w:val="-1"/>
                <w:sz w:val="16"/>
                <w:szCs w:val="16"/>
              </w:rPr>
              <w:t xml:space="preserve"> </w:t>
            </w:r>
            <w:r w:rsidRPr="00FC5566">
              <w:rPr>
                <w:sz w:val="16"/>
                <w:szCs w:val="16"/>
              </w:rPr>
              <w:t>with ASSE 1024 or</w:t>
            </w:r>
            <w:r w:rsidRPr="00FC5566">
              <w:rPr>
                <w:spacing w:val="-1"/>
                <w:sz w:val="16"/>
                <w:szCs w:val="16"/>
              </w:rPr>
              <w:t xml:space="preserve"> </w:t>
            </w:r>
            <w:r w:rsidRPr="00FC5566">
              <w:rPr>
                <w:sz w:val="16"/>
                <w:szCs w:val="16"/>
              </w:rPr>
              <w:t>CSA</w:t>
            </w:r>
            <w:r w:rsidRPr="00FC5566">
              <w:rPr>
                <w:spacing w:val="40"/>
                <w:sz w:val="16"/>
                <w:szCs w:val="16"/>
              </w:rPr>
              <w:t xml:space="preserve"> </w:t>
            </w:r>
            <w:r w:rsidRPr="00FC5566">
              <w:rPr>
                <w:sz w:val="16"/>
                <w:szCs w:val="16"/>
              </w:rPr>
              <w:t>B64.6.</w:t>
            </w:r>
            <w:r w:rsidRPr="00FC5566">
              <w:rPr>
                <w:spacing w:val="-1"/>
                <w:sz w:val="16"/>
                <w:szCs w:val="16"/>
              </w:rPr>
              <w:t xml:space="preserve"> </w:t>
            </w:r>
            <w:r w:rsidRPr="00FC5566">
              <w:rPr>
                <w:sz w:val="16"/>
                <w:szCs w:val="16"/>
              </w:rPr>
              <w:t>These</w:t>
            </w:r>
            <w:r w:rsidRPr="00FC5566">
              <w:rPr>
                <w:spacing w:val="-1"/>
                <w:sz w:val="16"/>
                <w:szCs w:val="16"/>
              </w:rPr>
              <w:t xml:space="preserve"> </w:t>
            </w:r>
            <w:r w:rsidRPr="00FC5566">
              <w:rPr>
                <w:sz w:val="16"/>
                <w:szCs w:val="16"/>
              </w:rPr>
              <w:t>devices, which are</w:t>
            </w:r>
            <w:r w:rsidRPr="00FC5566">
              <w:rPr>
                <w:spacing w:val="-1"/>
                <w:sz w:val="16"/>
                <w:szCs w:val="16"/>
              </w:rPr>
              <w:t xml:space="preserve"> </w:t>
            </w:r>
            <w:r w:rsidRPr="00FC5566">
              <w:rPr>
                <w:sz w:val="16"/>
                <w:szCs w:val="16"/>
              </w:rPr>
              <w:t>commonly</w:t>
            </w:r>
            <w:r w:rsidRPr="00FC5566">
              <w:rPr>
                <w:spacing w:val="-2"/>
                <w:sz w:val="16"/>
                <w:szCs w:val="16"/>
              </w:rPr>
              <w:t xml:space="preserve"> </w:t>
            </w:r>
            <w:r w:rsidRPr="00FC5566">
              <w:rPr>
                <w:sz w:val="16"/>
                <w:szCs w:val="16"/>
              </w:rPr>
              <w:t>installed immediately</w:t>
            </w:r>
            <w:r w:rsidRPr="00FC5566">
              <w:rPr>
                <w:spacing w:val="-2"/>
                <w:sz w:val="16"/>
                <w:szCs w:val="16"/>
              </w:rPr>
              <w:t xml:space="preserve"> </w:t>
            </w:r>
            <w:r w:rsidRPr="00FC5566">
              <w:rPr>
                <w:sz w:val="16"/>
                <w:szCs w:val="16"/>
              </w:rPr>
              <w:t>downstream of water meters by water suppliers,</w:t>
            </w:r>
            <w:r w:rsidRPr="00FC5566">
              <w:rPr>
                <w:spacing w:val="40"/>
                <w:sz w:val="16"/>
                <w:szCs w:val="16"/>
              </w:rPr>
              <w:t xml:space="preserve"> </w:t>
            </w:r>
            <w:r w:rsidRPr="00FC5566">
              <w:rPr>
                <w:sz w:val="16"/>
                <w:szCs w:val="16"/>
              </w:rPr>
              <w:t>are</w:t>
            </w:r>
            <w:r w:rsidRPr="00FC5566">
              <w:rPr>
                <w:spacing w:val="-4"/>
                <w:sz w:val="16"/>
                <w:szCs w:val="16"/>
              </w:rPr>
              <w:t xml:space="preserve"> </w:t>
            </w:r>
            <w:r w:rsidRPr="00FC5566">
              <w:rPr>
                <w:sz w:val="16"/>
                <w:szCs w:val="16"/>
              </w:rPr>
              <w:t>not</w:t>
            </w:r>
            <w:r w:rsidRPr="00FC5566">
              <w:rPr>
                <w:spacing w:val="-1"/>
                <w:sz w:val="16"/>
                <w:szCs w:val="16"/>
              </w:rPr>
              <w:t xml:space="preserve"> </w:t>
            </w:r>
            <w:r w:rsidRPr="00FC5566">
              <w:rPr>
                <w:sz w:val="16"/>
                <w:szCs w:val="16"/>
              </w:rPr>
              <w:t>approved</w:t>
            </w:r>
            <w:r w:rsidRPr="00FC5566">
              <w:rPr>
                <w:spacing w:val="-1"/>
                <w:sz w:val="16"/>
                <w:szCs w:val="16"/>
              </w:rPr>
              <w:t xml:space="preserve"> </w:t>
            </w:r>
            <w:r w:rsidRPr="00FC5566">
              <w:rPr>
                <w:sz w:val="16"/>
                <w:szCs w:val="16"/>
              </w:rPr>
              <w:t>backflow</w:t>
            </w:r>
            <w:r w:rsidRPr="00FC5566">
              <w:rPr>
                <w:spacing w:val="-5"/>
                <w:sz w:val="16"/>
                <w:szCs w:val="16"/>
              </w:rPr>
              <w:t xml:space="preserve"> </w:t>
            </w:r>
            <w:r w:rsidRPr="00FC5566">
              <w:rPr>
                <w:sz w:val="16"/>
                <w:szCs w:val="16"/>
              </w:rPr>
              <w:t>prevention</w:t>
            </w:r>
            <w:r w:rsidRPr="00FC5566">
              <w:rPr>
                <w:spacing w:val="-3"/>
                <w:sz w:val="16"/>
                <w:szCs w:val="16"/>
              </w:rPr>
              <w:t xml:space="preserve"> </w:t>
            </w:r>
            <w:r w:rsidRPr="00FC5566">
              <w:rPr>
                <w:sz w:val="16"/>
                <w:szCs w:val="16"/>
              </w:rPr>
              <w:t>devices</w:t>
            </w:r>
            <w:r w:rsidRPr="00FC5566">
              <w:rPr>
                <w:spacing w:val="-2"/>
                <w:sz w:val="16"/>
                <w:szCs w:val="16"/>
              </w:rPr>
              <w:t xml:space="preserve"> </w:t>
            </w:r>
            <w:r w:rsidRPr="00FC5566">
              <w:rPr>
                <w:sz w:val="16"/>
                <w:szCs w:val="16"/>
              </w:rPr>
              <w:t>and are</w:t>
            </w:r>
            <w:r w:rsidRPr="00FC5566">
              <w:rPr>
                <w:spacing w:val="-4"/>
                <w:sz w:val="16"/>
                <w:szCs w:val="16"/>
              </w:rPr>
              <w:t xml:space="preserve"> </w:t>
            </w:r>
            <w:r w:rsidRPr="00FC5566">
              <w:rPr>
                <w:sz w:val="16"/>
                <w:szCs w:val="16"/>
              </w:rPr>
              <w:t>only</w:t>
            </w:r>
            <w:r w:rsidRPr="00FC5566">
              <w:rPr>
                <w:spacing w:val="-5"/>
                <w:sz w:val="16"/>
                <w:szCs w:val="16"/>
              </w:rPr>
              <w:t xml:space="preserve"> </w:t>
            </w:r>
            <w:r w:rsidRPr="00FC5566">
              <w:rPr>
                <w:sz w:val="16"/>
                <w:szCs w:val="16"/>
              </w:rPr>
              <w:t>allowed</w:t>
            </w:r>
            <w:r w:rsidRPr="00FC5566">
              <w:rPr>
                <w:spacing w:val="-1"/>
                <w:sz w:val="16"/>
                <w:szCs w:val="16"/>
              </w:rPr>
              <w:t xml:space="preserve"> </w:t>
            </w:r>
            <w:r w:rsidRPr="00FC5566">
              <w:rPr>
                <w:sz w:val="16"/>
                <w:szCs w:val="16"/>
              </w:rPr>
              <w:t>to</w:t>
            </w:r>
            <w:r w:rsidRPr="00FC5566">
              <w:rPr>
                <w:spacing w:val="-3"/>
                <w:sz w:val="16"/>
                <w:szCs w:val="16"/>
              </w:rPr>
              <w:t xml:space="preserve"> </w:t>
            </w:r>
            <w:r w:rsidRPr="00FC5566">
              <w:rPr>
                <w:sz w:val="16"/>
                <w:szCs w:val="16"/>
              </w:rPr>
              <w:t>be</w:t>
            </w:r>
            <w:r w:rsidRPr="00FC5566">
              <w:rPr>
                <w:spacing w:val="-4"/>
                <w:sz w:val="16"/>
                <w:szCs w:val="16"/>
              </w:rPr>
              <w:t xml:space="preserve"> </w:t>
            </w:r>
            <w:r w:rsidRPr="00FC5566">
              <w:rPr>
                <w:sz w:val="16"/>
                <w:szCs w:val="16"/>
              </w:rPr>
              <w:t>installed</w:t>
            </w:r>
            <w:r w:rsidRPr="00FC5566">
              <w:rPr>
                <w:spacing w:val="-1"/>
                <w:sz w:val="16"/>
                <w:szCs w:val="16"/>
              </w:rPr>
              <w:t xml:space="preserve"> </w:t>
            </w:r>
            <w:r w:rsidRPr="00FC5566">
              <w:rPr>
                <w:sz w:val="16"/>
                <w:szCs w:val="16"/>
              </w:rPr>
              <w:t>when</w:t>
            </w:r>
            <w:r w:rsidRPr="00FC5566">
              <w:rPr>
                <w:spacing w:val="-1"/>
                <w:sz w:val="16"/>
                <w:szCs w:val="16"/>
              </w:rPr>
              <w:t xml:space="preserve"> </w:t>
            </w:r>
            <w:r w:rsidRPr="00FC5566">
              <w:rPr>
                <w:sz w:val="16"/>
                <w:szCs w:val="16"/>
              </w:rPr>
              <w:t>no</w:t>
            </w:r>
            <w:r w:rsidRPr="00FC5566">
              <w:rPr>
                <w:spacing w:val="-3"/>
                <w:sz w:val="16"/>
                <w:szCs w:val="16"/>
              </w:rPr>
              <w:t xml:space="preserve"> </w:t>
            </w:r>
            <w:r w:rsidRPr="00FC5566">
              <w:rPr>
                <w:sz w:val="16"/>
                <w:szCs w:val="16"/>
              </w:rPr>
              <w:t>cross</w:t>
            </w:r>
            <w:r w:rsidRPr="00FC5566">
              <w:rPr>
                <w:spacing w:val="-4"/>
                <w:sz w:val="16"/>
                <w:szCs w:val="16"/>
              </w:rPr>
              <w:t xml:space="preserve"> </w:t>
            </w:r>
            <w:r w:rsidRPr="00FC5566">
              <w:rPr>
                <w:sz w:val="16"/>
                <w:szCs w:val="16"/>
              </w:rPr>
              <w:t>connections</w:t>
            </w:r>
            <w:r w:rsidRPr="00FC5566">
              <w:rPr>
                <w:spacing w:val="-2"/>
                <w:sz w:val="16"/>
                <w:szCs w:val="16"/>
              </w:rPr>
              <w:t xml:space="preserve"> </w:t>
            </w:r>
            <w:r w:rsidRPr="00FC5566">
              <w:rPr>
                <w:sz w:val="16"/>
                <w:szCs w:val="16"/>
              </w:rPr>
              <w:t>exist</w:t>
            </w:r>
            <w:r w:rsidRPr="00FC5566">
              <w:rPr>
                <w:spacing w:val="40"/>
                <w:sz w:val="16"/>
                <w:szCs w:val="16"/>
              </w:rPr>
              <w:t xml:space="preserve"> </w:t>
            </w:r>
            <w:r w:rsidRPr="00FC5566">
              <w:rPr>
                <w:sz w:val="16"/>
                <w:szCs w:val="16"/>
              </w:rPr>
              <w:t>downstream of the</w:t>
            </w:r>
            <w:r w:rsidRPr="00FC5566">
              <w:rPr>
                <w:spacing w:val="-3"/>
                <w:sz w:val="16"/>
                <w:szCs w:val="16"/>
              </w:rPr>
              <w:t xml:space="preserve"> </w:t>
            </w:r>
            <w:r w:rsidRPr="00FC5566">
              <w:rPr>
                <w:sz w:val="16"/>
                <w:szCs w:val="16"/>
              </w:rPr>
              <w:t>device</w:t>
            </w:r>
            <w:r w:rsidRPr="00FC5566">
              <w:rPr>
                <w:spacing w:val="-1"/>
                <w:sz w:val="16"/>
                <w:szCs w:val="16"/>
              </w:rPr>
              <w:t xml:space="preserve"> </w:t>
            </w:r>
            <w:r w:rsidRPr="00FC5566">
              <w:rPr>
                <w:sz w:val="16"/>
                <w:szCs w:val="16"/>
              </w:rPr>
              <w:t>or when all downstream cross connections</w:t>
            </w:r>
            <w:r w:rsidRPr="00FC5566">
              <w:rPr>
                <w:spacing w:val="-1"/>
                <w:sz w:val="16"/>
                <w:szCs w:val="16"/>
              </w:rPr>
              <w:t xml:space="preserve"> </w:t>
            </w:r>
            <w:r w:rsidRPr="00FC5566">
              <w:rPr>
                <w:sz w:val="16"/>
                <w:szCs w:val="16"/>
              </w:rPr>
              <w:t>are</w:t>
            </w:r>
            <w:r w:rsidRPr="00FC5566">
              <w:rPr>
                <w:spacing w:val="-1"/>
                <w:sz w:val="16"/>
                <w:szCs w:val="16"/>
              </w:rPr>
              <w:t xml:space="preserve"> </w:t>
            </w:r>
            <w:r w:rsidRPr="00FC5566">
              <w:rPr>
                <w:sz w:val="16"/>
                <w:szCs w:val="16"/>
              </w:rPr>
              <w:t>properly</w:t>
            </w:r>
            <w:r w:rsidRPr="00FC5566">
              <w:rPr>
                <w:spacing w:val="-2"/>
                <w:sz w:val="16"/>
                <w:szCs w:val="16"/>
              </w:rPr>
              <w:t xml:space="preserve"> </w:t>
            </w:r>
            <w:r w:rsidRPr="00FC5566">
              <w:rPr>
                <w:sz w:val="16"/>
                <w:szCs w:val="16"/>
              </w:rPr>
              <w:t>protected by</w:t>
            </w:r>
            <w:r w:rsidRPr="00FC5566">
              <w:rPr>
                <w:spacing w:val="-2"/>
                <w:sz w:val="16"/>
                <w:szCs w:val="16"/>
              </w:rPr>
              <w:t xml:space="preserve"> </w:t>
            </w:r>
            <w:r w:rsidRPr="00FC5566">
              <w:rPr>
                <w:sz w:val="16"/>
                <w:szCs w:val="16"/>
              </w:rPr>
              <w:t>approved backflow prevention</w:t>
            </w:r>
            <w:r w:rsidRPr="00FC5566">
              <w:rPr>
                <w:spacing w:val="-8"/>
                <w:sz w:val="16"/>
                <w:szCs w:val="16"/>
              </w:rPr>
              <w:t xml:space="preserve"> </w:t>
            </w:r>
            <w:r w:rsidRPr="00FC5566">
              <w:rPr>
                <w:sz w:val="16"/>
                <w:szCs w:val="16"/>
              </w:rPr>
              <w:t>devices,</w:t>
            </w:r>
            <w:r w:rsidRPr="00FC5566">
              <w:rPr>
                <w:spacing w:val="-3"/>
                <w:sz w:val="16"/>
                <w:szCs w:val="16"/>
              </w:rPr>
              <w:t xml:space="preserve"> </w:t>
            </w:r>
            <w:r w:rsidRPr="00FC5566">
              <w:rPr>
                <w:sz w:val="16"/>
                <w:szCs w:val="16"/>
              </w:rPr>
              <w:t>assemblies,</w:t>
            </w:r>
            <w:r w:rsidRPr="00FC5566">
              <w:rPr>
                <w:spacing w:val="-4"/>
                <w:sz w:val="16"/>
                <w:szCs w:val="16"/>
              </w:rPr>
              <w:t xml:space="preserve"> </w:t>
            </w:r>
            <w:r w:rsidRPr="00FC5566">
              <w:rPr>
                <w:sz w:val="16"/>
                <w:szCs w:val="16"/>
              </w:rPr>
              <w:t>or</w:t>
            </w:r>
            <w:r w:rsidRPr="00FC5566">
              <w:rPr>
                <w:spacing w:val="-5"/>
                <w:sz w:val="16"/>
                <w:szCs w:val="16"/>
              </w:rPr>
              <w:t xml:space="preserve"> </w:t>
            </w:r>
            <w:r w:rsidRPr="00FC5566">
              <w:rPr>
                <w:sz w:val="16"/>
                <w:szCs w:val="16"/>
              </w:rPr>
              <w:t>methods</w:t>
            </w:r>
            <w:r w:rsidRPr="00FC5566">
              <w:rPr>
                <w:spacing w:val="-4"/>
                <w:sz w:val="16"/>
                <w:szCs w:val="16"/>
              </w:rPr>
              <w:t xml:space="preserve"> </w:t>
            </w:r>
            <w:r w:rsidRPr="00FC5566">
              <w:rPr>
                <w:sz w:val="16"/>
                <w:szCs w:val="16"/>
              </w:rPr>
              <w:t>in</w:t>
            </w:r>
            <w:r w:rsidRPr="00FC5566">
              <w:rPr>
                <w:spacing w:val="-5"/>
                <w:sz w:val="16"/>
                <w:szCs w:val="16"/>
              </w:rPr>
              <w:t xml:space="preserve"> </w:t>
            </w:r>
            <w:r w:rsidRPr="00FC5566">
              <w:rPr>
                <w:sz w:val="16"/>
                <w:szCs w:val="16"/>
              </w:rPr>
              <w:t>accordance</w:t>
            </w:r>
            <w:r w:rsidRPr="00FC5566">
              <w:rPr>
                <w:spacing w:val="-6"/>
                <w:sz w:val="16"/>
                <w:szCs w:val="16"/>
              </w:rPr>
              <w:t xml:space="preserve"> </w:t>
            </w:r>
            <w:r w:rsidRPr="00FC5566">
              <w:rPr>
                <w:sz w:val="16"/>
                <w:szCs w:val="16"/>
              </w:rPr>
              <w:t>with</w:t>
            </w:r>
            <w:r w:rsidRPr="00FC5566">
              <w:rPr>
                <w:spacing w:val="-6"/>
                <w:sz w:val="16"/>
                <w:szCs w:val="16"/>
              </w:rPr>
              <w:t xml:space="preserve"> </w:t>
            </w:r>
            <w:r w:rsidRPr="00FC5566">
              <w:rPr>
                <w:sz w:val="16"/>
                <w:szCs w:val="16"/>
              </w:rPr>
              <w:t>Section</w:t>
            </w:r>
            <w:r w:rsidRPr="00FC5566">
              <w:rPr>
                <w:spacing w:val="-5"/>
                <w:sz w:val="16"/>
                <w:szCs w:val="16"/>
              </w:rPr>
              <w:t xml:space="preserve"> </w:t>
            </w:r>
            <w:r w:rsidRPr="00FC5566">
              <w:rPr>
                <w:sz w:val="16"/>
                <w:szCs w:val="16"/>
              </w:rPr>
              <w:t>608</w:t>
            </w:r>
            <w:r w:rsidRPr="00FC5566">
              <w:rPr>
                <w:spacing w:val="-5"/>
                <w:sz w:val="16"/>
                <w:szCs w:val="16"/>
              </w:rPr>
              <w:t xml:space="preserve"> </w:t>
            </w:r>
            <w:r w:rsidRPr="00FC5566">
              <w:rPr>
                <w:sz w:val="16"/>
                <w:szCs w:val="16"/>
              </w:rPr>
              <w:t>of</w:t>
            </w:r>
            <w:r w:rsidRPr="00FC5566">
              <w:rPr>
                <w:spacing w:val="-5"/>
                <w:sz w:val="16"/>
                <w:szCs w:val="16"/>
              </w:rPr>
              <w:t xml:space="preserve"> </w:t>
            </w:r>
            <w:r w:rsidRPr="00FC5566">
              <w:rPr>
                <w:sz w:val="16"/>
                <w:szCs w:val="16"/>
              </w:rPr>
              <w:t>this</w:t>
            </w:r>
            <w:r w:rsidRPr="00FC5566">
              <w:rPr>
                <w:spacing w:val="-6"/>
                <w:sz w:val="16"/>
                <w:szCs w:val="16"/>
              </w:rPr>
              <w:t xml:space="preserve"> </w:t>
            </w:r>
            <w:r w:rsidRPr="00FC5566">
              <w:rPr>
                <w:spacing w:val="-2"/>
                <w:sz w:val="16"/>
                <w:szCs w:val="16"/>
              </w:rPr>
              <w:t>code.</w:t>
            </w:r>
          </w:p>
        </w:tc>
      </w:tr>
      <w:tr w:rsidR="00FC5566" w:rsidRPr="00FC5566" w14:paraId="6ABC054C" w14:textId="77777777" w:rsidTr="00B247D5">
        <w:trPr>
          <w:trHeight w:val="187"/>
        </w:trPr>
        <w:tc>
          <w:tcPr>
            <w:tcW w:w="1072" w:type="dxa"/>
          </w:tcPr>
          <w:p w14:paraId="173149FD" w14:textId="77777777" w:rsidR="00FC5566" w:rsidRPr="00FC5566" w:rsidRDefault="00FC5566" w:rsidP="00FC5566">
            <w:pPr>
              <w:jc w:val="center"/>
              <w:rPr>
                <w:spacing w:val="-2"/>
                <w:sz w:val="16"/>
                <w:szCs w:val="16"/>
                <w:highlight w:val="yellow"/>
              </w:rPr>
            </w:pPr>
            <w:r w:rsidRPr="00FC5566">
              <w:rPr>
                <w:spacing w:val="-2"/>
                <w:sz w:val="16"/>
                <w:szCs w:val="16"/>
              </w:rPr>
              <w:t>Amend</w:t>
            </w:r>
          </w:p>
        </w:tc>
        <w:tc>
          <w:tcPr>
            <w:tcW w:w="2415" w:type="dxa"/>
            <w:gridSpan w:val="2"/>
          </w:tcPr>
          <w:p w14:paraId="58F031AC" w14:textId="77777777" w:rsidR="00FC5566" w:rsidRPr="00FC5566" w:rsidRDefault="00FC5566" w:rsidP="00FC5566">
            <w:pPr>
              <w:ind w:left="96" w:right="58"/>
              <w:rPr>
                <w:iCs/>
                <w:sz w:val="16"/>
                <w:szCs w:val="16"/>
                <w:highlight w:val="yellow"/>
              </w:rPr>
            </w:pPr>
            <w:r w:rsidRPr="00FC5566">
              <w:rPr>
                <w:sz w:val="16"/>
                <w:szCs w:val="16"/>
              </w:rPr>
              <w:t>Table</w:t>
            </w:r>
            <w:r w:rsidRPr="00FC5566">
              <w:rPr>
                <w:spacing w:val="-10"/>
                <w:sz w:val="16"/>
                <w:szCs w:val="16"/>
              </w:rPr>
              <w:t xml:space="preserve"> </w:t>
            </w:r>
            <w:r w:rsidRPr="00FC5566">
              <w:rPr>
                <w:sz w:val="16"/>
                <w:szCs w:val="16"/>
              </w:rPr>
              <w:t>605.4,</w:t>
            </w:r>
            <w:r w:rsidRPr="00FC5566">
              <w:rPr>
                <w:spacing w:val="-10"/>
                <w:sz w:val="16"/>
                <w:szCs w:val="16"/>
              </w:rPr>
              <w:t xml:space="preserve"> </w:t>
            </w:r>
            <w:r w:rsidRPr="00FC5566">
              <w:rPr>
                <w:sz w:val="16"/>
                <w:szCs w:val="16"/>
              </w:rPr>
              <w:t>Water</w:t>
            </w:r>
            <w:r w:rsidRPr="00FC5566">
              <w:rPr>
                <w:spacing w:val="40"/>
                <w:sz w:val="16"/>
                <w:szCs w:val="16"/>
              </w:rPr>
              <w:t xml:space="preserve"> </w:t>
            </w:r>
            <w:r w:rsidRPr="00FC5566">
              <w:rPr>
                <w:sz w:val="16"/>
                <w:szCs w:val="16"/>
              </w:rPr>
              <w:t>Distribution Pipe.</w:t>
            </w:r>
          </w:p>
        </w:tc>
        <w:tc>
          <w:tcPr>
            <w:tcW w:w="7043" w:type="dxa"/>
            <w:gridSpan w:val="2"/>
          </w:tcPr>
          <w:p w14:paraId="11AE6742" w14:textId="77777777" w:rsidR="00FC5566" w:rsidRPr="00FC5566" w:rsidRDefault="00FC5566" w:rsidP="00FC5566">
            <w:pPr>
              <w:ind w:left="91" w:right="90"/>
              <w:rPr>
                <w:sz w:val="16"/>
                <w:szCs w:val="16"/>
                <w:highlight w:val="yellow"/>
              </w:rPr>
            </w:pPr>
          </w:p>
        </w:tc>
      </w:tr>
      <w:tr w:rsidR="00FC5566" w:rsidRPr="00FC5566" w14:paraId="4D2EF36C" w14:textId="77777777" w:rsidTr="00B247D5">
        <w:trPr>
          <w:trHeight w:val="187"/>
        </w:trPr>
        <w:tc>
          <w:tcPr>
            <w:tcW w:w="1072" w:type="dxa"/>
          </w:tcPr>
          <w:p w14:paraId="4A2428E6" w14:textId="77777777" w:rsidR="00FC5566" w:rsidRPr="00FC5566" w:rsidRDefault="00FC5566" w:rsidP="00FC5566">
            <w:pPr>
              <w:jc w:val="center"/>
              <w:rPr>
                <w:spacing w:val="-2"/>
                <w:sz w:val="16"/>
                <w:szCs w:val="16"/>
              </w:rPr>
            </w:pPr>
            <w:r w:rsidRPr="00FC5566">
              <w:rPr>
                <w:spacing w:val="-2"/>
                <w:sz w:val="16"/>
                <w:szCs w:val="16"/>
              </w:rPr>
              <w:t>Amend</w:t>
            </w:r>
          </w:p>
        </w:tc>
        <w:tc>
          <w:tcPr>
            <w:tcW w:w="2415" w:type="dxa"/>
            <w:gridSpan w:val="2"/>
          </w:tcPr>
          <w:p w14:paraId="6841D5CC" w14:textId="77777777" w:rsidR="00FC5566" w:rsidRPr="00FC5566" w:rsidRDefault="00FC5566" w:rsidP="00FC5566">
            <w:pPr>
              <w:ind w:left="96" w:right="58"/>
              <w:rPr>
                <w:sz w:val="16"/>
                <w:szCs w:val="16"/>
              </w:rPr>
            </w:pPr>
            <w:r w:rsidRPr="00FC5566">
              <w:rPr>
                <w:sz w:val="16"/>
                <w:szCs w:val="16"/>
              </w:rPr>
              <w:t>Material (Cross-linked polyethylene (PEX) plastic tubing)</w:t>
            </w:r>
          </w:p>
        </w:tc>
        <w:tc>
          <w:tcPr>
            <w:tcW w:w="7043" w:type="dxa"/>
            <w:gridSpan w:val="2"/>
          </w:tcPr>
          <w:p w14:paraId="40B3CF92" w14:textId="77777777" w:rsidR="00FC5566" w:rsidRPr="00FC5566" w:rsidRDefault="00FC5566" w:rsidP="00FC5566">
            <w:pPr>
              <w:ind w:left="91" w:right="90"/>
              <w:rPr>
                <w:sz w:val="16"/>
                <w:szCs w:val="16"/>
              </w:rPr>
            </w:pPr>
          </w:p>
        </w:tc>
      </w:tr>
      <w:tr w:rsidR="00FC5566" w:rsidRPr="00FC5566" w14:paraId="34784BB2" w14:textId="77777777" w:rsidTr="00B247D5">
        <w:trPr>
          <w:trHeight w:val="274"/>
        </w:trPr>
        <w:tc>
          <w:tcPr>
            <w:tcW w:w="1072" w:type="dxa"/>
          </w:tcPr>
          <w:p w14:paraId="1D3D58D8" w14:textId="77777777" w:rsidR="00FC5566" w:rsidRPr="00FC5566" w:rsidRDefault="00FC5566" w:rsidP="00FC5566">
            <w:pPr>
              <w:jc w:val="center"/>
              <w:rPr>
                <w:spacing w:val="-2"/>
                <w:sz w:val="16"/>
                <w:szCs w:val="16"/>
              </w:rPr>
            </w:pPr>
            <w:r w:rsidRPr="00FC5566">
              <w:rPr>
                <w:spacing w:val="-2"/>
                <w:sz w:val="16"/>
                <w:szCs w:val="16"/>
              </w:rPr>
              <w:t>Amend</w:t>
            </w:r>
          </w:p>
        </w:tc>
        <w:tc>
          <w:tcPr>
            <w:tcW w:w="2415" w:type="dxa"/>
            <w:gridSpan w:val="2"/>
          </w:tcPr>
          <w:p w14:paraId="55860B71" w14:textId="77777777" w:rsidR="00FC5566" w:rsidRPr="00FC5566" w:rsidRDefault="00FC5566" w:rsidP="00FC5566">
            <w:pPr>
              <w:ind w:left="96" w:right="58"/>
              <w:rPr>
                <w:sz w:val="16"/>
                <w:szCs w:val="16"/>
              </w:rPr>
            </w:pPr>
            <w:r w:rsidRPr="00FC5566">
              <w:rPr>
                <w:sz w:val="16"/>
                <w:szCs w:val="16"/>
              </w:rPr>
              <w:t>Standard for Material</w:t>
            </w:r>
          </w:p>
        </w:tc>
        <w:tc>
          <w:tcPr>
            <w:tcW w:w="7043" w:type="dxa"/>
            <w:gridSpan w:val="2"/>
          </w:tcPr>
          <w:p w14:paraId="1271D801" w14:textId="77777777" w:rsidR="00FC5566" w:rsidRPr="00FC5566" w:rsidRDefault="00FC5566" w:rsidP="00FC5566">
            <w:pPr>
              <w:ind w:left="91" w:right="90"/>
              <w:rPr>
                <w:sz w:val="16"/>
                <w:szCs w:val="16"/>
              </w:rPr>
            </w:pPr>
            <w:r w:rsidRPr="00FC5566">
              <w:rPr>
                <w:sz w:val="16"/>
                <w:szCs w:val="16"/>
              </w:rPr>
              <w:t>ASTM F 876; ASTM F 877; CSA B137.5</w:t>
            </w:r>
          </w:p>
        </w:tc>
      </w:tr>
      <w:tr w:rsidR="00FC5566" w:rsidRPr="00FC5566" w14:paraId="0E57A3F9" w14:textId="77777777" w:rsidTr="00B247D5">
        <w:trPr>
          <w:trHeight w:val="187"/>
        </w:trPr>
        <w:tc>
          <w:tcPr>
            <w:tcW w:w="1072" w:type="dxa"/>
          </w:tcPr>
          <w:p w14:paraId="05FCC163" w14:textId="77777777" w:rsidR="00FC5566" w:rsidRPr="00FC5566" w:rsidRDefault="00FC5566" w:rsidP="00FC5566">
            <w:pPr>
              <w:jc w:val="center"/>
              <w:rPr>
                <w:spacing w:val="-2"/>
                <w:sz w:val="16"/>
                <w:szCs w:val="16"/>
                <w:highlight w:val="yellow"/>
              </w:rPr>
            </w:pPr>
            <w:r w:rsidRPr="00FC5566">
              <w:rPr>
                <w:spacing w:val="-2"/>
                <w:sz w:val="16"/>
                <w:szCs w:val="16"/>
              </w:rPr>
              <w:t>Amend</w:t>
            </w:r>
          </w:p>
        </w:tc>
        <w:tc>
          <w:tcPr>
            <w:tcW w:w="2415" w:type="dxa"/>
            <w:gridSpan w:val="2"/>
          </w:tcPr>
          <w:p w14:paraId="4C939EA6" w14:textId="77777777" w:rsidR="00FC5566" w:rsidRPr="00FC5566" w:rsidRDefault="00FC5566" w:rsidP="00FC5566">
            <w:pPr>
              <w:ind w:left="96" w:right="58"/>
              <w:rPr>
                <w:iCs/>
                <w:sz w:val="16"/>
                <w:szCs w:val="16"/>
                <w:highlight w:val="yellow"/>
              </w:rPr>
            </w:pPr>
            <w:r w:rsidRPr="00FC5566">
              <w:rPr>
                <w:sz w:val="16"/>
                <w:szCs w:val="16"/>
              </w:rPr>
              <w:t>Section</w:t>
            </w:r>
            <w:r w:rsidRPr="00FC5566">
              <w:rPr>
                <w:spacing w:val="-9"/>
                <w:sz w:val="16"/>
                <w:szCs w:val="16"/>
              </w:rPr>
              <w:t xml:space="preserve"> </w:t>
            </w:r>
            <w:r w:rsidRPr="00FC5566">
              <w:rPr>
                <w:sz w:val="16"/>
                <w:szCs w:val="16"/>
              </w:rPr>
              <w:t>605.5,</w:t>
            </w:r>
            <w:r w:rsidRPr="00FC5566">
              <w:rPr>
                <w:spacing w:val="-4"/>
                <w:sz w:val="16"/>
                <w:szCs w:val="16"/>
              </w:rPr>
              <w:t xml:space="preserve"> </w:t>
            </w:r>
            <w:r w:rsidRPr="00FC5566">
              <w:rPr>
                <w:spacing w:val="-2"/>
                <w:sz w:val="16"/>
                <w:szCs w:val="16"/>
              </w:rPr>
              <w:t>Fittings.</w:t>
            </w:r>
          </w:p>
        </w:tc>
        <w:tc>
          <w:tcPr>
            <w:tcW w:w="7043" w:type="dxa"/>
            <w:gridSpan w:val="2"/>
          </w:tcPr>
          <w:p w14:paraId="563A1C2C" w14:textId="77777777" w:rsidR="00FC5566" w:rsidRPr="00FC5566" w:rsidRDefault="00FC5566" w:rsidP="00FC5566">
            <w:pPr>
              <w:ind w:left="91" w:right="90"/>
              <w:rPr>
                <w:sz w:val="16"/>
                <w:szCs w:val="16"/>
                <w:highlight w:val="yellow"/>
              </w:rPr>
            </w:pPr>
            <w:r w:rsidRPr="00FC5566">
              <w:rPr>
                <w:sz w:val="16"/>
                <w:szCs w:val="16"/>
              </w:rPr>
              <w:t>Pipe fittings shall be approved for installation with the piping material installed and shall comply with the</w:t>
            </w:r>
            <w:r w:rsidRPr="00FC5566">
              <w:rPr>
                <w:spacing w:val="40"/>
                <w:sz w:val="16"/>
                <w:szCs w:val="16"/>
              </w:rPr>
              <w:t xml:space="preserve"> </w:t>
            </w:r>
            <w:r w:rsidRPr="00FC5566">
              <w:rPr>
                <w:sz w:val="16"/>
                <w:szCs w:val="16"/>
              </w:rPr>
              <w:t>applicable</w:t>
            </w:r>
            <w:r w:rsidRPr="00FC5566">
              <w:rPr>
                <w:spacing w:val="-4"/>
                <w:sz w:val="16"/>
                <w:szCs w:val="16"/>
              </w:rPr>
              <w:t xml:space="preserve"> </w:t>
            </w:r>
            <w:r w:rsidRPr="00FC5566">
              <w:rPr>
                <w:sz w:val="16"/>
                <w:szCs w:val="16"/>
              </w:rPr>
              <w:t>standards</w:t>
            </w:r>
            <w:r w:rsidRPr="00FC5566">
              <w:rPr>
                <w:spacing w:val="-2"/>
                <w:sz w:val="16"/>
                <w:szCs w:val="16"/>
              </w:rPr>
              <w:t xml:space="preserve"> </w:t>
            </w:r>
            <w:r w:rsidRPr="00FC5566">
              <w:rPr>
                <w:sz w:val="16"/>
                <w:szCs w:val="16"/>
              </w:rPr>
              <w:t>listed</w:t>
            </w:r>
            <w:r w:rsidRPr="00FC5566">
              <w:rPr>
                <w:spacing w:val="-3"/>
                <w:sz w:val="16"/>
                <w:szCs w:val="16"/>
              </w:rPr>
              <w:t xml:space="preserve"> </w:t>
            </w:r>
            <w:r w:rsidRPr="00FC5566">
              <w:rPr>
                <w:sz w:val="16"/>
                <w:szCs w:val="16"/>
              </w:rPr>
              <w:t>in</w:t>
            </w:r>
            <w:r w:rsidRPr="00FC5566">
              <w:rPr>
                <w:spacing w:val="-1"/>
                <w:sz w:val="16"/>
                <w:szCs w:val="16"/>
              </w:rPr>
              <w:t xml:space="preserve"> </w:t>
            </w:r>
            <w:r w:rsidRPr="00FC5566">
              <w:rPr>
                <w:sz w:val="16"/>
                <w:szCs w:val="16"/>
              </w:rPr>
              <w:t>Table</w:t>
            </w:r>
            <w:r w:rsidRPr="00FC5566">
              <w:rPr>
                <w:spacing w:val="-4"/>
                <w:sz w:val="16"/>
                <w:szCs w:val="16"/>
              </w:rPr>
              <w:t xml:space="preserve"> </w:t>
            </w:r>
            <w:r w:rsidRPr="00FC5566">
              <w:rPr>
                <w:sz w:val="16"/>
                <w:szCs w:val="16"/>
              </w:rPr>
              <w:t>605.5.</w:t>
            </w:r>
            <w:r w:rsidRPr="00FC5566">
              <w:rPr>
                <w:spacing w:val="-1"/>
                <w:sz w:val="16"/>
                <w:szCs w:val="16"/>
              </w:rPr>
              <w:t xml:space="preserve"> </w:t>
            </w:r>
            <w:r w:rsidRPr="00FC5566">
              <w:rPr>
                <w:sz w:val="16"/>
                <w:szCs w:val="16"/>
              </w:rPr>
              <w:t>Pipe</w:t>
            </w:r>
            <w:r w:rsidRPr="00FC5566">
              <w:rPr>
                <w:spacing w:val="-4"/>
                <w:sz w:val="16"/>
                <w:szCs w:val="16"/>
              </w:rPr>
              <w:t xml:space="preserve"> </w:t>
            </w:r>
            <w:r w:rsidRPr="00FC5566">
              <w:rPr>
                <w:sz w:val="16"/>
                <w:szCs w:val="16"/>
              </w:rPr>
              <w:t>fittings</w:t>
            </w:r>
            <w:r w:rsidRPr="00FC5566">
              <w:rPr>
                <w:spacing w:val="-4"/>
                <w:sz w:val="16"/>
                <w:szCs w:val="16"/>
              </w:rPr>
              <w:t xml:space="preserve"> </w:t>
            </w:r>
            <w:r w:rsidRPr="00FC5566">
              <w:rPr>
                <w:sz w:val="16"/>
                <w:szCs w:val="16"/>
              </w:rPr>
              <w:t>utilized</w:t>
            </w:r>
            <w:r w:rsidRPr="00FC5566">
              <w:rPr>
                <w:spacing w:val="-1"/>
                <w:sz w:val="16"/>
                <w:szCs w:val="16"/>
              </w:rPr>
              <w:t xml:space="preserve"> </w:t>
            </w:r>
            <w:r w:rsidRPr="00FC5566">
              <w:rPr>
                <w:sz w:val="16"/>
                <w:szCs w:val="16"/>
              </w:rPr>
              <w:t>in</w:t>
            </w:r>
            <w:r w:rsidRPr="00FC5566">
              <w:rPr>
                <w:spacing w:val="-1"/>
                <w:sz w:val="16"/>
                <w:szCs w:val="16"/>
              </w:rPr>
              <w:t xml:space="preserve"> </w:t>
            </w:r>
            <w:r w:rsidRPr="00FC5566">
              <w:rPr>
                <w:sz w:val="16"/>
                <w:szCs w:val="16"/>
              </w:rPr>
              <w:t>water</w:t>
            </w:r>
            <w:r w:rsidRPr="00FC5566">
              <w:rPr>
                <w:spacing w:val="-3"/>
                <w:sz w:val="16"/>
                <w:szCs w:val="16"/>
              </w:rPr>
              <w:t xml:space="preserve"> </w:t>
            </w:r>
            <w:r w:rsidRPr="00FC5566">
              <w:rPr>
                <w:sz w:val="16"/>
                <w:szCs w:val="16"/>
              </w:rPr>
              <w:t>supply</w:t>
            </w:r>
            <w:r w:rsidRPr="00FC5566">
              <w:rPr>
                <w:spacing w:val="-5"/>
                <w:sz w:val="16"/>
                <w:szCs w:val="16"/>
              </w:rPr>
              <w:t xml:space="preserve"> </w:t>
            </w:r>
            <w:r w:rsidRPr="00FC5566">
              <w:rPr>
                <w:sz w:val="16"/>
                <w:szCs w:val="16"/>
              </w:rPr>
              <w:t>systems</w:t>
            </w:r>
            <w:r w:rsidRPr="00FC5566">
              <w:rPr>
                <w:spacing w:val="-2"/>
                <w:sz w:val="16"/>
                <w:szCs w:val="16"/>
              </w:rPr>
              <w:t xml:space="preserve"> </w:t>
            </w:r>
            <w:r w:rsidRPr="00FC5566">
              <w:rPr>
                <w:sz w:val="16"/>
                <w:szCs w:val="16"/>
              </w:rPr>
              <w:t>shall</w:t>
            </w:r>
            <w:r w:rsidRPr="00FC5566">
              <w:rPr>
                <w:spacing w:val="-3"/>
                <w:sz w:val="16"/>
                <w:szCs w:val="16"/>
              </w:rPr>
              <w:t xml:space="preserve"> </w:t>
            </w:r>
            <w:r w:rsidRPr="00FC5566">
              <w:rPr>
                <w:sz w:val="16"/>
                <w:szCs w:val="16"/>
              </w:rPr>
              <w:t>also</w:t>
            </w:r>
            <w:r w:rsidRPr="00FC5566">
              <w:rPr>
                <w:spacing w:val="-3"/>
                <w:sz w:val="16"/>
                <w:szCs w:val="16"/>
              </w:rPr>
              <w:t xml:space="preserve"> </w:t>
            </w:r>
            <w:r w:rsidRPr="00FC5566">
              <w:rPr>
                <w:sz w:val="16"/>
                <w:szCs w:val="16"/>
              </w:rPr>
              <w:t>comply</w:t>
            </w:r>
            <w:r w:rsidRPr="00FC5566">
              <w:rPr>
                <w:spacing w:val="-3"/>
                <w:sz w:val="16"/>
                <w:szCs w:val="16"/>
              </w:rPr>
              <w:t xml:space="preserve"> </w:t>
            </w:r>
            <w:r w:rsidRPr="00FC5566">
              <w:rPr>
                <w:sz w:val="16"/>
                <w:szCs w:val="16"/>
              </w:rPr>
              <w:t>with</w:t>
            </w:r>
            <w:r w:rsidRPr="00FC5566">
              <w:rPr>
                <w:spacing w:val="-3"/>
                <w:sz w:val="16"/>
                <w:szCs w:val="16"/>
              </w:rPr>
              <w:t xml:space="preserve"> </w:t>
            </w:r>
            <w:r w:rsidRPr="00FC5566">
              <w:rPr>
                <w:sz w:val="16"/>
                <w:szCs w:val="16"/>
              </w:rPr>
              <w:t>NSF 61. Ductile</w:t>
            </w:r>
            <w:r w:rsidRPr="00FC5566">
              <w:rPr>
                <w:spacing w:val="-2"/>
                <w:sz w:val="16"/>
                <w:szCs w:val="16"/>
              </w:rPr>
              <w:t xml:space="preserve"> </w:t>
            </w:r>
            <w:r w:rsidRPr="00FC5566">
              <w:rPr>
                <w:sz w:val="16"/>
                <w:szCs w:val="16"/>
              </w:rPr>
              <w:t>and gray</w:t>
            </w:r>
            <w:r w:rsidRPr="00FC5566">
              <w:rPr>
                <w:spacing w:val="-3"/>
                <w:sz w:val="16"/>
                <w:szCs w:val="16"/>
              </w:rPr>
              <w:t xml:space="preserve"> </w:t>
            </w:r>
            <w:r w:rsidRPr="00FC5566">
              <w:rPr>
                <w:sz w:val="16"/>
                <w:szCs w:val="16"/>
              </w:rPr>
              <w:t>iron</w:t>
            </w:r>
            <w:r w:rsidRPr="00FC5566">
              <w:rPr>
                <w:spacing w:val="-1"/>
                <w:sz w:val="16"/>
                <w:szCs w:val="16"/>
              </w:rPr>
              <w:t xml:space="preserve"> </w:t>
            </w:r>
            <w:r w:rsidRPr="00FC5566">
              <w:rPr>
                <w:sz w:val="16"/>
                <w:szCs w:val="16"/>
              </w:rPr>
              <w:t>pipe</w:t>
            </w:r>
            <w:r w:rsidRPr="00FC5566">
              <w:rPr>
                <w:spacing w:val="-2"/>
                <w:sz w:val="16"/>
                <w:szCs w:val="16"/>
              </w:rPr>
              <w:t xml:space="preserve"> </w:t>
            </w:r>
            <w:r w:rsidRPr="00FC5566">
              <w:rPr>
                <w:sz w:val="16"/>
                <w:szCs w:val="16"/>
              </w:rPr>
              <w:t>fittings</w:t>
            </w:r>
            <w:r w:rsidRPr="00FC5566">
              <w:rPr>
                <w:spacing w:val="-2"/>
                <w:sz w:val="16"/>
                <w:szCs w:val="16"/>
              </w:rPr>
              <w:t xml:space="preserve"> </w:t>
            </w:r>
            <w:r w:rsidRPr="00FC5566">
              <w:rPr>
                <w:sz w:val="16"/>
                <w:szCs w:val="16"/>
              </w:rPr>
              <w:t>shall</w:t>
            </w:r>
            <w:r w:rsidRPr="00FC5566">
              <w:rPr>
                <w:spacing w:val="-1"/>
                <w:sz w:val="16"/>
                <w:szCs w:val="16"/>
              </w:rPr>
              <w:t xml:space="preserve"> </w:t>
            </w:r>
            <w:r w:rsidRPr="00FC5566">
              <w:rPr>
                <w:sz w:val="16"/>
                <w:szCs w:val="16"/>
              </w:rPr>
              <w:t>be</w:t>
            </w:r>
            <w:r w:rsidRPr="00FC5566">
              <w:rPr>
                <w:spacing w:val="-2"/>
                <w:sz w:val="16"/>
                <w:szCs w:val="16"/>
              </w:rPr>
              <w:t xml:space="preserve"> </w:t>
            </w:r>
            <w:r w:rsidRPr="00FC5566">
              <w:rPr>
                <w:sz w:val="16"/>
                <w:szCs w:val="16"/>
              </w:rPr>
              <w:t>cement</w:t>
            </w:r>
            <w:r w:rsidRPr="00FC5566">
              <w:rPr>
                <w:spacing w:val="-1"/>
                <w:sz w:val="16"/>
                <w:szCs w:val="16"/>
              </w:rPr>
              <w:t xml:space="preserve"> </w:t>
            </w:r>
            <w:r w:rsidRPr="00FC5566">
              <w:rPr>
                <w:sz w:val="16"/>
                <w:szCs w:val="16"/>
              </w:rPr>
              <w:t>mortar</w:t>
            </w:r>
            <w:r w:rsidRPr="00FC5566">
              <w:rPr>
                <w:spacing w:val="-1"/>
                <w:sz w:val="16"/>
                <w:szCs w:val="16"/>
              </w:rPr>
              <w:t xml:space="preserve"> </w:t>
            </w:r>
            <w:r w:rsidRPr="00FC5566">
              <w:rPr>
                <w:sz w:val="16"/>
                <w:szCs w:val="16"/>
              </w:rPr>
              <w:t>lined</w:t>
            </w:r>
            <w:r w:rsidRPr="00FC5566">
              <w:rPr>
                <w:spacing w:val="-1"/>
                <w:sz w:val="16"/>
                <w:szCs w:val="16"/>
              </w:rPr>
              <w:t xml:space="preserve"> </w:t>
            </w:r>
            <w:r w:rsidRPr="00FC5566">
              <w:rPr>
                <w:sz w:val="16"/>
                <w:szCs w:val="16"/>
              </w:rPr>
              <w:t>in</w:t>
            </w:r>
            <w:r w:rsidRPr="00FC5566">
              <w:rPr>
                <w:spacing w:val="-1"/>
                <w:sz w:val="16"/>
                <w:szCs w:val="16"/>
              </w:rPr>
              <w:t xml:space="preserve"> </w:t>
            </w:r>
            <w:r w:rsidRPr="00FC5566">
              <w:rPr>
                <w:sz w:val="16"/>
                <w:szCs w:val="16"/>
              </w:rPr>
              <w:t>accordance</w:t>
            </w:r>
            <w:r w:rsidRPr="00FC5566">
              <w:rPr>
                <w:spacing w:val="-2"/>
                <w:sz w:val="16"/>
                <w:szCs w:val="16"/>
              </w:rPr>
              <w:t xml:space="preserve"> </w:t>
            </w:r>
            <w:r w:rsidRPr="00FC5566">
              <w:rPr>
                <w:sz w:val="16"/>
                <w:szCs w:val="16"/>
              </w:rPr>
              <w:t>with AWWA</w:t>
            </w:r>
            <w:r w:rsidRPr="00FC5566">
              <w:rPr>
                <w:spacing w:val="-3"/>
                <w:sz w:val="16"/>
                <w:szCs w:val="16"/>
              </w:rPr>
              <w:t xml:space="preserve"> </w:t>
            </w:r>
            <w:r w:rsidRPr="00FC5566">
              <w:rPr>
                <w:sz w:val="16"/>
                <w:szCs w:val="16"/>
              </w:rPr>
              <w:t>C104/A21.4.</w:t>
            </w:r>
            <w:r w:rsidRPr="00FC5566">
              <w:rPr>
                <w:spacing w:val="40"/>
                <w:sz w:val="16"/>
                <w:szCs w:val="16"/>
              </w:rPr>
              <w:t xml:space="preserve"> </w:t>
            </w:r>
            <w:r w:rsidRPr="00FC5566">
              <w:rPr>
                <w:sz w:val="16"/>
                <w:szCs w:val="16"/>
              </w:rPr>
              <w:t>All</w:t>
            </w:r>
            <w:r w:rsidRPr="00FC5566">
              <w:rPr>
                <w:spacing w:val="40"/>
                <w:sz w:val="16"/>
                <w:szCs w:val="16"/>
              </w:rPr>
              <w:t xml:space="preserve"> </w:t>
            </w:r>
            <w:r w:rsidRPr="00FC5566">
              <w:rPr>
                <w:sz w:val="16"/>
                <w:szCs w:val="16"/>
              </w:rPr>
              <w:t>copper</w:t>
            </w:r>
            <w:r w:rsidRPr="00FC5566">
              <w:rPr>
                <w:spacing w:val="-7"/>
                <w:sz w:val="16"/>
                <w:szCs w:val="16"/>
              </w:rPr>
              <w:t xml:space="preserve"> </w:t>
            </w:r>
            <w:r w:rsidRPr="00FC5566">
              <w:rPr>
                <w:sz w:val="16"/>
                <w:szCs w:val="16"/>
              </w:rPr>
              <w:t>and</w:t>
            </w:r>
            <w:r w:rsidRPr="00FC5566">
              <w:rPr>
                <w:spacing w:val="-5"/>
                <w:sz w:val="16"/>
                <w:szCs w:val="16"/>
              </w:rPr>
              <w:t xml:space="preserve"> </w:t>
            </w:r>
            <w:r w:rsidRPr="00FC5566">
              <w:rPr>
                <w:sz w:val="16"/>
                <w:szCs w:val="16"/>
              </w:rPr>
              <w:t>stainless</w:t>
            </w:r>
            <w:r w:rsidRPr="00FC5566">
              <w:rPr>
                <w:spacing w:val="-4"/>
                <w:sz w:val="16"/>
                <w:szCs w:val="16"/>
              </w:rPr>
              <w:t xml:space="preserve"> </w:t>
            </w:r>
            <w:r w:rsidRPr="00FC5566">
              <w:rPr>
                <w:sz w:val="16"/>
                <w:szCs w:val="16"/>
              </w:rPr>
              <w:t>steel</w:t>
            </w:r>
            <w:r w:rsidRPr="00FC5566">
              <w:rPr>
                <w:spacing w:val="-5"/>
                <w:sz w:val="16"/>
                <w:szCs w:val="16"/>
              </w:rPr>
              <w:t xml:space="preserve"> </w:t>
            </w:r>
            <w:r w:rsidRPr="00FC5566">
              <w:rPr>
                <w:sz w:val="16"/>
                <w:szCs w:val="16"/>
              </w:rPr>
              <w:t>joints</w:t>
            </w:r>
            <w:r w:rsidRPr="00FC5566">
              <w:rPr>
                <w:spacing w:val="-6"/>
                <w:sz w:val="16"/>
                <w:szCs w:val="16"/>
              </w:rPr>
              <w:t xml:space="preserve"> </w:t>
            </w:r>
            <w:r w:rsidRPr="00FC5566">
              <w:rPr>
                <w:sz w:val="16"/>
                <w:szCs w:val="16"/>
              </w:rPr>
              <w:t>below</w:t>
            </w:r>
            <w:r w:rsidRPr="00FC5566">
              <w:rPr>
                <w:spacing w:val="-7"/>
                <w:sz w:val="16"/>
                <w:szCs w:val="16"/>
              </w:rPr>
              <w:t xml:space="preserve"> </w:t>
            </w:r>
            <w:r w:rsidRPr="00FC5566">
              <w:rPr>
                <w:sz w:val="16"/>
                <w:szCs w:val="16"/>
              </w:rPr>
              <w:t>a</w:t>
            </w:r>
            <w:r w:rsidRPr="00FC5566">
              <w:rPr>
                <w:spacing w:val="-3"/>
                <w:sz w:val="16"/>
                <w:szCs w:val="16"/>
              </w:rPr>
              <w:t xml:space="preserve"> </w:t>
            </w:r>
            <w:r w:rsidRPr="00FC5566">
              <w:rPr>
                <w:sz w:val="16"/>
                <w:szCs w:val="16"/>
              </w:rPr>
              <w:t>building</w:t>
            </w:r>
            <w:r w:rsidRPr="00FC5566">
              <w:rPr>
                <w:spacing w:val="-5"/>
                <w:sz w:val="16"/>
                <w:szCs w:val="16"/>
              </w:rPr>
              <w:t xml:space="preserve"> </w:t>
            </w:r>
            <w:r w:rsidRPr="00FC5566">
              <w:rPr>
                <w:sz w:val="16"/>
                <w:szCs w:val="16"/>
              </w:rPr>
              <w:t>slab</w:t>
            </w:r>
            <w:r w:rsidRPr="00FC5566">
              <w:rPr>
                <w:spacing w:val="-3"/>
                <w:sz w:val="16"/>
                <w:szCs w:val="16"/>
              </w:rPr>
              <w:t xml:space="preserve"> </w:t>
            </w:r>
            <w:r w:rsidRPr="00FC5566">
              <w:rPr>
                <w:sz w:val="16"/>
                <w:szCs w:val="16"/>
              </w:rPr>
              <w:t>shall</w:t>
            </w:r>
            <w:r w:rsidRPr="00FC5566">
              <w:rPr>
                <w:spacing w:val="-5"/>
                <w:sz w:val="16"/>
                <w:szCs w:val="16"/>
              </w:rPr>
              <w:t xml:space="preserve"> </w:t>
            </w:r>
            <w:r w:rsidRPr="00FC5566">
              <w:rPr>
                <w:sz w:val="16"/>
                <w:szCs w:val="16"/>
              </w:rPr>
              <w:t>be</w:t>
            </w:r>
            <w:r w:rsidRPr="00FC5566">
              <w:rPr>
                <w:spacing w:val="-6"/>
                <w:sz w:val="16"/>
                <w:szCs w:val="16"/>
              </w:rPr>
              <w:t xml:space="preserve"> </w:t>
            </w:r>
            <w:r w:rsidRPr="00FC5566">
              <w:rPr>
                <w:sz w:val="16"/>
                <w:szCs w:val="16"/>
              </w:rPr>
              <w:t>brazed</w:t>
            </w:r>
            <w:r w:rsidRPr="00FC5566">
              <w:rPr>
                <w:spacing w:val="-5"/>
                <w:sz w:val="16"/>
                <w:szCs w:val="16"/>
              </w:rPr>
              <w:t xml:space="preserve"> </w:t>
            </w:r>
            <w:r w:rsidRPr="00FC5566">
              <w:rPr>
                <w:sz w:val="16"/>
                <w:szCs w:val="16"/>
              </w:rPr>
              <w:t>and/or</w:t>
            </w:r>
            <w:r w:rsidRPr="00FC5566">
              <w:rPr>
                <w:spacing w:val="-5"/>
                <w:sz w:val="16"/>
                <w:szCs w:val="16"/>
              </w:rPr>
              <w:t xml:space="preserve"> </w:t>
            </w:r>
            <w:r w:rsidRPr="00FC5566">
              <w:rPr>
                <w:sz w:val="16"/>
                <w:szCs w:val="16"/>
              </w:rPr>
              <w:t>welded</w:t>
            </w:r>
            <w:r w:rsidRPr="00FC5566">
              <w:rPr>
                <w:spacing w:val="-4"/>
                <w:sz w:val="16"/>
                <w:szCs w:val="16"/>
              </w:rPr>
              <w:t xml:space="preserve"> </w:t>
            </w:r>
            <w:r w:rsidRPr="00FC5566">
              <w:rPr>
                <w:sz w:val="16"/>
                <w:szCs w:val="16"/>
              </w:rPr>
              <w:t>in</w:t>
            </w:r>
            <w:r w:rsidRPr="00FC5566">
              <w:rPr>
                <w:spacing w:val="-5"/>
                <w:sz w:val="16"/>
                <w:szCs w:val="16"/>
              </w:rPr>
              <w:t xml:space="preserve"> </w:t>
            </w:r>
            <w:r w:rsidRPr="00FC5566">
              <w:rPr>
                <w:sz w:val="16"/>
                <w:szCs w:val="16"/>
              </w:rPr>
              <w:t>accordance</w:t>
            </w:r>
            <w:r w:rsidRPr="00FC5566">
              <w:rPr>
                <w:spacing w:val="-5"/>
                <w:sz w:val="16"/>
                <w:szCs w:val="16"/>
              </w:rPr>
              <w:t xml:space="preserve"> </w:t>
            </w:r>
            <w:r w:rsidRPr="00FC5566">
              <w:rPr>
                <w:sz w:val="16"/>
                <w:szCs w:val="16"/>
              </w:rPr>
              <w:t>with</w:t>
            </w:r>
            <w:r w:rsidRPr="00FC5566">
              <w:rPr>
                <w:spacing w:val="-5"/>
                <w:sz w:val="16"/>
                <w:szCs w:val="16"/>
              </w:rPr>
              <w:t xml:space="preserve"> the</w:t>
            </w:r>
            <w:r w:rsidRPr="00FC5566">
              <w:rPr>
                <w:sz w:val="16"/>
                <w:szCs w:val="16"/>
              </w:rPr>
              <w:t xml:space="preserve"> requirements</w:t>
            </w:r>
            <w:r w:rsidRPr="00FC5566">
              <w:rPr>
                <w:spacing w:val="-3"/>
                <w:sz w:val="16"/>
                <w:szCs w:val="16"/>
              </w:rPr>
              <w:t xml:space="preserve"> </w:t>
            </w:r>
            <w:r w:rsidRPr="00FC5566">
              <w:rPr>
                <w:sz w:val="16"/>
                <w:szCs w:val="16"/>
              </w:rPr>
              <w:t>of</w:t>
            </w:r>
            <w:r w:rsidRPr="00FC5566">
              <w:rPr>
                <w:spacing w:val="-6"/>
                <w:sz w:val="16"/>
                <w:szCs w:val="16"/>
              </w:rPr>
              <w:t xml:space="preserve"> </w:t>
            </w:r>
            <w:r w:rsidRPr="00FC5566">
              <w:rPr>
                <w:sz w:val="16"/>
                <w:szCs w:val="16"/>
              </w:rPr>
              <w:t>this</w:t>
            </w:r>
            <w:r w:rsidRPr="00FC5566">
              <w:rPr>
                <w:spacing w:val="-3"/>
                <w:sz w:val="16"/>
                <w:szCs w:val="16"/>
              </w:rPr>
              <w:t xml:space="preserve"> </w:t>
            </w:r>
            <w:r w:rsidRPr="00FC5566">
              <w:rPr>
                <w:sz w:val="16"/>
                <w:szCs w:val="16"/>
              </w:rPr>
              <w:t>code,</w:t>
            </w:r>
            <w:r w:rsidRPr="00FC5566">
              <w:rPr>
                <w:spacing w:val="-2"/>
                <w:sz w:val="16"/>
                <w:szCs w:val="16"/>
              </w:rPr>
              <w:t xml:space="preserve"> </w:t>
            </w:r>
            <w:r w:rsidRPr="00FC5566">
              <w:rPr>
                <w:sz w:val="16"/>
                <w:szCs w:val="16"/>
              </w:rPr>
              <w:t>as</w:t>
            </w:r>
            <w:r w:rsidRPr="00FC5566">
              <w:rPr>
                <w:spacing w:val="-5"/>
                <w:sz w:val="16"/>
                <w:szCs w:val="16"/>
              </w:rPr>
              <w:t xml:space="preserve"> </w:t>
            </w:r>
            <w:r w:rsidRPr="00FC5566">
              <w:rPr>
                <w:sz w:val="16"/>
                <w:szCs w:val="16"/>
              </w:rPr>
              <w:t>appropriate.</w:t>
            </w:r>
            <w:r w:rsidRPr="00FC5566">
              <w:rPr>
                <w:spacing w:val="-2"/>
                <w:sz w:val="16"/>
                <w:szCs w:val="16"/>
              </w:rPr>
              <w:t xml:space="preserve"> </w:t>
            </w:r>
            <w:r w:rsidRPr="00FC5566">
              <w:rPr>
                <w:sz w:val="16"/>
                <w:szCs w:val="16"/>
              </w:rPr>
              <w:t>With</w:t>
            </w:r>
            <w:r w:rsidRPr="00FC5566">
              <w:rPr>
                <w:spacing w:val="-2"/>
                <w:sz w:val="16"/>
                <w:szCs w:val="16"/>
              </w:rPr>
              <w:t xml:space="preserve"> </w:t>
            </w:r>
            <w:r w:rsidRPr="00FC5566">
              <w:rPr>
                <w:sz w:val="16"/>
                <w:szCs w:val="16"/>
              </w:rPr>
              <w:t>the</w:t>
            </w:r>
            <w:r w:rsidRPr="00FC5566">
              <w:rPr>
                <w:spacing w:val="-5"/>
                <w:sz w:val="16"/>
                <w:szCs w:val="16"/>
              </w:rPr>
              <w:t xml:space="preserve"> </w:t>
            </w:r>
            <w:r w:rsidRPr="00FC5566">
              <w:rPr>
                <w:sz w:val="16"/>
                <w:szCs w:val="16"/>
              </w:rPr>
              <w:t>exception</w:t>
            </w:r>
            <w:r w:rsidRPr="00FC5566">
              <w:rPr>
                <w:spacing w:val="-2"/>
                <w:sz w:val="16"/>
                <w:szCs w:val="16"/>
              </w:rPr>
              <w:t xml:space="preserve"> </w:t>
            </w:r>
            <w:r w:rsidRPr="00FC5566">
              <w:rPr>
                <w:sz w:val="16"/>
                <w:szCs w:val="16"/>
              </w:rPr>
              <w:t>of</w:t>
            </w:r>
            <w:r w:rsidRPr="00FC5566">
              <w:rPr>
                <w:spacing w:val="-4"/>
                <w:sz w:val="16"/>
                <w:szCs w:val="16"/>
              </w:rPr>
              <w:t xml:space="preserve"> </w:t>
            </w:r>
            <w:r w:rsidRPr="00FC5566">
              <w:rPr>
                <w:sz w:val="16"/>
                <w:szCs w:val="16"/>
              </w:rPr>
              <w:t>heat</w:t>
            </w:r>
            <w:r w:rsidRPr="00FC5566">
              <w:rPr>
                <w:spacing w:val="-2"/>
                <w:sz w:val="16"/>
                <w:szCs w:val="16"/>
              </w:rPr>
              <w:t xml:space="preserve"> </w:t>
            </w:r>
            <w:r w:rsidRPr="00FC5566">
              <w:rPr>
                <w:sz w:val="16"/>
                <w:szCs w:val="16"/>
              </w:rPr>
              <w:t>fused</w:t>
            </w:r>
            <w:r w:rsidRPr="00FC5566">
              <w:rPr>
                <w:spacing w:val="-4"/>
                <w:sz w:val="16"/>
                <w:szCs w:val="16"/>
              </w:rPr>
              <w:t xml:space="preserve"> </w:t>
            </w:r>
            <w:r w:rsidRPr="00FC5566">
              <w:rPr>
                <w:sz w:val="16"/>
                <w:szCs w:val="16"/>
              </w:rPr>
              <w:t>polypropylene and solvent weld,</w:t>
            </w:r>
            <w:r w:rsidRPr="00FC5566">
              <w:rPr>
                <w:spacing w:val="-2"/>
                <w:sz w:val="16"/>
                <w:szCs w:val="16"/>
              </w:rPr>
              <w:t xml:space="preserve"> </w:t>
            </w:r>
            <w:r w:rsidRPr="00FC5566">
              <w:rPr>
                <w:sz w:val="16"/>
                <w:szCs w:val="16"/>
              </w:rPr>
              <w:t>all</w:t>
            </w:r>
            <w:r w:rsidRPr="00FC5566">
              <w:rPr>
                <w:spacing w:val="-4"/>
                <w:sz w:val="16"/>
                <w:szCs w:val="16"/>
              </w:rPr>
              <w:t xml:space="preserve"> </w:t>
            </w:r>
            <w:r w:rsidRPr="00FC5566">
              <w:rPr>
                <w:sz w:val="16"/>
                <w:szCs w:val="16"/>
              </w:rPr>
              <w:t>other</w:t>
            </w:r>
            <w:r w:rsidRPr="00FC5566">
              <w:rPr>
                <w:spacing w:val="-4"/>
                <w:sz w:val="16"/>
                <w:szCs w:val="16"/>
              </w:rPr>
              <w:t xml:space="preserve"> </w:t>
            </w:r>
            <w:r w:rsidRPr="00FC5566">
              <w:rPr>
                <w:sz w:val="16"/>
                <w:szCs w:val="16"/>
              </w:rPr>
              <w:t>joints</w:t>
            </w:r>
            <w:r w:rsidRPr="00FC5566">
              <w:rPr>
                <w:spacing w:val="-5"/>
                <w:sz w:val="16"/>
                <w:szCs w:val="16"/>
              </w:rPr>
              <w:t xml:space="preserve"> </w:t>
            </w:r>
            <w:r w:rsidRPr="00FC5566">
              <w:rPr>
                <w:sz w:val="16"/>
                <w:szCs w:val="16"/>
              </w:rPr>
              <w:t>and</w:t>
            </w:r>
            <w:r w:rsidRPr="00FC5566">
              <w:rPr>
                <w:spacing w:val="40"/>
                <w:sz w:val="16"/>
                <w:szCs w:val="16"/>
              </w:rPr>
              <w:t xml:space="preserve"> </w:t>
            </w:r>
            <w:r w:rsidRPr="00FC5566">
              <w:rPr>
                <w:sz w:val="16"/>
                <w:szCs w:val="16"/>
              </w:rPr>
              <w:t xml:space="preserve">fittings for plastic pipe below a building slab in a new construction application, is prohibited. Mechanical and press-connect joints, suitable for underground installation, is an acceptable joining method in repair applications. </w:t>
            </w:r>
          </w:p>
        </w:tc>
      </w:tr>
      <w:tr w:rsidR="00FC5566" w:rsidRPr="00FC5566" w14:paraId="21C1095F"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533A2EB8" w14:textId="77777777" w:rsidR="00FC5566" w:rsidRPr="00FC5566" w:rsidRDefault="00FC5566" w:rsidP="00FC5566">
            <w:pPr>
              <w:jc w:val="center"/>
              <w:rPr>
                <w:spacing w:val="-2"/>
                <w:sz w:val="16"/>
                <w:szCs w:val="16"/>
                <w:highlight w:val="yellow"/>
              </w:rPr>
            </w:pPr>
            <w:r w:rsidRPr="00FC5566">
              <w:rPr>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7A1F2993" w14:textId="77777777" w:rsidR="00FC5566" w:rsidRPr="00FC5566" w:rsidRDefault="00FC5566" w:rsidP="00FC5566">
            <w:pPr>
              <w:ind w:left="96" w:right="58"/>
              <w:rPr>
                <w:iCs/>
                <w:sz w:val="16"/>
                <w:szCs w:val="16"/>
                <w:highlight w:val="yellow"/>
              </w:rPr>
            </w:pPr>
            <w:r w:rsidRPr="00FC5566">
              <w:rPr>
                <w:sz w:val="16"/>
                <w:szCs w:val="16"/>
              </w:rPr>
              <w:t>Section 606.5.5, Low- Pressure Cutoff Required on Booster Pumps.</w:t>
            </w:r>
          </w:p>
        </w:tc>
        <w:tc>
          <w:tcPr>
            <w:tcW w:w="7043" w:type="dxa"/>
            <w:gridSpan w:val="2"/>
            <w:tcBorders>
              <w:top w:val="single" w:sz="6" w:space="0" w:color="000000"/>
              <w:left w:val="single" w:sz="6" w:space="0" w:color="000000"/>
              <w:bottom w:val="single" w:sz="6" w:space="0" w:color="000000"/>
              <w:right w:val="single" w:sz="6" w:space="0" w:color="000000"/>
            </w:tcBorders>
          </w:tcPr>
          <w:p w14:paraId="188AD95A" w14:textId="77777777" w:rsidR="00FC5566" w:rsidRPr="00FC5566" w:rsidRDefault="00FC5566" w:rsidP="00FC5566">
            <w:pPr>
              <w:ind w:left="91" w:right="90"/>
              <w:rPr>
                <w:sz w:val="16"/>
                <w:szCs w:val="16"/>
                <w:highlight w:val="yellow"/>
              </w:rPr>
            </w:pPr>
            <w:r w:rsidRPr="00FC5566">
              <w:rPr>
                <w:sz w:val="16"/>
                <w:szCs w:val="16"/>
              </w:rPr>
              <w:t>A low-pressure cutoff shall be installed on all booster pumps in a water pressure booster system to prevent creation of a vacuum or negative pressure on the suction side of the pump when a positive pressure of 10 psi (68.94 kPa) or less occurs on the suction side of the pump. Low pressure cut-off switch shall be located not more than 5 feet from pump inlet.  Pressure gauge shall be installed on inlet side of pump.</w:t>
            </w:r>
          </w:p>
        </w:tc>
      </w:tr>
      <w:tr w:rsidR="00FC5566" w:rsidRPr="00FC5566" w14:paraId="26AD5849"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0591336B" w14:textId="77777777" w:rsidR="00FC5566" w:rsidRPr="00FC5566" w:rsidRDefault="00FC5566" w:rsidP="00FC5566">
            <w:pPr>
              <w:jc w:val="center"/>
              <w:rPr>
                <w:spacing w:val="-2"/>
                <w:sz w:val="16"/>
                <w:szCs w:val="16"/>
                <w:highlight w:val="yellow"/>
              </w:rPr>
            </w:pPr>
            <w:r w:rsidRPr="00FC5566">
              <w:rPr>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2E6E424D" w14:textId="77777777" w:rsidR="00FC5566" w:rsidRPr="00FC5566" w:rsidRDefault="00FC5566" w:rsidP="00FC5566">
            <w:pPr>
              <w:ind w:left="96" w:right="58"/>
              <w:rPr>
                <w:iCs/>
                <w:sz w:val="16"/>
                <w:szCs w:val="16"/>
                <w:highlight w:val="yellow"/>
              </w:rPr>
            </w:pPr>
            <w:r w:rsidRPr="00FC5566">
              <w:rPr>
                <w:sz w:val="16"/>
                <w:szCs w:val="16"/>
              </w:rPr>
              <w:t>Section 608.15, Location of Backflow Preventers.</w:t>
            </w:r>
          </w:p>
        </w:tc>
        <w:tc>
          <w:tcPr>
            <w:tcW w:w="7043" w:type="dxa"/>
            <w:gridSpan w:val="2"/>
            <w:tcBorders>
              <w:top w:val="single" w:sz="6" w:space="0" w:color="000000"/>
              <w:left w:val="single" w:sz="6" w:space="0" w:color="000000"/>
              <w:bottom w:val="single" w:sz="6" w:space="0" w:color="000000"/>
              <w:right w:val="single" w:sz="6" w:space="0" w:color="000000"/>
            </w:tcBorders>
          </w:tcPr>
          <w:p w14:paraId="56F240D0" w14:textId="77777777" w:rsidR="00FC5566" w:rsidRPr="00FC5566" w:rsidRDefault="00FC5566" w:rsidP="00FC5566">
            <w:pPr>
              <w:ind w:left="91" w:right="90"/>
              <w:rPr>
                <w:sz w:val="16"/>
                <w:szCs w:val="16"/>
                <w:highlight w:val="yellow"/>
              </w:rPr>
            </w:pPr>
            <w:r w:rsidRPr="00FC5566">
              <w:rPr>
                <w:sz w:val="16"/>
                <w:szCs w:val="16"/>
              </w:rPr>
              <w:t>Access shall be provided to backflow preventers as specified by the manufacturer’s instructions for the required testing, maintenance and repair. A minimum of 1 foot of clearance shall be provided between the lowest portion of the assembly and grade or platform. Elevated installations exceeding 5-feet above grade shall be provided with a suitably located permanent platform capable of supporting the installer, tester, or repairer. Reduced pressure principal type backflow preventers, and other types of backflow preventers with atmospheric ports and/or test cocks (e.g., atmospheric type vacuum breakers, double check valve assemblies, pressure type vacuum breaker assemblies, etc.), shall not be installed below grade (in vaults or pits) where the potential for a relief valve, an atmospheric port, or a test cock being submerged exists.</w:t>
            </w:r>
          </w:p>
        </w:tc>
      </w:tr>
      <w:tr w:rsidR="00FC5566" w:rsidRPr="00FC5566" w14:paraId="796A69C5"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6320B17F" w14:textId="77777777" w:rsidR="00FC5566" w:rsidRPr="00FC5566" w:rsidRDefault="00FC5566" w:rsidP="00FC5566">
            <w:pPr>
              <w:jc w:val="center"/>
              <w:rPr>
                <w:spacing w:val="-2"/>
                <w:sz w:val="16"/>
                <w:szCs w:val="16"/>
                <w:highlight w:val="yellow"/>
              </w:rPr>
            </w:pPr>
            <w:r w:rsidRPr="00FC5566">
              <w:rPr>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78465230" w14:textId="77777777" w:rsidR="00FC5566" w:rsidRPr="00FC5566" w:rsidRDefault="00FC5566" w:rsidP="00FC5566">
            <w:pPr>
              <w:ind w:left="96" w:right="58"/>
              <w:rPr>
                <w:iCs/>
                <w:sz w:val="16"/>
                <w:szCs w:val="16"/>
                <w:highlight w:val="yellow"/>
              </w:rPr>
            </w:pPr>
            <w:r w:rsidRPr="00FC5566">
              <w:rPr>
                <w:sz w:val="16"/>
                <w:szCs w:val="16"/>
              </w:rPr>
              <w:t>Section 608.16.4, Protection by a Vacuum Breaker.</w:t>
            </w:r>
          </w:p>
        </w:tc>
        <w:tc>
          <w:tcPr>
            <w:tcW w:w="7043" w:type="dxa"/>
            <w:gridSpan w:val="2"/>
            <w:tcBorders>
              <w:top w:val="single" w:sz="6" w:space="0" w:color="000000"/>
              <w:left w:val="single" w:sz="6" w:space="0" w:color="000000"/>
              <w:bottom w:val="single" w:sz="6" w:space="0" w:color="000000"/>
              <w:right w:val="single" w:sz="6" w:space="0" w:color="000000"/>
            </w:tcBorders>
          </w:tcPr>
          <w:p w14:paraId="3CCC01B6" w14:textId="77777777" w:rsidR="00FC5566" w:rsidRPr="00FC5566" w:rsidRDefault="00FC5566" w:rsidP="00FC5566">
            <w:pPr>
              <w:ind w:left="91" w:right="90"/>
              <w:rPr>
                <w:sz w:val="16"/>
                <w:szCs w:val="16"/>
                <w:highlight w:val="yellow"/>
              </w:rPr>
            </w:pPr>
            <w:r w:rsidRPr="00FC5566">
              <w:rPr>
                <w:sz w:val="16"/>
                <w:szCs w:val="16"/>
              </w:rPr>
              <w:t>Openings and outlets shall be protected by atmospheric-type or pressure-type vacuum breakers. The critical level of atmospheric type vacuum breakers shall be installed not less than 6 inches (152 mm) above all downstream piping and not less than 6 inches (152 mm) above the flood-level rim of the fixture receptor or device served. Shutoff or control valves shall not be installed downstream from an atmospheric vacuum breaker unless a continuous opening is provided. Atmospheric vacuum breakers including, but not limited to, hose bibb vacuum breakers shall not be subjected to continuous water pressure. The critical level of pressure type vacuum breakers shall be installed not less than 12 inches (305 mm) above all downstream piping and not less than 12 inches (305 mm) above the flood-level rim of the fixture receptor or device served. Fill valves shall be set in accordance with Section 425.3.1. Vacuum breakers shall not be installed under exhaust hoods or similar locations that will contain toxic fumes or vapors.</w:t>
            </w:r>
          </w:p>
        </w:tc>
      </w:tr>
      <w:tr w:rsidR="00FC5566" w:rsidRPr="00FC5566" w14:paraId="65607207"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0268B5CA" w14:textId="77777777" w:rsidR="00FC5566" w:rsidRPr="00FC5566" w:rsidRDefault="00FC5566" w:rsidP="00FC5566">
            <w:pPr>
              <w:jc w:val="center"/>
              <w:rPr>
                <w:spacing w:val="-2"/>
                <w:sz w:val="16"/>
                <w:szCs w:val="16"/>
              </w:rPr>
            </w:pPr>
            <w:r w:rsidRPr="00FC5566">
              <w:rPr>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0612A662" w14:textId="77777777" w:rsidR="00FC5566" w:rsidRPr="00FC5566" w:rsidRDefault="00FC5566" w:rsidP="00FC5566">
            <w:pPr>
              <w:ind w:left="96" w:right="58"/>
              <w:rPr>
                <w:iCs/>
                <w:sz w:val="16"/>
                <w:szCs w:val="16"/>
              </w:rPr>
            </w:pPr>
            <w:r w:rsidRPr="00FC5566">
              <w:rPr>
                <w:sz w:val="16"/>
                <w:szCs w:val="16"/>
              </w:rPr>
              <w:t>Section 608.17, Connections to the Potable Water System.</w:t>
            </w:r>
          </w:p>
        </w:tc>
        <w:tc>
          <w:tcPr>
            <w:tcW w:w="7043" w:type="dxa"/>
            <w:gridSpan w:val="2"/>
            <w:tcBorders>
              <w:top w:val="single" w:sz="6" w:space="0" w:color="000000"/>
              <w:left w:val="single" w:sz="6" w:space="0" w:color="000000"/>
              <w:bottom w:val="single" w:sz="6" w:space="0" w:color="000000"/>
              <w:right w:val="single" w:sz="6" w:space="0" w:color="000000"/>
            </w:tcBorders>
          </w:tcPr>
          <w:p w14:paraId="1485A039" w14:textId="77777777" w:rsidR="00FC5566" w:rsidRPr="00FC5566" w:rsidRDefault="00FC5566" w:rsidP="00FC5566">
            <w:pPr>
              <w:ind w:left="91" w:right="90"/>
              <w:rPr>
                <w:sz w:val="16"/>
                <w:szCs w:val="16"/>
              </w:rPr>
            </w:pPr>
            <w:r w:rsidRPr="00FC5566">
              <w:rPr>
                <w:sz w:val="16"/>
                <w:szCs w:val="16"/>
              </w:rPr>
              <w:t>Connections to the potable water system shall conform to Sections 608.17.1 through 608.17.27. These Sections (608.17.1-608.17.27) are not inclusive of all potential contamination sources which may need fixture isolation protection. For potential contamination sources not listed in Sections 608.17.1 through 608.17.27, backflow prevention methods or devices shall be utilized in accordance with Table B1 of CAN/CSA B64.10-2023. When a potential contamination source and its associated backflow prevention method or device is not identified in this code or Table B1 of CAN/CSA B64.10-2023, backflow prevention methods or devices shall be utilized as directed by the building official.</w:t>
            </w:r>
          </w:p>
        </w:tc>
      </w:tr>
      <w:tr w:rsidR="00FC5566" w:rsidRPr="00FC5566" w14:paraId="04374704"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40036480" w14:textId="77777777" w:rsidR="00FC5566" w:rsidRPr="00FC5566" w:rsidRDefault="00FC5566" w:rsidP="00FC5566">
            <w:pPr>
              <w:jc w:val="center"/>
              <w:rPr>
                <w:spacing w:val="-2"/>
                <w:sz w:val="16"/>
                <w:szCs w:val="16"/>
                <w:highlight w:val="yellow"/>
              </w:rPr>
            </w:pPr>
            <w:r w:rsidRPr="00FC5566">
              <w:rPr>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5D335E83" w14:textId="77777777" w:rsidR="00FC5566" w:rsidRPr="00FC5566" w:rsidRDefault="00FC5566" w:rsidP="00FC5566">
            <w:pPr>
              <w:ind w:left="96" w:right="58"/>
              <w:rPr>
                <w:iCs/>
                <w:sz w:val="16"/>
                <w:szCs w:val="16"/>
                <w:highlight w:val="yellow"/>
              </w:rPr>
            </w:pPr>
            <w:r w:rsidRPr="00FC5566">
              <w:rPr>
                <w:sz w:val="16"/>
                <w:szCs w:val="16"/>
              </w:rPr>
              <w:t>Section 608.17.5, Connections to Lawn/Landscape Irrigation Systems.</w:t>
            </w:r>
          </w:p>
        </w:tc>
        <w:tc>
          <w:tcPr>
            <w:tcW w:w="7043" w:type="dxa"/>
            <w:gridSpan w:val="2"/>
            <w:tcBorders>
              <w:top w:val="single" w:sz="6" w:space="0" w:color="000000"/>
              <w:left w:val="single" w:sz="6" w:space="0" w:color="000000"/>
              <w:bottom w:val="single" w:sz="6" w:space="0" w:color="000000"/>
              <w:right w:val="single" w:sz="6" w:space="0" w:color="000000"/>
            </w:tcBorders>
          </w:tcPr>
          <w:p w14:paraId="16BDA388" w14:textId="77777777" w:rsidR="00FC5566" w:rsidRPr="00FC5566" w:rsidRDefault="00FC5566" w:rsidP="00FC5566">
            <w:pPr>
              <w:ind w:left="91" w:right="90"/>
              <w:rPr>
                <w:sz w:val="16"/>
                <w:szCs w:val="16"/>
                <w:highlight w:val="yellow"/>
              </w:rPr>
            </w:pPr>
            <w:r w:rsidRPr="00FC5566">
              <w:rPr>
                <w:sz w:val="16"/>
                <w:szCs w:val="16"/>
              </w:rPr>
              <w:t xml:space="preserve">The potable water supply to lawn/landscape irrigation systems shall be protected against backflow by an atmospheric vacuum breaker, a pressure vacuum breaker assembly or a reduced pressure principle backflow prevention assembly. Shutoff or control valves shall not be installed downstream from an atmospheric vacuum breaker. When a lawn/landscape sprinkler system is provided with separate zones, the potable water supply shall be protected by a pressure vacuum breaker or reduced pressure principal backflow prevention assembly. Atmospheric vacuum breakers shall be installed at least 6 inches (152 mm) above the highest point of usage (i.e., 6 inches (152 mm) above all downstream piping and highest </w:t>
            </w:r>
            <w:r w:rsidRPr="00FC5566">
              <w:rPr>
                <w:sz w:val="16"/>
                <w:szCs w:val="16"/>
              </w:rPr>
              <w:lastRenderedPageBreak/>
              <w:t>sprinkler head). Pressure type vacuum breakers shall be installed at least 12 inches (305 mm) above the highest point of usage (i.e., 12 inches (305 mm) above all downstream piping and the highest sprinkler head). Where chemicals are introduced into the system, the potable water supply shall be protected against backflow by a reduced pressure principle backflow prevention assembly.</w:t>
            </w:r>
          </w:p>
        </w:tc>
      </w:tr>
      <w:tr w:rsidR="00FC5566" w:rsidRPr="00FC5566" w14:paraId="3F6A8139"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57AC172E" w14:textId="77777777" w:rsidR="00FC5566" w:rsidRPr="00FC5566" w:rsidRDefault="00FC5566" w:rsidP="00FC5566">
            <w:pPr>
              <w:jc w:val="center"/>
              <w:rPr>
                <w:spacing w:val="-2"/>
                <w:sz w:val="16"/>
                <w:szCs w:val="16"/>
                <w:highlight w:val="yellow"/>
              </w:rPr>
            </w:pPr>
            <w:r w:rsidRPr="00FC5566">
              <w:rPr>
                <w:spacing w:val="-2"/>
                <w:sz w:val="16"/>
                <w:szCs w:val="16"/>
              </w:rPr>
              <w:lastRenderedPageBreak/>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0002186E" w14:textId="77777777" w:rsidR="00FC5566" w:rsidRPr="00FC5566" w:rsidRDefault="00FC5566" w:rsidP="00FC5566">
            <w:pPr>
              <w:ind w:left="96" w:right="58"/>
              <w:rPr>
                <w:iCs/>
                <w:sz w:val="16"/>
                <w:szCs w:val="16"/>
                <w:highlight w:val="yellow"/>
              </w:rPr>
            </w:pPr>
            <w:r w:rsidRPr="00FC5566">
              <w:rPr>
                <w:sz w:val="16"/>
                <w:szCs w:val="16"/>
              </w:rPr>
              <w:t>Section 608.17.11, Cooling Towers.</w:t>
            </w:r>
          </w:p>
        </w:tc>
        <w:tc>
          <w:tcPr>
            <w:tcW w:w="7043" w:type="dxa"/>
            <w:gridSpan w:val="2"/>
            <w:tcBorders>
              <w:top w:val="single" w:sz="6" w:space="0" w:color="000000"/>
              <w:left w:val="single" w:sz="6" w:space="0" w:color="000000"/>
              <w:bottom w:val="single" w:sz="6" w:space="0" w:color="000000"/>
              <w:right w:val="single" w:sz="6" w:space="0" w:color="000000"/>
            </w:tcBorders>
          </w:tcPr>
          <w:p w14:paraId="6B6FE9D5" w14:textId="77777777" w:rsidR="00FC5566" w:rsidRPr="00FC5566" w:rsidRDefault="00FC5566" w:rsidP="00FC5566">
            <w:pPr>
              <w:ind w:left="91" w:right="90"/>
              <w:rPr>
                <w:sz w:val="16"/>
                <w:szCs w:val="16"/>
                <w:highlight w:val="yellow"/>
              </w:rPr>
            </w:pPr>
            <w:r w:rsidRPr="00FC5566">
              <w:rPr>
                <w:sz w:val="16"/>
                <w:szCs w:val="16"/>
              </w:rPr>
              <w:t>The potable water supply to cooling towers shall be protected against backflow by an air gap or RPZ.</w:t>
            </w:r>
          </w:p>
        </w:tc>
      </w:tr>
      <w:tr w:rsidR="00FC5566" w:rsidRPr="00FC5566" w14:paraId="324BDA28"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73EC3E3F" w14:textId="77777777" w:rsidR="00FC5566" w:rsidRPr="00FC5566" w:rsidRDefault="00FC5566" w:rsidP="00FC5566">
            <w:pPr>
              <w:jc w:val="center"/>
              <w:rPr>
                <w:spacing w:val="-2"/>
                <w:sz w:val="16"/>
                <w:szCs w:val="16"/>
                <w:highlight w:val="yellow"/>
              </w:rPr>
            </w:pPr>
            <w:r w:rsidRPr="00FC5566">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491CEF39" w14:textId="77777777" w:rsidR="00FC5566" w:rsidRPr="00FC5566" w:rsidRDefault="00FC5566" w:rsidP="00FC5566">
            <w:pPr>
              <w:ind w:left="96" w:right="58"/>
              <w:rPr>
                <w:iCs/>
                <w:sz w:val="16"/>
                <w:szCs w:val="16"/>
                <w:highlight w:val="yellow"/>
              </w:rPr>
            </w:pPr>
            <w:r w:rsidRPr="00FC5566">
              <w:rPr>
                <w:sz w:val="16"/>
                <w:szCs w:val="16"/>
              </w:rPr>
              <w:t>Section 608.17.12, Chemical Tanks.</w:t>
            </w:r>
          </w:p>
        </w:tc>
        <w:tc>
          <w:tcPr>
            <w:tcW w:w="7043" w:type="dxa"/>
            <w:gridSpan w:val="2"/>
            <w:tcBorders>
              <w:top w:val="single" w:sz="6" w:space="0" w:color="000000"/>
              <w:left w:val="single" w:sz="6" w:space="0" w:color="000000"/>
              <w:bottom w:val="single" w:sz="6" w:space="0" w:color="000000"/>
              <w:right w:val="single" w:sz="6" w:space="0" w:color="000000"/>
            </w:tcBorders>
          </w:tcPr>
          <w:p w14:paraId="76122CC1" w14:textId="77777777" w:rsidR="00FC5566" w:rsidRPr="00FC5566" w:rsidRDefault="00FC5566" w:rsidP="00FC5566">
            <w:pPr>
              <w:ind w:left="91" w:right="90"/>
              <w:rPr>
                <w:sz w:val="16"/>
                <w:szCs w:val="16"/>
                <w:highlight w:val="yellow"/>
              </w:rPr>
            </w:pPr>
            <w:r w:rsidRPr="00FC5566">
              <w:rPr>
                <w:sz w:val="16"/>
                <w:szCs w:val="16"/>
              </w:rPr>
              <w:t>The potable water supply to chemical tanks shall be protected against backflow by an air gap.</w:t>
            </w:r>
          </w:p>
        </w:tc>
      </w:tr>
      <w:tr w:rsidR="00FC5566" w:rsidRPr="00FC5566" w14:paraId="273F2F7E"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22FCF5B1" w14:textId="77777777" w:rsidR="00FC5566" w:rsidRPr="00FC5566" w:rsidRDefault="00FC5566" w:rsidP="00FC5566">
            <w:pPr>
              <w:jc w:val="center"/>
              <w:rPr>
                <w:spacing w:val="-2"/>
                <w:sz w:val="16"/>
                <w:szCs w:val="16"/>
                <w:highlight w:val="yellow"/>
              </w:rPr>
            </w:pPr>
            <w:r w:rsidRPr="00FC5566">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5D6A53E0" w14:textId="77777777" w:rsidR="00FC5566" w:rsidRPr="00FC5566" w:rsidRDefault="00FC5566" w:rsidP="00FC5566">
            <w:pPr>
              <w:ind w:left="96" w:right="58"/>
              <w:rPr>
                <w:iCs/>
                <w:sz w:val="16"/>
                <w:szCs w:val="16"/>
                <w:highlight w:val="yellow"/>
              </w:rPr>
            </w:pPr>
            <w:r w:rsidRPr="00FC5566">
              <w:rPr>
                <w:sz w:val="16"/>
                <w:szCs w:val="16"/>
              </w:rPr>
              <w:t>Section 608.17.13, Commercial Dishwashers in Commercial Establishments.</w:t>
            </w:r>
          </w:p>
        </w:tc>
        <w:tc>
          <w:tcPr>
            <w:tcW w:w="7043" w:type="dxa"/>
            <w:gridSpan w:val="2"/>
            <w:tcBorders>
              <w:top w:val="single" w:sz="6" w:space="0" w:color="000000"/>
              <w:left w:val="single" w:sz="6" w:space="0" w:color="000000"/>
              <w:bottom w:val="single" w:sz="6" w:space="0" w:color="000000"/>
              <w:right w:val="single" w:sz="6" w:space="0" w:color="000000"/>
            </w:tcBorders>
          </w:tcPr>
          <w:p w14:paraId="5320AAA4" w14:textId="77777777" w:rsidR="00FC5566" w:rsidRPr="00FC5566" w:rsidRDefault="00FC5566" w:rsidP="00FC5566">
            <w:pPr>
              <w:ind w:left="91" w:right="90"/>
              <w:rPr>
                <w:sz w:val="16"/>
                <w:szCs w:val="16"/>
                <w:highlight w:val="yellow"/>
              </w:rPr>
            </w:pPr>
            <w:r w:rsidRPr="00FC5566">
              <w:rPr>
                <w:sz w:val="16"/>
                <w:szCs w:val="16"/>
              </w:rPr>
              <w:t>The potable water supply to commercial dishwashers in commercial establishments shall be protected against backflow by an air gap, atmospheric vacuum breaker, or pressure vacuum breaker. Vacuum breakers shall meet the requirements of Section 608.16.4.</w:t>
            </w:r>
          </w:p>
        </w:tc>
      </w:tr>
      <w:tr w:rsidR="00FC5566" w:rsidRPr="00FC5566" w14:paraId="487EE96C"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3E0DCD6A" w14:textId="77777777" w:rsidR="00FC5566" w:rsidRPr="00FC5566" w:rsidRDefault="00FC5566" w:rsidP="00FC5566">
            <w:pPr>
              <w:jc w:val="center"/>
              <w:rPr>
                <w:spacing w:val="-2"/>
                <w:sz w:val="16"/>
                <w:szCs w:val="16"/>
                <w:highlight w:val="yellow"/>
              </w:rPr>
            </w:pPr>
            <w:r w:rsidRPr="00FC5566">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328E30C7" w14:textId="77777777" w:rsidR="00FC5566" w:rsidRPr="00FC5566" w:rsidRDefault="00FC5566" w:rsidP="00FC5566">
            <w:pPr>
              <w:ind w:left="96" w:right="58"/>
              <w:rPr>
                <w:iCs/>
                <w:sz w:val="16"/>
                <w:szCs w:val="16"/>
                <w:highlight w:val="yellow"/>
              </w:rPr>
            </w:pPr>
            <w:r w:rsidRPr="00FC5566">
              <w:rPr>
                <w:sz w:val="16"/>
                <w:szCs w:val="16"/>
              </w:rPr>
              <w:t>Section 608.17.14, Ornamental Fountains.</w:t>
            </w:r>
          </w:p>
        </w:tc>
        <w:tc>
          <w:tcPr>
            <w:tcW w:w="7043" w:type="dxa"/>
            <w:gridSpan w:val="2"/>
            <w:tcBorders>
              <w:top w:val="single" w:sz="6" w:space="0" w:color="000000"/>
              <w:left w:val="single" w:sz="6" w:space="0" w:color="000000"/>
              <w:bottom w:val="single" w:sz="6" w:space="0" w:color="000000"/>
              <w:right w:val="single" w:sz="6" w:space="0" w:color="000000"/>
            </w:tcBorders>
          </w:tcPr>
          <w:p w14:paraId="13F210E5" w14:textId="77777777" w:rsidR="00FC5566" w:rsidRPr="00FC5566" w:rsidRDefault="00FC5566" w:rsidP="00FC5566">
            <w:pPr>
              <w:ind w:left="91" w:right="90"/>
              <w:rPr>
                <w:sz w:val="16"/>
                <w:szCs w:val="16"/>
                <w:highlight w:val="yellow"/>
              </w:rPr>
            </w:pPr>
            <w:r w:rsidRPr="00FC5566">
              <w:rPr>
                <w:sz w:val="16"/>
                <w:szCs w:val="16"/>
              </w:rPr>
              <w:t>The potable water supply to ornamental fountains shall be protected against backflow by an air gap.</w:t>
            </w:r>
          </w:p>
        </w:tc>
      </w:tr>
      <w:tr w:rsidR="00FC5566" w:rsidRPr="00FC5566" w14:paraId="7659C483"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47CDB1F8" w14:textId="77777777" w:rsidR="00FC5566" w:rsidRPr="00FC5566" w:rsidRDefault="00FC5566" w:rsidP="00FC5566">
            <w:pPr>
              <w:jc w:val="center"/>
              <w:rPr>
                <w:spacing w:val="-2"/>
                <w:sz w:val="16"/>
                <w:szCs w:val="16"/>
                <w:highlight w:val="yellow"/>
              </w:rPr>
            </w:pPr>
            <w:r w:rsidRPr="00FC5566">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393159DA" w14:textId="77777777" w:rsidR="00FC5566" w:rsidRPr="00FC5566" w:rsidRDefault="00FC5566" w:rsidP="00FC5566">
            <w:pPr>
              <w:ind w:left="96" w:right="58"/>
              <w:rPr>
                <w:iCs/>
                <w:sz w:val="16"/>
                <w:szCs w:val="16"/>
                <w:highlight w:val="yellow"/>
              </w:rPr>
            </w:pPr>
            <w:r w:rsidRPr="00FC5566">
              <w:rPr>
                <w:sz w:val="16"/>
                <w:szCs w:val="16"/>
              </w:rPr>
              <w:t>Section 608.17.15, Swimming Pools, Spas, Hot Tubs.</w:t>
            </w:r>
          </w:p>
        </w:tc>
        <w:tc>
          <w:tcPr>
            <w:tcW w:w="7043" w:type="dxa"/>
            <w:gridSpan w:val="2"/>
            <w:tcBorders>
              <w:top w:val="single" w:sz="6" w:space="0" w:color="000000"/>
              <w:left w:val="single" w:sz="6" w:space="0" w:color="000000"/>
              <w:bottom w:val="single" w:sz="6" w:space="0" w:color="000000"/>
              <w:right w:val="single" w:sz="6" w:space="0" w:color="000000"/>
            </w:tcBorders>
          </w:tcPr>
          <w:p w14:paraId="3550C31B" w14:textId="77777777" w:rsidR="00FC5566" w:rsidRPr="00FC5566" w:rsidRDefault="00FC5566" w:rsidP="00FC5566">
            <w:pPr>
              <w:ind w:left="91" w:right="90"/>
              <w:rPr>
                <w:sz w:val="16"/>
                <w:szCs w:val="16"/>
                <w:highlight w:val="yellow"/>
              </w:rPr>
            </w:pPr>
            <w:r w:rsidRPr="00FC5566">
              <w:rPr>
                <w:sz w:val="16"/>
                <w:szCs w:val="16"/>
              </w:rPr>
              <w:t>The potable water supply to swimming pools, spas, or hot tubs shall be protected against backflow by an air gap or reduced pressure principal backflow prevention assembly.</w:t>
            </w:r>
          </w:p>
        </w:tc>
      </w:tr>
      <w:tr w:rsidR="00FC5566" w:rsidRPr="00FC5566" w14:paraId="787FBBB9"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6CD4D065" w14:textId="77777777" w:rsidR="00FC5566" w:rsidRPr="00FC5566" w:rsidRDefault="00FC5566" w:rsidP="00FC5566">
            <w:pPr>
              <w:jc w:val="center"/>
              <w:rPr>
                <w:spacing w:val="-2"/>
                <w:sz w:val="16"/>
                <w:szCs w:val="16"/>
                <w:highlight w:val="yellow"/>
              </w:rPr>
            </w:pPr>
            <w:r w:rsidRPr="00FC5566">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3B4BA7CE" w14:textId="77777777" w:rsidR="00FC5566" w:rsidRPr="00FC5566" w:rsidRDefault="00FC5566" w:rsidP="00FC5566">
            <w:pPr>
              <w:ind w:left="96" w:right="58"/>
              <w:rPr>
                <w:iCs/>
                <w:sz w:val="16"/>
                <w:szCs w:val="16"/>
                <w:highlight w:val="yellow"/>
              </w:rPr>
            </w:pPr>
            <w:r w:rsidRPr="00FC5566">
              <w:rPr>
                <w:sz w:val="16"/>
                <w:szCs w:val="16"/>
              </w:rPr>
              <w:t>Section 608.17.16, Baptismal Fonts.</w:t>
            </w:r>
          </w:p>
        </w:tc>
        <w:tc>
          <w:tcPr>
            <w:tcW w:w="7043" w:type="dxa"/>
            <w:gridSpan w:val="2"/>
            <w:tcBorders>
              <w:top w:val="single" w:sz="6" w:space="0" w:color="000000"/>
              <w:left w:val="single" w:sz="6" w:space="0" w:color="000000"/>
              <w:bottom w:val="single" w:sz="6" w:space="0" w:color="000000"/>
              <w:right w:val="single" w:sz="6" w:space="0" w:color="000000"/>
            </w:tcBorders>
          </w:tcPr>
          <w:p w14:paraId="60716014" w14:textId="77777777" w:rsidR="00FC5566" w:rsidRPr="00FC5566" w:rsidRDefault="00FC5566" w:rsidP="00FC5566">
            <w:pPr>
              <w:ind w:left="91" w:right="90"/>
              <w:rPr>
                <w:sz w:val="16"/>
                <w:szCs w:val="16"/>
                <w:highlight w:val="yellow"/>
              </w:rPr>
            </w:pPr>
            <w:r w:rsidRPr="00FC5566">
              <w:rPr>
                <w:sz w:val="16"/>
                <w:szCs w:val="16"/>
              </w:rPr>
              <w:t>The potable water supply to baptismal fonts shall be protected against backflow by an air gap.</w:t>
            </w:r>
          </w:p>
        </w:tc>
      </w:tr>
      <w:tr w:rsidR="00FC5566" w:rsidRPr="00FC5566" w14:paraId="7338268B"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5751ADF4" w14:textId="77777777" w:rsidR="00FC5566" w:rsidRPr="00FC5566" w:rsidRDefault="00FC5566" w:rsidP="00FC5566">
            <w:pPr>
              <w:jc w:val="center"/>
              <w:rPr>
                <w:spacing w:val="-2"/>
                <w:sz w:val="16"/>
                <w:szCs w:val="16"/>
                <w:highlight w:val="yellow"/>
              </w:rPr>
            </w:pPr>
            <w:r w:rsidRPr="00FC5566">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738B4C52" w14:textId="77777777" w:rsidR="00FC5566" w:rsidRPr="00FC5566" w:rsidRDefault="00FC5566" w:rsidP="00FC5566">
            <w:pPr>
              <w:ind w:left="96" w:right="58"/>
              <w:rPr>
                <w:iCs/>
                <w:sz w:val="16"/>
                <w:szCs w:val="16"/>
                <w:highlight w:val="yellow"/>
              </w:rPr>
            </w:pPr>
            <w:r w:rsidRPr="00FC5566">
              <w:rPr>
                <w:sz w:val="16"/>
                <w:szCs w:val="16"/>
              </w:rPr>
              <w:t>Section 608.17.17, Animal Watering Troughs.</w:t>
            </w:r>
          </w:p>
        </w:tc>
        <w:tc>
          <w:tcPr>
            <w:tcW w:w="7043" w:type="dxa"/>
            <w:gridSpan w:val="2"/>
            <w:tcBorders>
              <w:top w:val="single" w:sz="6" w:space="0" w:color="000000"/>
              <w:left w:val="single" w:sz="6" w:space="0" w:color="000000"/>
              <w:bottom w:val="single" w:sz="6" w:space="0" w:color="000000"/>
              <w:right w:val="single" w:sz="6" w:space="0" w:color="000000"/>
            </w:tcBorders>
          </w:tcPr>
          <w:p w14:paraId="41FBC818" w14:textId="77777777" w:rsidR="00FC5566" w:rsidRPr="00FC5566" w:rsidRDefault="00FC5566" w:rsidP="00FC5566">
            <w:pPr>
              <w:ind w:left="91" w:right="90"/>
              <w:rPr>
                <w:sz w:val="16"/>
                <w:szCs w:val="16"/>
                <w:highlight w:val="yellow"/>
              </w:rPr>
            </w:pPr>
            <w:r w:rsidRPr="00FC5566">
              <w:rPr>
                <w:sz w:val="16"/>
                <w:szCs w:val="16"/>
              </w:rPr>
              <w:t>The potable water supply to animal watering troughs shall be protected against backflow by an air gap.</w:t>
            </w:r>
          </w:p>
        </w:tc>
      </w:tr>
      <w:tr w:rsidR="00FC5566" w:rsidRPr="00FC5566" w14:paraId="4644F544"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4C2B9CEE" w14:textId="77777777" w:rsidR="00FC5566" w:rsidRPr="00FC5566" w:rsidRDefault="00FC5566" w:rsidP="00FC5566">
            <w:pPr>
              <w:jc w:val="center"/>
              <w:rPr>
                <w:spacing w:val="-2"/>
                <w:sz w:val="16"/>
                <w:szCs w:val="16"/>
                <w:highlight w:val="yellow"/>
              </w:rPr>
            </w:pPr>
            <w:r w:rsidRPr="00FC5566">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403028CF" w14:textId="77777777" w:rsidR="00FC5566" w:rsidRPr="00FC5566" w:rsidRDefault="00FC5566" w:rsidP="00FC5566">
            <w:pPr>
              <w:ind w:left="96" w:right="58"/>
              <w:rPr>
                <w:iCs/>
                <w:sz w:val="16"/>
                <w:szCs w:val="16"/>
                <w:highlight w:val="yellow"/>
              </w:rPr>
            </w:pPr>
            <w:r w:rsidRPr="00FC5566">
              <w:rPr>
                <w:sz w:val="16"/>
                <w:szCs w:val="16"/>
              </w:rPr>
              <w:t>Section 608.17.18, Agricultural Chemical Mixing Tanks.</w:t>
            </w:r>
          </w:p>
        </w:tc>
        <w:tc>
          <w:tcPr>
            <w:tcW w:w="7043" w:type="dxa"/>
            <w:gridSpan w:val="2"/>
            <w:tcBorders>
              <w:top w:val="single" w:sz="6" w:space="0" w:color="000000"/>
              <w:left w:val="single" w:sz="6" w:space="0" w:color="000000"/>
              <w:bottom w:val="single" w:sz="6" w:space="0" w:color="000000"/>
              <w:right w:val="single" w:sz="6" w:space="0" w:color="000000"/>
            </w:tcBorders>
          </w:tcPr>
          <w:p w14:paraId="129A5895" w14:textId="77777777" w:rsidR="00FC5566" w:rsidRPr="00FC5566" w:rsidRDefault="00FC5566" w:rsidP="00FC5566">
            <w:pPr>
              <w:ind w:left="91" w:right="90"/>
              <w:rPr>
                <w:sz w:val="16"/>
                <w:szCs w:val="16"/>
                <w:highlight w:val="yellow"/>
              </w:rPr>
            </w:pPr>
            <w:r w:rsidRPr="00FC5566">
              <w:rPr>
                <w:sz w:val="16"/>
                <w:szCs w:val="16"/>
              </w:rPr>
              <w:t>The potable water supply to agricultural chemical mixing tanks shall be protected against backflow by an air gap.</w:t>
            </w:r>
          </w:p>
        </w:tc>
      </w:tr>
      <w:tr w:rsidR="00FC5566" w:rsidRPr="00FC5566" w14:paraId="77AC4051"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5E8200D3" w14:textId="77777777" w:rsidR="00FC5566" w:rsidRPr="00FC5566" w:rsidRDefault="00FC5566" w:rsidP="00FC5566">
            <w:pPr>
              <w:jc w:val="center"/>
              <w:rPr>
                <w:spacing w:val="-2"/>
                <w:sz w:val="16"/>
                <w:szCs w:val="16"/>
                <w:highlight w:val="yellow"/>
              </w:rPr>
            </w:pPr>
            <w:r w:rsidRPr="00FC5566">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3C6697A9" w14:textId="77777777" w:rsidR="00FC5566" w:rsidRPr="00FC5566" w:rsidRDefault="00FC5566" w:rsidP="00FC5566">
            <w:pPr>
              <w:ind w:left="96" w:right="58"/>
              <w:rPr>
                <w:iCs/>
                <w:sz w:val="16"/>
                <w:szCs w:val="16"/>
                <w:highlight w:val="yellow"/>
              </w:rPr>
            </w:pPr>
            <w:r w:rsidRPr="00FC5566">
              <w:rPr>
                <w:sz w:val="16"/>
                <w:szCs w:val="16"/>
              </w:rPr>
              <w:t>Section 608.17.19, Water Hauling Trucks.</w:t>
            </w:r>
          </w:p>
        </w:tc>
        <w:tc>
          <w:tcPr>
            <w:tcW w:w="7043" w:type="dxa"/>
            <w:gridSpan w:val="2"/>
            <w:tcBorders>
              <w:top w:val="single" w:sz="6" w:space="0" w:color="000000"/>
              <w:left w:val="single" w:sz="6" w:space="0" w:color="000000"/>
              <w:bottom w:val="single" w:sz="6" w:space="0" w:color="000000"/>
              <w:right w:val="single" w:sz="6" w:space="0" w:color="000000"/>
            </w:tcBorders>
          </w:tcPr>
          <w:p w14:paraId="46D515A5" w14:textId="77777777" w:rsidR="00FC5566" w:rsidRPr="00FC5566" w:rsidRDefault="00FC5566" w:rsidP="00FC5566">
            <w:pPr>
              <w:ind w:left="91" w:right="90"/>
              <w:rPr>
                <w:sz w:val="16"/>
                <w:szCs w:val="16"/>
                <w:highlight w:val="yellow"/>
              </w:rPr>
            </w:pPr>
            <w:r w:rsidRPr="00FC5566">
              <w:rPr>
                <w:sz w:val="16"/>
                <w:szCs w:val="16"/>
              </w:rPr>
              <w:t>The potable water supply to water hauling trucks/tankers shall be protected against backflow by an air gap when filled from above. When allowed to be filled from below, they shall be protected by a reduced pressure principle backflow prevention assembly. When a tanker truck is designated for the hauling of food grade products (and has been cleaned utilizing food grade cleaning procedures) and is allowed to be filled from below, a double check valve assembly shall be acceptable.</w:t>
            </w:r>
          </w:p>
        </w:tc>
      </w:tr>
      <w:tr w:rsidR="00FC5566" w:rsidRPr="00FC5566" w14:paraId="56E96CCE"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262C5A6A" w14:textId="77777777" w:rsidR="00FC5566" w:rsidRPr="00FC5566" w:rsidRDefault="00FC5566" w:rsidP="00FC5566">
            <w:pPr>
              <w:jc w:val="center"/>
              <w:rPr>
                <w:spacing w:val="-2"/>
                <w:sz w:val="16"/>
                <w:szCs w:val="16"/>
                <w:highlight w:val="yellow"/>
              </w:rPr>
            </w:pPr>
            <w:r w:rsidRPr="00FC5566">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0E955912" w14:textId="77777777" w:rsidR="00FC5566" w:rsidRPr="00FC5566" w:rsidRDefault="00FC5566" w:rsidP="00FC5566">
            <w:pPr>
              <w:ind w:left="96" w:right="58"/>
              <w:rPr>
                <w:iCs/>
                <w:sz w:val="16"/>
                <w:szCs w:val="16"/>
                <w:highlight w:val="yellow"/>
              </w:rPr>
            </w:pPr>
            <w:r w:rsidRPr="00FC5566">
              <w:rPr>
                <w:sz w:val="16"/>
                <w:szCs w:val="16"/>
              </w:rPr>
              <w:t>Section 608.17.20, Air Conditioning Chilled Water Systems and/or Condenser Water Systems.</w:t>
            </w:r>
          </w:p>
        </w:tc>
        <w:tc>
          <w:tcPr>
            <w:tcW w:w="7043" w:type="dxa"/>
            <w:gridSpan w:val="2"/>
            <w:tcBorders>
              <w:top w:val="single" w:sz="6" w:space="0" w:color="000000"/>
              <w:left w:val="single" w:sz="6" w:space="0" w:color="000000"/>
              <w:bottom w:val="single" w:sz="6" w:space="0" w:color="000000"/>
              <w:right w:val="single" w:sz="6" w:space="0" w:color="000000"/>
            </w:tcBorders>
          </w:tcPr>
          <w:p w14:paraId="1286C2BC" w14:textId="77777777" w:rsidR="00FC5566" w:rsidRPr="00FC5566" w:rsidRDefault="00FC5566" w:rsidP="00FC5566">
            <w:pPr>
              <w:ind w:left="91" w:right="90"/>
              <w:rPr>
                <w:sz w:val="16"/>
                <w:szCs w:val="16"/>
                <w:highlight w:val="yellow"/>
              </w:rPr>
            </w:pPr>
            <w:r w:rsidRPr="00FC5566">
              <w:rPr>
                <w:sz w:val="16"/>
                <w:szCs w:val="16"/>
              </w:rPr>
              <w:t>The potable water supply to air conditioning chilled water systems and condenser water systems shall be protected against backflow by a reduced pressure principal backflow prevention assembly.</w:t>
            </w:r>
          </w:p>
        </w:tc>
      </w:tr>
      <w:tr w:rsidR="00FC5566" w:rsidRPr="00FC5566" w14:paraId="515BDB8B"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53FFF1C0" w14:textId="77777777" w:rsidR="00FC5566" w:rsidRPr="00FC5566" w:rsidRDefault="00FC5566" w:rsidP="00FC5566">
            <w:pPr>
              <w:jc w:val="center"/>
              <w:rPr>
                <w:spacing w:val="-2"/>
                <w:sz w:val="16"/>
                <w:szCs w:val="16"/>
                <w:highlight w:val="yellow"/>
              </w:rPr>
            </w:pPr>
            <w:r w:rsidRPr="00FC5566">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1CEA4791" w14:textId="77777777" w:rsidR="00FC5566" w:rsidRPr="00FC5566" w:rsidRDefault="00FC5566" w:rsidP="00FC5566">
            <w:pPr>
              <w:widowControl w:val="0"/>
              <w:autoSpaceDE w:val="0"/>
              <w:autoSpaceDN w:val="0"/>
              <w:ind w:left="91" w:right="58"/>
              <w:rPr>
                <w:sz w:val="16"/>
                <w:szCs w:val="16"/>
              </w:rPr>
            </w:pPr>
            <w:r w:rsidRPr="00FC5566">
              <w:rPr>
                <w:sz w:val="16"/>
                <w:szCs w:val="16"/>
              </w:rPr>
              <w:t>Section 608.17.21, Pot-</w:t>
            </w:r>
          </w:p>
          <w:p w14:paraId="62C83FF8" w14:textId="77777777" w:rsidR="00FC5566" w:rsidRPr="00FC5566" w:rsidRDefault="00FC5566" w:rsidP="00FC5566">
            <w:pPr>
              <w:ind w:left="96" w:right="58"/>
              <w:rPr>
                <w:iCs/>
                <w:sz w:val="16"/>
                <w:szCs w:val="16"/>
                <w:highlight w:val="yellow"/>
              </w:rPr>
            </w:pPr>
            <w:r w:rsidRPr="00FC5566">
              <w:rPr>
                <w:sz w:val="16"/>
                <w:szCs w:val="16"/>
              </w:rPr>
              <w:t>Type Chemical Feeders</w:t>
            </w:r>
          </w:p>
        </w:tc>
        <w:tc>
          <w:tcPr>
            <w:tcW w:w="7043" w:type="dxa"/>
            <w:gridSpan w:val="2"/>
            <w:tcBorders>
              <w:top w:val="single" w:sz="6" w:space="0" w:color="000000"/>
              <w:left w:val="single" w:sz="6" w:space="0" w:color="000000"/>
              <w:bottom w:val="single" w:sz="6" w:space="0" w:color="000000"/>
              <w:right w:val="single" w:sz="6" w:space="0" w:color="000000"/>
            </w:tcBorders>
          </w:tcPr>
          <w:p w14:paraId="374AF312" w14:textId="77777777" w:rsidR="00FC5566" w:rsidRPr="00FC5566" w:rsidRDefault="00FC5566" w:rsidP="00FC5566">
            <w:pPr>
              <w:ind w:left="91" w:right="90"/>
              <w:rPr>
                <w:sz w:val="16"/>
                <w:szCs w:val="16"/>
                <w:highlight w:val="yellow"/>
              </w:rPr>
            </w:pPr>
            <w:r w:rsidRPr="00FC5566">
              <w:rPr>
                <w:sz w:val="16"/>
                <w:szCs w:val="16"/>
              </w:rPr>
              <w:t>The potable water supply to pot-type chemical feeders shall be protected against backflow by a reduced pressure principal backflow prevention assembly.</w:t>
            </w:r>
          </w:p>
        </w:tc>
      </w:tr>
      <w:tr w:rsidR="00FC5566" w:rsidRPr="00FC5566" w14:paraId="05739B1D"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4C0253D0" w14:textId="77777777" w:rsidR="00FC5566" w:rsidRPr="00FC5566" w:rsidRDefault="00FC5566" w:rsidP="00FC5566">
            <w:pPr>
              <w:jc w:val="center"/>
              <w:rPr>
                <w:spacing w:val="-2"/>
                <w:sz w:val="16"/>
                <w:szCs w:val="16"/>
                <w:highlight w:val="yellow"/>
              </w:rPr>
            </w:pPr>
            <w:r w:rsidRPr="00FC5566">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1056371F" w14:textId="77777777" w:rsidR="00FC5566" w:rsidRPr="00FC5566" w:rsidRDefault="00FC5566" w:rsidP="00FC5566">
            <w:pPr>
              <w:ind w:left="96" w:right="58"/>
              <w:rPr>
                <w:iCs/>
                <w:sz w:val="16"/>
                <w:szCs w:val="16"/>
                <w:highlight w:val="yellow"/>
              </w:rPr>
            </w:pPr>
            <w:r w:rsidRPr="00FC5566">
              <w:rPr>
                <w:sz w:val="16"/>
                <w:szCs w:val="16"/>
              </w:rPr>
              <w:t>Section 608.17.22, Food Processing Steam Kettles</w:t>
            </w:r>
          </w:p>
        </w:tc>
        <w:tc>
          <w:tcPr>
            <w:tcW w:w="7043" w:type="dxa"/>
            <w:gridSpan w:val="2"/>
            <w:tcBorders>
              <w:top w:val="single" w:sz="6" w:space="0" w:color="000000"/>
              <w:left w:val="single" w:sz="6" w:space="0" w:color="000000"/>
              <w:bottom w:val="single" w:sz="6" w:space="0" w:color="000000"/>
              <w:right w:val="single" w:sz="6" w:space="0" w:color="000000"/>
            </w:tcBorders>
          </w:tcPr>
          <w:p w14:paraId="568D4A98" w14:textId="77777777" w:rsidR="00FC5566" w:rsidRPr="00FC5566" w:rsidRDefault="00FC5566" w:rsidP="00FC5566">
            <w:pPr>
              <w:ind w:left="91" w:right="90"/>
              <w:rPr>
                <w:sz w:val="16"/>
                <w:szCs w:val="16"/>
                <w:highlight w:val="yellow"/>
              </w:rPr>
            </w:pPr>
            <w:r w:rsidRPr="00FC5566">
              <w:rPr>
                <w:sz w:val="16"/>
                <w:szCs w:val="16"/>
              </w:rPr>
              <w:t>The potable water supply to food processing steam kettles shall be protected against backflow by a double check valve backflow prevention assembly.</w:t>
            </w:r>
          </w:p>
        </w:tc>
      </w:tr>
      <w:tr w:rsidR="00FC5566" w:rsidRPr="00FC5566" w14:paraId="2E6B6465"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3F125E9C" w14:textId="77777777" w:rsidR="00FC5566" w:rsidRPr="00FC5566" w:rsidRDefault="00FC5566" w:rsidP="00FC5566">
            <w:pPr>
              <w:jc w:val="center"/>
              <w:rPr>
                <w:spacing w:val="-2"/>
                <w:sz w:val="16"/>
                <w:szCs w:val="16"/>
                <w:highlight w:val="yellow"/>
              </w:rPr>
            </w:pPr>
            <w:r w:rsidRPr="00FC5566">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3EC44D8E" w14:textId="77777777" w:rsidR="00FC5566" w:rsidRPr="00FC5566" w:rsidRDefault="00FC5566" w:rsidP="00FC5566">
            <w:pPr>
              <w:ind w:left="96" w:right="58"/>
              <w:rPr>
                <w:iCs/>
                <w:sz w:val="16"/>
                <w:szCs w:val="16"/>
                <w:highlight w:val="yellow"/>
              </w:rPr>
            </w:pPr>
            <w:r w:rsidRPr="00FC5566">
              <w:rPr>
                <w:sz w:val="16"/>
                <w:szCs w:val="16"/>
              </w:rPr>
              <w:t>Section 608.17.23, Individual Travel Trailer Pads</w:t>
            </w:r>
          </w:p>
        </w:tc>
        <w:tc>
          <w:tcPr>
            <w:tcW w:w="7043" w:type="dxa"/>
            <w:gridSpan w:val="2"/>
            <w:tcBorders>
              <w:top w:val="single" w:sz="6" w:space="0" w:color="000000"/>
              <w:left w:val="single" w:sz="6" w:space="0" w:color="000000"/>
              <w:bottom w:val="single" w:sz="6" w:space="0" w:color="000000"/>
              <w:right w:val="single" w:sz="6" w:space="0" w:color="000000"/>
            </w:tcBorders>
          </w:tcPr>
          <w:p w14:paraId="0BE013FC" w14:textId="77777777" w:rsidR="00FC5566" w:rsidRPr="00FC5566" w:rsidRDefault="00FC5566" w:rsidP="00FC5566">
            <w:pPr>
              <w:ind w:left="91" w:right="90"/>
              <w:rPr>
                <w:sz w:val="16"/>
                <w:szCs w:val="16"/>
                <w:highlight w:val="yellow"/>
              </w:rPr>
            </w:pPr>
            <w:r w:rsidRPr="00FC5566">
              <w:rPr>
                <w:sz w:val="16"/>
                <w:szCs w:val="16"/>
              </w:rPr>
              <w:t>The potable water supply to individual travel trailer pads shall be protected against backflow by a dual check valve backflow prevention assembly.</w:t>
            </w:r>
          </w:p>
        </w:tc>
      </w:tr>
      <w:tr w:rsidR="00FC5566" w:rsidRPr="00FC5566" w14:paraId="3FF7FE09"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68F732DB" w14:textId="77777777" w:rsidR="00FC5566" w:rsidRPr="00FC5566" w:rsidRDefault="00FC5566" w:rsidP="00FC5566">
            <w:pPr>
              <w:jc w:val="center"/>
              <w:rPr>
                <w:spacing w:val="-2"/>
                <w:sz w:val="16"/>
                <w:szCs w:val="16"/>
                <w:highlight w:val="yellow"/>
              </w:rPr>
            </w:pPr>
            <w:r w:rsidRPr="00FC5566">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6E66F64A" w14:textId="77777777" w:rsidR="00FC5566" w:rsidRPr="00FC5566" w:rsidRDefault="00FC5566" w:rsidP="00FC5566">
            <w:pPr>
              <w:ind w:left="96" w:right="58"/>
              <w:rPr>
                <w:iCs/>
                <w:sz w:val="16"/>
                <w:szCs w:val="16"/>
                <w:highlight w:val="yellow"/>
              </w:rPr>
            </w:pPr>
            <w:r w:rsidRPr="00FC5566">
              <w:rPr>
                <w:sz w:val="16"/>
                <w:szCs w:val="16"/>
              </w:rPr>
              <w:t>Section 608.17.24, Laboratory and/or Medical Aspirators</w:t>
            </w:r>
          </w:p>
        </w:tc>
        <w:tc>
          <w:tcPr>
            <w:tcW w:w="7043" w:type="dxa"/>
            <w:gridSpan w:val="2"/>
            <w:tcBorders>
              <w:top w:val="single" w:sz="6" w:space="0" w:color="000000"/>
              <w:left w:val="single" w:sz="6" w:space="0" w:color="000000"/>
              <w:bottom w:val="single" w:sz="6" w:space="0" w:color="000000"/>
              <w:right w:val="single" w:sz="6" w:space="0" w:color="000000"/>
            </w:tcBorders>
          </w:tcPr>
          <w:p w14:paraId="7F0362F3" w14:textId="77777777" w:rsidR="00FC5566" w:rsidRPr="00FC5566" w:rsidRDefault="00FC5566" w:rsidP="00FC5566">
            <w:pPr>
              <w:ind w:left="91" w:right="90"/>
              <w:rPr>
                <w:sz w:val="16"/>
                <w:szCs w:val="16"/>
                <w:highlight w:val="yellow"/>
              </w:rPr>
            </w:pPr>
            <w:r w:rsidRPr="00FC5566">
              <w:rPr>
                <w:sz w:val="16"/>
                <w:szCs w:val="16"/>
              </w:rPr>
              <w:t>The potable water supply to laboratory and/or medical aspirators shall be protected against backflow by an atmospheric or pressure vacuum breaker installed in accordance with Sections 608.3.1 and 608.15.4.</w:t>
            </w:r>
          </w:p>
        </w:tc>
      </w:tr>
      <w:tr w:rsidR="00FC5566" w:rsidRPr="00FC5566" w14:paraId="3422CC4B"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27D97F8E" w14:textId="77777777" w:rsidR="00FC5566" w:rsidRPr="00FC5566" w:rsidRDefault="00FC5566" w:rsidP="00FC5566">
            <w:pPr>
              <w:jc w:val="center"/>
              <w:rPr>
                <w:spacing w:val="-2"/>
                <w:sz w:val="16"/>
                <w:szCs w:val="16"/>
                <w:highlight w:val="yellow"/>
              </w:rPr>
            </w:pPr>
            <w:r w:rsidRPr="00FC5566">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5DFF2DB8" w14:textId="77777777" w:rsidR="00FC5566" w:rsidRPr="00FC5566" w:rsidRDefault="00FC5566" w:rsidP="00FC5566">
            <w:pPr>
              <w:widowControl w:val="0"/>
              <w:autoSpaceDE w:val="0"/>
              <w:autoSpaceDN w:val="0"/>
              <w:ind w:left="91" w:right="58"/>
              <w:rPr>
                <w:sz w:val="16"/>
                <w:szCs w:val="16"/>
              </w:rPr>
            </w:pPr>
            <w:r w:rsidRPr="00FC5566">
              <w:rPr>
                <w:sz w:val="16"/>
                <w:szCs w:val="16"/>
              </w:rPr>
              <w:t>Section 608.17.25, Laboratory or other Sinks with Threaded or</w:t>
            </w:r>
          </w:p>
          <w:p w14:paraId="2189E275" w14:textId="77777777" w:rsidR="00FC5566" w:rsidRPr="00FC5566" w:rsidRDefault="00FC5566" w:rsidP="00FC5566">
            <w:pPr>
              <w:ind w:left="96" w:right="58"/>
              <w:rPr>
                <w:iCs/>
                <w:sz w:val="16"/>
                <w:szCs w:val="16"/>
                <w:highlight w:val="yellow"/>
              </w:rPr>
            </w:pPr>
            <w:r w:rsidRPr="00FC5566">
              <w:rPr>
                <w:sz w:val="16"/>
                <w:szCs w:val="16"/>
              </w:rPr>
              <w:t>Serrated Nozzles.</w:t>
            </w:r>
          </w:p>
        </w:tc>
        <w:tc>
          <w:tcPr>
            <w:tcW w:w="7043" w:type="dxa"/>
            <w:gridSpan w:val="2"/>
            <w:tcBorders>
              <w:top w:val="single" w:sz="6" w:space="0" w:color="000000"/>
              <w:left w:val="single" w:sz="6" w:space="0" w:color="000000"/>
              <w:bottom w:val="single" w:sz="6" w:space="0" w:color="000000"/>
              <w:right w:val="single" w:sz="6" w:space="0" w:color="000000"/>
            </w:tcBorders>
          </w:tcPr>
          <w:p w14:paraId="41C16A96" w14:textId="77777777" w:rsidR="00FC5566" w:rsidRPr="00FC5566" w:rsidRDefault="00FC5566" w:rsidP="00FC5566">
            <w:pPr>
              <w:ind w:left="91" w:right="90"/>
              <w:rPr>
                <w:sz w:val="16"/>
                <w:szCs w:val="16"/>
                <w:highlight w:val="yellow"/>
              </w:rPr>
            </w:pPr>
            <w:r w:rsidRPr="00FC5566">
              <w:rPr>
                <w:sz w:val="16"/>
                <w:szCs w:val="16"/>
              </w:rPr>
              <w:t>The potable water supply to laboratory sinks or other sinks with threaded or serrated nozzles shall be protected against backflow by an atmospheric or pressure vacuum breaker installed in accordance with Sections 608.3.1 and 608.16.4.</w:t>
            </w:r>
          </w:p>
        </w:tc>
      </w:tr>
      <w:tr w:rsidR="00FC5566" w:rsidRPr="00FC5566" w14:paraId="29F0C1A6"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36041DE2" w14:textId="77777777" w:rsidR="00FC5566" w:rsidRPr="00FC5566" w:rsidRDefault="00FC5566" w:rsidP="00FC5566">
            <w:pPr>
              <w:jc w:val="center"/>
              <w:rPr>
                <w:spacing w:val="-2"/>
                <w:sz w:val="16"/>
                <w:szCs w:val="16"/>
                <w:highlight w:val="yellow"/>
              </w:rPr>
            </w:pPr>
            <w:r w:rsidRPr="00FC5566">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56FB2943" w14:textId="77777777" w:rsidR="00FC5566" w:rsidRPr="00FC5566" w:rsidRDefault="00FC5566" w:rsidP="00FC5566">
            <w:pPr>
              <w:ind w:left="96" w:right="58"/>
              <w:rPr>
                <w:iCs/>
                <w:sz w:val="16"/>
                <w:szCs w:val="16"/>
                <w:highlight w:val="yellow"/>
              </w:rPr>
            </w:pPr>
            <w:r w:rsidRPr="00FC5566">
              <w:rPr>
                <w:sz w:val="16"/>
                <w:szCs w:val="16"/>
              </w:rPr>
              <w:t>Section 608.17.26, Mortuary/Embalming Aspirators</w:t>
            </w:r>
          </w:p>
        </w:tc>
        <w:tc>
          <w:tcPr>
            <w:tcW w:w="7043" w:type="dxa"/>
            <w:gridSpan w:val="2"/>
            <w:tcBorders>
              <w:top w:val="single" w:sz="6" w:space="0" w:color="000000"/>
              <w:left w:val="single" w:sz="6" w:space="0" w:color="000000"/>
              <w:bottom w:val="single" w:sz="6" w:space="0" w:color="000000"/>
              <w:right w:val="single" w:sz="6" w:space="0" w:color="000000"/>
            </w:tcBorders>
          </w:tcPr>
          <w:p w14:paraId="7C6AD816" w14:textId="77777777" w:rsidR="00FC5566" w:rsidRPr="00FC5566" w:rsidRDefault="00FC5566" w:rsidP="00FC5566">
            <w:pPr>
              <w:ind w:left="91" w:right="90"/>
              <w:rPr>
                <w:sz w:val="16"/>
                <w:szCs w:val="16"/>
                <w:highlight w:val="yellow"/>
              </w:rPr>
            </w:pPr>
            <w:r w:rsidRPr="00FC5566">
              <w:rPr>
                <w:sz w:val="16"/>
                <w:szCs w:val="16"/>
              </w:rPr>
              <w:t>The potable water supply to mortuary/embalming aspirators shall be protected against backflow by a pressure vacuum breaker installed in the supply line serving the aspirator. The critical level of the vacuum breaker shall be installed a minimum of 12 inches higher than the aspirator. The aspirator shall be installed at least 6 inches above the highest level at which suction may be taken. An air gap shall be provided between the outlet of the discharge pipe and the overflow rim of the receiving fixture.</w:t>
            </w:r>
          </w:p>
        </w:tc>
      </w:tr>
      <w:tr w:rsidR="00FC5566" w:rsidRPr="00FC5566" w14:paraId="2E044F2D"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1441C850" w14:textId="77777777" w:rsidR="00FC5566" w:rsidRPr="00FC5566" w:rsidRDefault="00FC5566" w:rsidP="00FC5566">
            <w:pPr>
              <w:jc w:val="center"/>
              <w:rPr>
                <w:spacing w:val="-2"/>
                <w:sz w:val="16"/>
                <w:szCs w:val="16"/>
                <w:highlight w:val="yellow"/>
              </w:rPr>
            </w:pPr>
            <w:r w:rsidRPr="00FC5566">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3AAE51B8" w14:textId="77777777" w:rsidR="00FC5566" w:rsidRPr="00FC5566" w:rsidRDefault="00FC5566" w:rsidP="00FC5566">
            <w:pPr>
              <w:ind w:left="96" w:right="58"/>
              <w:rPr>
                <w:iCs/>
                <w:sz w:val="16"/>
                <w:szCs w:val="16"/>
                <w:highlight w:val="yellow"/>
              </w:rPr>
            </w:pPr>
            <w:r w:rsidRPr="00FC5566">
              <w:rPr>
                <w:sz w:val="16"/>
                <w:szCs w:val="16"/>
              </w:rPr>
              <w:t>Section 608.17.27, Room(s) or other Sub- Unit(s) of a Premise or Facility Receiving Water where Access is Prohibited</w:t>
            </w:r>
          </w:p>
        </w:tc>
        <w:tc>
          <w:tcPr>
            <w:tcW w:w="7043" w:type="dxa"/>
            <w:gridSpan w:val="2"/>
            <w:tcBorders>
              <w:top w:val="single" w:sz="6" w:space="0" w:color="000000"/>
              <w:left w:val="single" w:sz="6" w:space="0" w:color="000000"/>
              <w:bottom w:val="single" w:sz="6" w:space="0" w:color="000000"/>
              <w:right w:val="single" w:sz="6" w:space="0" w:color="000000"/>
            </w:tcBorders>
          </w:tcPr>
          <w:p w14:paraId="4C81E393" w14:textId="77777777" w:rsidR="00FC5566" w:rsidRPr="00FC5566" w:rsidRDefault="00FC5566" w:rsidP="00FC5566">
            <w:pPr>
              <w:ind w:left="91" w:right="90"/>
              <w:rPr>
                <w:sz w:val="16"/>
                <w:szCs w:val="16"/>
                <w:highlight w:val="yellow"/>
              </w:rPr>
            </w:pPr>
            <w:r w:rsidRPr="00FC5566">
              <w:rPr>
                <w:sz w:val="16"/>
                <w:szCs w:val="16"/>
              </w:rPr>
              <w:t>When access is prohibited to particular areas, rooms, or other sub-units of a premise or facility which is receiving water, the potable water supply serving those areas shall be protected against backflow by a reduced pressure principal backflow protection assembly.</w:t>
            </w:r>
          </w:p>
        </w:tc>
      </w:tr>
      <w:tr w:rsidR="00FC5566" w:rsidRPr="00FC5566" w14:paraId="461B7FAB"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765E43D7" w14:textId="77777777" w:rsidR="00FC5566" w:rsidRPr="00FC5566" w:rsidRDefault="00FC5566" w:rsidP="00FC5566">
            <w:pPr>
              <w:jc w:val="center"/>
              <w:rPr>
                <w:spacing w:val="-2"/>
                <w:sz w:val="16"/>
                <w:szCs w:val="16"/>
              </w:rPr>
            </w:pPr>
            <w:r w:rsidRPr="00FC5566">
              <w:rPr>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195D8EC9" w14:textId="77777777" w:rsidR="00FC5566" w:rsidRPr="00FC5566" w:rsidRDefault="00FC5566" w:rsidP="00FC5566">
            <w:pPr>
              <w:ind w:left="96" w:right="58"/>
              <w:rPr>
                <w:iCs/>
                <w:sz w:val="16"/>
                <w:szCs w:val="16"/>
              </w:rPr>
            </w:pPr>
            <w:r w:rsidRPr="00FC5566">
              <w:rPr>
                <w:sz w:val="16"/>
                <w:szCs w:val="16"/>
              </w:rPr>
              <w:t>Section 608.18, Protection of Individual Water Supplies</w:t>
            </w:r>
          </w:p>
        </w:tc>
        <w:tc>
          <w:tcPr>
            <w:tcW w:w="7043" w:type="dxa"/>
            <w:gridSpan w:val="2"/>
            <w:tcBorders>
              <w:top w:val="single" w:sz="6" w:space="0" w:color="000000"/>
              <w:left w:val="single" w:sz="6" w:space="0" w:color="000000"/>
              <w:bottom w:val="single" w:sz="6" w:space="0" w:color="000000"/>
              <w:right w:val="single" w:sz="6" w:space="0" w:color="000000"/>
            </w:tcBorders>
          </w:tcPr>
          <w:p w14:paraId="353B7C47" w14:textId="77777777" w:rsidR="00FC5566" w:rsidRPr="00FC5566" w:rsidRDefault="00FC5566" w:rsidP="00FC5566">
            <w:pPr>
              <w:ind w:left="91" w:right="90"/>
              <w:rPr>
                <w:sz w:val="16"/>
                <w:szCs w:val="16"/>
              </w:rPr>
            </w:pPr>
            <w:r w:rsidRPr="00FC5566">
              <w:rPr>
                <w:sz w:val="16"/>
                <w:szCs w:val="16"/>
              </w:rPr>
              <w:t>An individual water supply shall be located and constructed so as to be safeguarded against contamination in accordance with the applicable, and most stringent, requirements of LAC 51:XII (Water Supplies), LAC 56:I (Water Wells) and in accordance with Section 608.18.1 through 608.18.8.</w:t>
            </w:r>
          </w:p>
        </w:tc>
      </w:tr>
      <w:tr w:rsidR="00FC5566" w:rsidRPr="00FC5566" w14:paraId="34DFF5E1"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27FD8EBA" w14:textId="77777777" w:rsidR="00FC5566" w:rsidRPr="00FC5566" w:rsidRDefault="00FC5566" w:rsidP="00FC5566">
            <w:pPr>
              <w:jc w:val="center"/>
              <w:rPr>
                <w:spacing w:val="-2"/>
                <w:sz w:val="16"/>
                <w:szCs w:val="16"/>
                <w:highlight w:val="yellow"/>
              </w:rPr>
            </w:pPr>
            <w:r w:rsidRPr="00FC5566">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4559339C" w14:textId="77777777" w:rsidR="00FC5566" w:rsidRPr="00FC5566" w:rsidRDefault="00FC5566" w:rsidP="00FC5566">
            <w:pPr>
              <w:ind w:left="96" w:right="58"/>
              <w:rPr>
                <w:iCs/>
                <w:sz w:val="16"/>
                <w:szCs w:val="16"/>
                <w:highlight w:val="yellow"/>
              </w:rPr>
            </w:pPr>
            <w:r w:rsidRPr="00FC5566">
              <w:rPr>
                <w:sz w:val="16"/>
                <w:szCs w:val="16"/>
              </w:rPr>
              <w:t>Section 608.19, Containment Practices for isolating customer water supply system from water main</w:t>
            </w:r>
          </w:p>
        </w:tc>
        <w:tc>
          <w:tcPr>
            <w:tcW w:w="7043" w:type="dxa"/>
            <w:gridSpan w:val="2"/>
            <w:tcBorders>
              <w:top w:val="single" w:sz="6" w:space="0" w:color="000000"/>
              <w:left w:val="single" w:sz="6" w:space="0" w:color="000000"/>
              <w:bottom w:val="single" w:sz="6" w:space="0" w:color="000000"/>
              <w:right w:val="single" w:sz="6" w:space="0" w:color="000000"/>
            </w:tcBorders>
          </w:tcPr>
          <w:p w14:paraId="0A1DD0CD" w14:textId="77777777" w:rsidR="00FC5566" w:rsidRPr="00FC5566" w:rsidRDefault="00FC5566" w:rsidP="00FC5566">
            <w:pPr>
              <w:ind w:left="91" w:right="90"/>
              <w:rPr>
                <w:sz w:val="16"/>
                <w:szCs w:val="16"/>
                <w:highlight w:val="yellow"/>
              </w:rPr>
            </w:pPr>
            <w:r w:rsidRPr="00FC5566">
              <w:rPr>
                <w:sz w:val="16"/>
                <w:szCs w:val="16"/>
              </w:rPr>
              <w:t>Backflow prevention methods or devices shall be utilized as directed by the water supplier or code official to isolate specific water supply system customers from the water supply system's mains when such action is deemed necessary to protect the water supply system against potential contamination caused by backflow of water from that part of the water system owned and maintained by the customer (for example, the piping downstream of the water meter, if provided). Minimum requirements shall be in accordance with Section 608.19.1 through 608.19.2.</w:t>
            </w:r>
          </w:p>
        </w:tc>
      </w:tr>
      <w:tr w:rsidR="00FC5566" w:rsidRPr="00FC5566" w14:paraId="108BA033"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hideMark/>
          </w:tcPr>
          <w:p w14:paraId="0EE8956E"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hideMark/>
          </w:tcPr>
          <w:p w14:paraId="0BB94487" w14:textId="77777777" w:rsidR="00FC5566" w:rsidRPr="00FC5566" w:rsidRDefault="00FC5566" w:rsidP="00FC5566">
            <w:pPr>
              <w:widowControl w:val="0"/>
              <w:autoSpaceDE w:val="0"/>
              <w:autoSpaceDN w:val="0"/>
              <w:ind w:left="91"/>
              <w:rPr>
                <w:sz w:val="16"/>
                <w:szCs w:val="16"/>
              </w:rPr>
            </w:pPr>
            <w:r w:rsidRPr="00FC5566">
              <w:rPr>
                <w:sz w:val="16"/>
                <w:szCs w:val="16"/>
              </w:rPr>
              <w:t>Section 608.19.1, Containment Requirements.</w:t>
            </w:r>
          </w:p>
        </w:tc>
        <w:tc>
          <w:tcPr>
            <w:tcW w:w="7043" w:type="dxa"/>
            <w:gridSpan w:val="2"/>
            <w:tcBorders>
              <w:top w:val="single" w:sz="6" w:space="0" w:color="000000"/>
              <w:left w:val="single" w:sz="6" w:space="0" w:color="000000"/>
              <w:bottom w:val="single" w:sz="6" w:space="0" w:color="000000"/>
              <w:right w:val="single" w:sz="6" w:space="0" w:color="000000"/>
            </w:tcBorders>
            <w:hideMark/>
          </w:tcPr>
          <w:p w14:paraId="5D869EEC" w14:textId="77777777" w:rsidR="00FC5566" w:rsidRPr="00FC5566" w:rsidRDefault="00FC5566" w:rsidP="00FC5566">
            <w:pPr>
              <w:widowControl w:val="0"/>
              <w:autoSpaceDE w:val="0"/>
              <w:autoSpaceDN w:val="0"/>
              <w:ind w:left="91" w:right="90"/>
              <w:rPr>
                <w:sz w:val="16"/>
                <w:szCs w:val="16"/>
              </w:rPr>
            </w:pPr>
            <w:r w:rsidRPr="00FC5566">
              <w:rPr>
                <w:sz w:val="16"/>
                <w:szCs w:val="16"/>
              </w:rPr>
              <w:t>As a minimum, the following types of backflow prevention assemblies or methods shall be installed and maintained by water supply system customers immediately downstream of the water meter (if provided) or on the water service pipe prior to any branch line or connections serving the listed customer types and categories.</w:t>
            </w:r>
          </w:p>
        </w:tc>
      </w:tr>
      <w:tr w:rsidR="00FC5566" w:rsidRPr="00FC5566" w14:paraId="7A938A9F"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hideMark/>
          </w:tcPr>
          <w:p w14:paraId="578D7D8C"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6A164676" w14:textId="77777777" w:rsidR="00FC5566" w:rsidRPr="00FC5566" w:rsidRDefault="00FC5566" w:rsidP="00FC5566">
            <w:pPr>
              <w:widowControl w:val="0"/>
              <w:autoSpaceDE w:val="0"/>
              <w:autoSpaceDN w:val="0"/>
              <w:ind w:left="91"/>
              <w:rPr>
                <w:sz w:val="16"/>
                <w:szCs w:val="16"/>
              </w:rPr>
            </w:pPr>
            <w:r w:rsidRPr="00FC5566">
              <w:rPr>
                <w:sz w:val="16"/>
                <w:szCs w:val="16"/>
              </w:rPr>
              <w:t>Table 608.19.1, Containment Requirements.</w:t>
            </w:r>
          </w:p>
        </w:tc>
        <w:tc>
          <w:tcPr>
            <w:tcW w:w="7043" w:type="dxa"/>
            <w:gridSpan w:val="2"/>
            <w:tcBorders>
              <w:top w:val="single" w:sz="6" w:space="0" w:color="000000"/>
              <w:left w:val="single" w:sz="6" w:space="0" w:color="000000"/>
              <w:bottom w:val="single" w:sz="6" w:space="0" w:color="000000"/>
              <w:right w:val="single" w:sz="6" w:space="0" w:color="000000"/>
            </w:tcBorders>
            <w:hideMark/>
          </w:tcPr>
          <w:p w14:paraId="739A1E91" w14:textId="77777777" w:rsidR="00FC5566" w:rsidRPr="00FC5566" w:rsidRDefault="00FC5566" w:rsidP="00FC5566">
            <w:pPr>
              <w:widowControl w:val="0"/>
              <w:autoSpaceDE w:val="0"/>
              <w:autoSpaceDN w:val="0"/>
              <w:ind w:left="91" w:right="90"/>
              <w:rPr>
                <w:sz w:val="16"/>
                <w:szCs w:val="16"/>
              </w:rPr>
            </w:pPr>
          </w:p>
        </w:tc>
      </w:tr>
      <w:tr w:rsidR="00FC5566" w:rsidRPr="00FC5566" w14:paraId="0EB7E0D4" w14:textId="77777777" w:rsidTr="00B247D5">
        <w:trPr>
          <w:trHeight w:val="183"/>
        </w:trPr>
        <w:tc>
          <w:tcPr>
            <w:tcW w:w="10530" w:type="dxa"/>
            <w:gridSpan w:val="5"/>
            <w:tcBorders>
              <w:top w:val="single" w:sz="6" w:space="0" w:color="000000"/>
              <w:left w:val="single" w:sz="6" w:space="0" w:color="000000"/>
              <w:bottom w:val="nil"/>
              <w:right w:val="single" w:sz="6" w:space="0" w:color="000000"/>
            </w:tcBorders>
          </w:tcPr>
          <w:p w14:paraId="0939EFF9" w14:textId="77777777" w:rsidR="00FC5566" w:rsidRPr="00FC5566" w:rsidRDefault="00FC5566" w:rsidP="00FC5566">
            <w:pPr>
              <w:widowControl w:val="0"/>
              <w:autoSpaceDE w:val="0"/>
              <w:autoSpaceDN w:val="0"/>
              <w:ind w:left="91" w:right="90"/>
              <w:rPr>
                <w:sz w:val="16"/>
                <w:szCs w:val="16"/>
              </w:rPr>
            </w:pPr>
          </w:p>
        </w:tc>
      </w:tr>
      <w:tr w:rsidR="00FC5566" w:rsidRPr="00FC5566" w14:paraId="4433FD87" w14:textId="77777777" w:rsidTr="00B247D5">
        <w:trPr>
          <w:trHeight w:val="183"/>
        </w:trPr>
        <w:tc>
          <w:tcPr>
            <w:tcW w:w="1260" w:type="dxa"/>
            <w:gridSpan w:val="2"/>
            <w:vMerge w:val="restart"/>
            <w:tcBorders>
              <w:top w:val="nil"/>
              <w:left w:val="single" w:sz="6" w:space="0" w:color="000000"/>
              <w:bottom w:val="nil"/>
              <w:right w:val="double" w:sz="6" w:space="0" w:color="000000"/>
            </w:tcBorders>
          </w:tcPr>
          <w:p w14:paraId="3F38CF6D" w14:textId="77777777" w:rsidR="00FC5566" w:rsidRPr="00FC5566" w:rsidRDefault="00FC5566" w:rsidP="00FC5566">
            <w:pPr>
              <w:widowControl w:val="0"/>
              <w:autoSpaceDE w:val="0"/>
              <w:autoSpaceDN w:val="0"/>
              <w:rPr>
                <w:sz w:val="16"/>
                <w:szCs w:val="16"/>
              </w:rPr>
            </w:pPr>
          </w:p>
        </w:tc>
        <w:tc>
          <w:tcPr>
            <w:tcW w:w="8190" w:type="dxa"/>
            <w:gridSpan w:val="2"/>
            <w:tcBorders>
              <w:top w:val="double" w:sz="6" w:space="0" w:color="000000"/>
              <w:left w:val="double" w:sz="6" w:space="0" w:color="000000"/>
              <w:bottom w:val="single" w:sz="6" w:space="0" w:color="000000"/>
              <w:right w:val="double" w:sz="6" w:space="0" w:color="000000"/>
            </w:tcBorders>
            <w:shd w:val="clear" w:color="auto" w:fill="D9D9D9"/>
            <w:hideMark/>
          </w:tcPr>
          <w:p w14:paraId="017A5B19" w14:textId="77777777" w:rsidR="00FC5566" w:rsidRPr="00FC5566" w:rsidRDefault="00FC5566" w:rsidP="00FC5566">
            <w:pPr>
              <w:widowControl w:val="0"/>
              <w:autoSpaceDE w:val="0"/>
              <w:autoSpaceDN w:val="0"/>
              <w:spacing w:line="164" w:lineRule="exact"/>
              <w:ind w:left="91"/>
              <w:jc w:val="center"/>
              <w:rPr>
                <w:b/>
                <w:sz w:val="16"/>
                <w:szCs w:val="16"/>
              </w:rPr>
            </w:pPr>
            <w:r w:rsidRPr="00FC5566">
              <w:rPr>
                <w:b/>
                <w:sz w:val="16"/>
                <w:szCs w:val="16"/>
              </w:rPr>
              <w:t xml:space="preserve">Air </w:t>
            </w:r>
            <w:r w:rsidRPr="00FC5566">
              <w:rPr>
                <w:b/>
                <w:spacing w:val="-5"/>
                <w:sz w:val="16"/>
                <w:szCs w:val="16"/>
              </w:rPr>
              <w:t>Gap</w:t>
            </w:r>
          </w:p>
        </w:tc>
        <w:tc>
          <w:tcPr>
            <w:tcW w:w="1080" w:type="dxa"/>
            <w:vMerge w:val="restart"/>
            <w:tcBorders>
              <w:top w:val="nil"/>
              <w:left w:val="double" w:sz="6" w:space="0" w:color="000000"/>
              <w:bottom w:val="nil"/>
              <w:right w:val="single" w:sz="6" w:space="0" w:color="000000"/>
            </w:tcBorders>
          </w:tcPr>
          <w:p w14:paraId="4E058108" w14:textId="77777777" w:rsidR="00FC5566" w:rsidRPr="00FC5566" w:rsidRDefault="00FC5566" w:rsidP="00FC5566">
            <w:pPr>
              <w:widowControl w:val="0"/>
              <w:autoSpaceDE w:val="0"/>
              <w:autoSpaceDN w:val="0"/>
              <w:ind w:left="91" w:right="90"/>
              <w:rPr>
                <w:sz w:val="16"/>
                <w:szCs w:val="16"/>
              </w:rPr>
            </w:pPr>
          </w:p>
        </w:tc>
      </w:tr>
      <w:tr w:rsidR="00FC5566" w:rsidRPr="00FC5566" w14:paraId="7F9C0511" w14:textId="77777777" w:rsidTr="00B247D5">
        <w:trPr>
          <w:trHeight w:val="184"/>
        </w:trPr>
        <w:tc>
          <w:tcPr>
            <w:tcW w:w="1260" w:type="dxa"/>
            <w:gridSpan w:val="2"/>
            <w:vMerge/>
            <w:tcBorders>
              <w:top w:val="nil"/>
              <w:left w:val="single" w:sz="6" w:space="0" w:color="000000"/>
              <w:bottom w:val="nil"/>
              <w:right w:val="double" w:sz="6" w:space="0" w:color="000000"/>
            </w:tcBorders>
            <w:vAlign w:val="center"/>
            <w:hideMark/>
          </w:tcPr>
          <w:p w14:paraId="1991FF62" w14:textId="77777777" w:rsidR="00FC5566" w:rsidRPr="00FC5566" w:rsidRDefault="00FC5566" w:rsidP="00FC5566">
            <w:pPr>
              <w:spacing w:line="278" w:lineRule="auto"/>
              <w:rPr>
                <w:sz w:val="16"/>
                <w:szCs w:val="16"/>
              </w:rPr>
            </w:pPr>
          </w:p>
        </w:tc>
        <w:tc>
          <w:tcPr>
            <w:tcW w:w="8190" w:type="dxa"/>
            <w:gridSpan w:val="2"/>
            <w:tcBorders>
              <w:top w:val="single" w:sz="6" w:space="0" w:color="000000"/>
              <w:left w:val="double" w:sz="6" w:space="0" w:color="000000"/>
              <w:bottom w:val="single" w:sz="6" w:space="0" w:color="000000"/>
              <w:right w:val="double" w:sz="6" w:space="0" w:color="000000"/>
            </w:tcBorders>
            <w:hideMark/>
          </w:tcPr>
          <w:p w14:paraId="10FF1631" w14:textId="77777777" w:rsidR="00FC5566" w:rsidRPr="00FC5566" w:rsidRDefault="00FC5566" w:rsidP="00FC5566">
            <w:pPr>
              <w:widowControl w:val="0"/>
              <w:autoSpaceDE w:val="0"/>
              <w:autoSpaceDN w:val="0"/>
              <w:spacing w:line="164" w:lineRule="exact"/>
              <w:ind w:left="91"/>
              <w:rPr>
                <w:sz w:val="16"/>
                <w:szCs w:val="16"/>
              </w:rPr>
            </w:pPr>
            <w:r w:rsidRPr="00FC5566">
              <w:rPr>
                <w:sz w:val="16"/>
                <w:szCs w:val="16"/>
              </w:rPr>
              <w:t>1. Fire</w:t>
            </w:r>
            <w:r w:rsidRPr="00FC5566">
              <w:rPr>
                <w:spacing w:val="-6"/>
                <w:sz w:val="16"/>
                <w:szCs w:val="16"/>
              </w:rPr>
              <w:t xml:space="preserve"> </w:t>
            </w:r>
            <w:r w:rsidRPr="00FC5566">
              <w:rPr>
                <w:sz w:val="16"/>
                <w:szCs w:val="16"/>
              </w:rPr>
              <w:t>Protection/Sprinkler</w:t>
            </w:r>
            <w:r w:rsidRPr="00FC5566">
              <w:rPr>
                <w:spacing w:val="-6"/>
                <w:sz w:val="16"/>
                <w:szCs w:val="16"/>
              </w:rPr>
              <w:t xml:space="preserve"> </w:t>
            </w:r>
            <w:r w:rsidRPr="00FC5566">
              <w:rPr>
                <w:sz w:val="16"/>
                <w:szCs w:val="16"/>
              </w:rPr>
              <w:t>System</w:t>
            </w:r>
            <w:r w:rsidRPr="00FC5566">
              <w:rPr>
                <w:spacing w:val="-4"/>
                <w:sz w:val="16"/>
                <w:szCs w:val="16"/>
              </w:rPr>
              <w:t xml:space="preserve"> </w:t>
            </w:r>
            <w:r w:rsidRPr="00FC5566">
              <w:rPr>
                <w:sz w:val="16"/>
                <w:szCs w:val="16"/>
              </w:rPr>
              <w:t>utilizing</w:t>
            </w:r>
            <w:r w:rsidRPr="00FC5566">
              <w:rPr>
                <w:spacing w:val="-7"/>
                <w:sz w:val="16"/>
                <w:szCs w:val="16"/>
              </w:rPr>
              <w:t xml:space="preserve"> </w:t>
            </w:r>
            <w:r w:rsidRPr="00FC5566">
              <w:rPr>
                <w:sz w:val="16"/>
                <w:szCs w:val="16"/>
              </w:rPr>
              <w:t>non-potable</w:t>
            </w:r>
            <w:r w:rsidRPr="00FC5566">
              <w:rPr>
                <w:spacing w:val="-6"/>
                <w:sz w:val="16"/>
                <w:szCs w:val="16"/>
              </w:rPr>
              <w:t xml:space="preserve"> </w:t>
            </w:r>
            <w:r w:rsidRPr="00FC5566">
              <w:rPr>
                <w:sz w:val="16"/>
                <w:szCs w:val="16"/>
              </w:rPr>
              <w:t>water</w:t>
            </w:r>
            <w:r w:rsidRPr="00FC5566">
              <w:rPr>
                <w:spacing w:val="-6"/>
                <w:sz w:val="16"/>
                <w:szCs w:val="16"/>
              </w:rPr>
              <w:t xml:space="preserve"> </w:t>
            </w:r>
            <w:r w:rsidRPr="00FC5566">
              <w:rPr>
                <w:sz w:val="16"/>
                <w:szCs w:val="16"/>
              </w:rPr>
              <w:t>as</w:t>
            </w:r>
            <w:r w:rsidRPr="00FC5566">
              <w:rPr>
                <w:spacing w:val="-4"/>
                <w:sz w:val="16"/>
                <w:szCs w:val="16"/>
              </w:rPr>
              <w:t xml:space="preserve"> </w:t>
            </w:r>
            <w:r w:rsidRPr="00FC5566">
              <w:rPr>
                <w:sz w:val="16"/>
                <w:szCs w:val="16"/>
              </w:rPr>
              <w:t>an</w:t>
            </w:r>
            <w:r w:rsidRPr="00FC5566">
              <w:rPr>
                <w:spacing w:val="-6"/>
                <w:sz w:val="16"/>
                <w:szCs w:val="16"/>
              </w:rPr>
              <w:t xml:space="preserve"> </w:t>
            </w:r>
            <w:r w:rsidRPr="00FC5566">
              <w:rPr>
                <w:sz w:val="16"/>
                <w:szCs w:val="16"/>
              </w:rPr>
              <w:t>alternative</w:t>
            </w:r>
            <w:r w:rsidRPr="00FC5566">
              <w:rPr>
                <w:spacing w:val="-6"/>
                <w:sz w:val="16"/>
                <w:szCs w:val="16"/>
              </w:rPr>
              <w:t xml:space="preserve"> </w:t>
            </w:r>
            <w:r w:rsidRPr="00FC5566">
              <w:rPr>
                <w:sz w:val="16"/>
                <w:szCs w:val="16"/>
              </w:rPr>
              <w:t>or</w:t>
            </w:r>
            <w:r w:rsidRPr="00FC5566">
              <w:rPr>
                <w:spacing w:val="-5"/>
                <w:sz w:val="16"/>
                <w:szCs w:val="16"/>
              </w:rPr>
              <w:t xml:space="preserve"> </w:t>
            </w:r>
            <w:r w:rsidRPr="00FC5566">
              <w:rPr>
                <w:sz w:val="16"/>
                <w:szCs w:val="16"/>
              </w:rPr>
              <w:t>primary</w:t>
            </w:r>
            <w:r w:rsidRPr="00FC5566">
              <w:rPr>
                <w:spacing w:val="-8"/>
                <w:sz w:val="16"/>
                <w:szCs w:val="16"/>
              </w:rPr>
              <w:t xml:space="preserve"> </w:t>
            </w:r>
            <w:r w:rsidRPr="00FC5566">
              <w:rPr>
                <w:sz w:val="16"/>
                <w:szCs w:val="16"/>
              </w:rPr>
              <w:t>source</w:t>
            </w:r>
            <w:r w:rsidRPr="00FC5566">
              <w:rPr>
                <w:spacing w:val="-6"/>
                <w:sz w:val="16"/>
                <w:szCs w:val="16"/>
              </w:rPr>
              <w:t xml:space="preserve"> </w:t>
            </w:r>
            <w:r w:rsidRPr="00FC5566">
              <w:rPr>
                <w:sz w:val="16"/>
                <w:szCs w:val="16"/>
              </w:rPr>
              <w:t>of</w:t>
            </w:r>
            <w:r w:rsidRPr="00FC5566">
              <w:rPr>
                <w:spacing w:val="-2"/>
                <w:sz w:val="16"/>
                <w:szCs w:val="16"/>
              </w:rPr>
              <w:t xml:space="preserve"> water</w:t>
            </w:r>
          </w:p>
        </w:tc>
        <w:tc>
          <w:tcPr>
            <w:tcW w:w="1080" w:type="dxa"/>
            <w:vMerge/>
            <w:tcBorders>
              <w:top w:val="nil"/>
              <w:left w:val="double" w:sz="6" w:space="0" w:color="000000"/>
              <w:bottom w:val="nil"/>
              <w:right w:val="single" w:sz="6" w:space="0" w:color="000000"/>
            </w:tcBorders>
            <w:vAlign w:val="center"/>
            <w:hideMark/>
          </w:tcPr>
          <w:p w14:paraId="25030322" w14:textId="77777777" w:rsidR="00FC5566" w:rsidRPr="00FC5566" w:rsidRDefault="00FC5566" w:rsidP="00FC5566">
            <w:pPr>
              <w:spacing w:line="278" w:lineRule="auto"/>
              <w:rPr>
                <w:sz w:val="16"/>
                <w:szCs w:val="16"/>
              </w:rPr>
            </w:pPr>
          </w:p>
        </w:tc>
      </w:tr>
      <w:tr w:rsidR="00FC5566" w:rsidRPr="00FC5566" w14:paraId="6EC2AB4C" w14:textId="77777777" w:rsidTr="00B247D5">
        <w:trPr>
          <w:trHeight w:val="184"/>
        </w:trPr>
        <w:tc>
          <w:tcPr>
            <w:tcW w:w="1260" w:type="dxa"/>
            <w:gridSpan w:val="2"/>
            <w:vMerge/>
            <w:tcBorders>
              <w:top w:val="nil"/>
              <w:left w:val="single" w:sz="6" w:space="0" w:color="000000"/>
              <w:bottom w:val="nil"/>
              <w:right w:val="double" w:sz="6" w:space="0" w:color="000000"/>
            </w:tcBorders>
            <w:vAlign w:val="center"/>
            <w:hideMark/>
          </w:tcPr>
          <w:p w14:paraId="1F7B5596" w14:textId="77777777" w:rsidR="00FC5566" w:rsidRPr="00FC5566" w:rsidRDefault="00FC5566" w:rsidP="00FC5566">
            <w:pPr>
              <w:spacing w:line="278" w:lineRule="auto"/>
              <w:rPr>
                <w:sz w:val="16"/>
                <w:szCs w:val="16"/>
              </w:rPr>
            </w:pPr>
          </w:p>
        </w:tc>
        <w:tc>
          <w:tcPr>
            <w:tcW w:w="8190" w:type="dxa"/>
            <w:gridSpan w:val="2"/>
            <w:tcBorders>
              <w:top w:val="single" w:sz="6" w:space="0" w:color="000000"/>
              <w:left w:val="double" w:sz="6" w:space="0" w:color="000000"/>
              <w:bottom w:val="single" w:sz="6" w:space="0" w:color="000000"/>
              <w:right w:val="double" w:sz="6" w:space="0" w:color="000000"/>
            </w:tcBorders>
            <w:shd w:val="clear" w:color="auto" w:fill="D9D9D9"/>
            <w:hideMark/>
          </w:tcPr>
          <w:p w14:paraId="598F316F" w14:textId="77777777" w:rsidR="00FC5566" w:rsidRPr="00FC5566" w:rsidRDefault="00FC5566" w:rsidP="00FC5566">
            <w:pPr>
              <w:widowControl w:val="0"/>
              <w:autoSpaceDE w:val="0"/>
              <w:autoSpaceDN w:val="0"/>
              <w:spacing w:line="165" w:lineRule="exact"/>
              <w:ind w:left="91" w:right="4"/>
              <w:jc w:val="center"/>
              <w:rPr>
                <w:b/>
                <w:sz w:val="16"/>
                <w:szCs w:val="16"/>
              </w:rPr>
            </w:pPr>
            <w:r w:rsidRPr="00FC5566">
              <w:rPr>
                <w:b/>
                <w:sz w:val="16"/>
                <w:szCs w:val="16"/>
              </w:rPr>
              <w:t>Reduced</w:t>
            </w:r>
            <w:r w:rsidRPr="00FC5566">
              <w:rPr>
                <w:b/>
                <w:spacing w:val="-8"/>
                <w:sz w:val="16"/>
                <w:szCs w:val="16"/>
              </w:rPr>
              <w:t xml:space="preserve"> </w:t>
            </w:r>
            <w:r w:rsidRPr="00FC5566">
              <w:rPr>
                <w:b/>
                <w:sz w:val="16"/>
                <w:szCs w:val="16"/>
              </w:rPr>
              <w:t>Pressure</w:t>
            </w:r>
            <w:r w:rsidRPr="00FC5566">
              <w:rPr>
                <w:b/>
                <w:spacing w:val="-8"/>
                <w:sz w:val="16"/>
                <w:szCs w:val="16"/>
              </w:rPr>
              <w:t xml:space="preserve"> </w:t>
            </w:r>
            <w:r w:rsidRPr="00FC5566">
              <w:rPr>
                <w:b/>
                <w:sz w:val="16"/>
                <w:szCs w:val="16"/>
              </w:rPr>
              <w:t>Principle</w:t>
            </w:r>
            <w:r w:rsidRPr="00FC5566">
              <w:rPr>
                <w:b/>
                <w:spacing w:val="-9"/>
                <w:sz w:val="16"/>
                <w:szCs w:val="16"/>
              </w:rPr>
              <w:t xml:space="preserve"> </w:t>
            </w:r>
            <w:r w:rsidRPr="00FC5566">
              <w:rPr>
                <w:b/>
                <w:sz w:val="16"/>
                <w:szCs w:val="16"/>
              </w:rPr>
              <w:t>Backflow</w:t>
            </w:r>
            <w:r w:rsidRPr="00FC5566">
              <w:rPr>
                <w:b/>
                <w:spacing w:val="-6"/>
                <w:sz w:val="16"/>
                <w:szCs w:val="16"/>
              </w:rPr>
              <w:t xml:space="preserve"> </w:t>
            </w:r>
            <w:r w:rsidRPr="00FC5566">
              <w:rPr>
                <w:b/>
                <w:sz w:val="16"/>
                <w:szCs w:val="16"/>
              </w:rPr>
              <w:t>Prevention</w:t>
            </w:r>
            <w:r w:rsidRPr="00FC5566">
              <w:rPr>
                <w:b/>
                <w:spacing w:val="-7"/>
                <w:sz w:val="16"/>
                <w:szCs w:val="16"/>
              </w:rPr>
              <w:t xml:space="preserve"> </w:t>
            </w:r>
            <w:r w:rsidRPr="00FC5566">
              <w:rPr>
                <w:b/>
                <w:spacing w:val="-2"/>
                <w:sz w:val="16"/>
                <w:szCs w:val="16"/>
              </w:rPr>
              <w:t>Assembly</w:t>
            </w:r>
          </w:p>
        </w:tc>
        <w:tc>
          <w:tcPr>
            <w:tcW w:w="1080" w:type="dxa"/>
            <w:vMerge/>
            <w:tcBorders>
              <w:top w:val="nil"/>
              <w:left w:val="double" w:sz="6" w:space="0" w:color="000000"/>
              <w:bottom w:val="nil"/>
              <w:right w:val="single" w:sz="6" w:space="0" w:color="000000"/>
            </w:tcBorders>
            <w:vAlign w:val="center"/>
            <w:hideMark/>
          </w:tcPr>
          <w:p w14:paraId="65685646" w14:textId="77777777" w:rsidR="00FC5566" w:rsidRPr="00FC5566" w:rsidRDefault="00FC5566" w:rsidP="00FC5566">
            <w:pPr>
              <w:spacing w:line="278" w:lineRule="auto"/>
              <w:rPr>
                <w:sz w:val="16"/>
                <w:szCs w:val="16"/>
              </w:rPr>
            </w:pPr>
          </w:p>
        </w:tc>
      </w:tr>
      <w:tr w:rsidR="00FC5566" w:rsidRPr="00FC5566" w14:paraId="37164584" w14:textId="77777777" w:rsidTr="00B247D5">
        <w:trPr>
          <w:trHeight w:val="184"/>
        </w:trPr>
        <w:tc>
          <w:tcPr>
            <w:tcW w:w="1260" w:type="dxa"/>
            <w:gridSpan w:val="2"/>
            <w:vMerge/>
            <w:tcBorders>
              <w:top w:val="nil"/>
              <w:left w:val="single" w:sz="6" w:space="0" w:color="000000"/>
              <w:bottom w:val="nil"/>
              <w:right w:val="double" w:sz="6" w:space="0" w:color="000000"/>
            </w:tcBorders>
            <w:vAlign w:val="center"/>
            <w:hideMark/>
          </w:tcPr>
          <w:p w14:paraId="3D3263B8" w14:textId="77777777" w:rsidR="00FC5566" w:rsidRPr="00FC5566" w:rsidRDefault="00FC5566" w:rsidP="00FC5566">
            <w:pPr>
              <w:spacing w:line="278" w:lineRule="auto"/>
              <w:rPr>
                <w:sz w:val="16"/>
                <w:szCs w:val="16"/>
              </w:rPr>
            </w:pPr>
          </w:p>
        </w:tc>
        <w:tc>
          <w:tcPr>
            <w:tcW w:w="8190" w:type="dxa"/>
            <w:gridSpan w:val="2"/>
            <w:tcBorders>
              <w:top w:val="single" w:sz="6" w:space="0" w:color="000000"/>
              <w:left w:val="double" w:sz="6" w:space="0" w:color="000000"/>
              <w:bottom w:val="single" w:sz="6" w:space="0" w:color="000000"/>
              <w:right w:val="double" w:sz="6" w:space="0" w:color="000000"/>
            </w:tcBorders>
            <w:hideMark/>
          </w:tcPr>
          <w:p w14:paraId="51284CE7" w14:textId="77777777" w:rsidR="00FC5566" w:rsidRPr="00FC5566" w:rsidRDefault="00FC5566" w:rsidP="00FC5566">
            <w:pPr>
              <w:widowControl w:val="0"/>
              <w:autoSpaceDE w:val="0"/>
              <w:autoSpaceDN w:val="0"/>
              <w:spacing w:line="164" w:lineRule="exact"/>
              <w:ind w:left="91"/>
              <w:rPr>
                <w:sz w:val="16"/>
                <w:szCs w:val="16"/>
              </w:rPr>
            </w:pPr>
            <w:r w:rsidRPr="00FC5566">
              <w:rPr>
                <w:sz w:val="16"/>
                <w:szCs w:val="16"/>
              </w:rPr>
              <w:t>1. Hospitals,</w:t>
            </w:r>
            <w:r w:rsidRPr="00FC5566">
              <w:rPr>
                <w:spacing w:val="-4"/>
                <w:sz w:val="16"/>
                <w:szCs w:val="16"/>
              </w:rPr>
              <w:t xml:space="preserve"> </w:t>
            </w:r>
            <w:r w:rsidRPr="00FC5566">
              <w:rPr>
                <w:sz w:val="16"/>
                <w:szCs w:val="16"/>
              </w:rPr>
              <w:t>Out-Patient</w:t>
            </w:r>
            <w:r w:rsidRPr="00FC5566">
              <w:rPr>
                <w:spacing w:val="-7"/>
                <w:sz w:val="16"/>
                <w:szCs w:val="16"/>
              </w:rPr>
              <w:t xml:space="preserve"> </w:t>
            </w:r>
            <w:r w:rsidRPr="00FC5566">
              <w:rPr>
                <w:sz w:val="16"/>
                <w:szCs w:val="16"/>
              </w:rPr>
              <w:t>Surgical</w:t>
            </w:r>
            <w:r w:rsidRPr="00FC5566">
              <w:rPr>
                <w:spacing w:val="-6"/>
                <w:sz w:val="16"/>
                <w:szCs w:val="16"/>
              </w:rPr>
              <w:t xml:space="preserve"> </w:t>
            </w:r>
            <w:r w:rsidRPr="00FC5566">
              <w:rPr>
                <w:sz w:val="16"/>
                <w:szCs w:val="16"/>
              </w:rPr>
              <w:t>Facilities,</w:t>
            </w:r>
            <w:r w:rsidRPr="00FC5566">
              <w:rPr>
                <w:spacing w:val="-5"/>
                <w:sz w:val="16"/>
                <w:szCs w:val="16"/>
              </w:rPr>
              <w:t xml:space="preserve"> </w:t>
            </w:r>
            <w:r w:rsidRPr="00FC5566">
              <w:rPr>
                <w:sz w:val="16"/>
                <w:szCs w:val="16"/>
              </w:rPr>
              <w:t>Renal</w:t>
            </w:r>
            <w:r w:rsidRPr="00FC5566">
              <w:rPr>
                <w:spacing w:val="-7"/>
                <w:sz w:val="16"/>
                <w:szCs w:val="16"/>
              </w:rPr>
              <w:t xml:space="preserve"> </w:t>
            </w:r>
            <w:r w:rsidRPr="00FC5566">
              <w:rPr>
                <w:sz w:val="16"/>
                <w:szCs w:val="16"/>
              </w:rPr>
              <w:t>Dialysis</w:t>
            </w:r>
            <w:r w:rsidRPr="00FC5566">
              <w:rPr>
                <w:spacing w:val="-5"/>
                <w:sz w:val="16"/>
                <w:szCs w:val="16"/>
              </w:rPr>
              <w:t xml:space="preserve"> </w:t>
            </w:r>
            <w:r w:rsidRPr="00FC5566">
              <w:rPr>
                <w:sz w:val="16"/>
                <w:szCs w:val="16"/>
              </w:rPr>
              <w:t>Facilities,</w:t>
            </w:r>
            <w:r w:rsidRPr="00FC5566">
              <w:rPr>
                <w:spacing w:val="-5"/>
                <w:sz w:val="16"/>
                <w:szCs w:val="16"/>
              </w:rPr>
              <w:t xml:space="preserve"> </w:t>
            </w:r>
            <w:r w:rsidRPr="00FC5566">
              <w:rPr>
                <w:sz w:val="16"/>
                <w:szCs w:val="16"/>
              </w:rPr>
              <w:t>Veterinary</w:t>
            </w:r>
            <w:r w:rsidRPr="00FC5566">
              <w:rPr>
                <w:spacing w:val="-8"/>
                <w:sz w:val="16"/>
                <w:szCs w:val="16"/>
              </w:rPr>
              <w:t xml:space="preserve"> </w:t>
            </w:r>
            <w:r w:rsidRPr="00FC5566">
              <w:rPr>
                <w:spacing w:val="-2"/>
                <w:sz w:val="16"/>
                <w:szCs w:val="16"/>
              </w:rPr>
              <w:t>Clinics</w:t>
            </w:r>
          </w:p>
        </w:tc>
        <w:tc>
          <w:tcPr>
            <w:tcW w:w="1080" w:type="dxa"/>
            <w:vMerge/>
            <w:tcBorders>
              <w:top w:val="nil"/>
              <w:left w:val="double" w:sz="6" w:space="0" w:color="000000"/>
              <w:bottom w:val="nil"/>
              <w:right w:val="single" w:sz="6" w:space="0" w:color="000000"/>
            </w:tcBorders>
            <w:vAlign w:val="center"/>
            <w:hideMark/>
          </w:tcPr>
          <w:p w14:paraId="121B2990" w14:textId="77777777" w:rsidR="00FC5566" w:rsidRPr="00FC5566" w:rsidRDefault="00FC5566" w:rsidP="00FC5566">
            <w:pPr>
              <w:spacing w:line="278" w:lineRule="auto"/>
              <w:rPr>
                <w:sz w:val="16"/>
                <w:szCs w:val="16"/>
              </w:rPr>
            </w:pPr>
          </w:p>
        </w:tc>
      </w:tr>
      <w:tr w:rsidR="00FC5566" w:rsidRPr="00FC5566" w14:paraId="7F0CA553" w14:textId="77777777" w:rsidTr="00B247D5">
        <w:trPr>
          <w:trHeight w:val="184"/>
        </w:trPr>
        <w:tc>
          <w:tcPr>
            <w:tcW w:w="1260" w:type="dxa"/>
            <w:gridSpan w:val="2"/>
            <w:vMerge/>
            <w:tcBorders>
              <w:top w:val="nil"/>
              <w:left w:val="single" w:sz="6" w:space="0" w:color="000000"/>
              <w:bottom w:val="nil"/>
              <w:right w:val="double" w:sz="6" w:space="0" w:color="000000"/>
            </w:tcBorders>
            <w:vAlign w:val="center"/>
            <w:hideMark/>
          </w:tcPr>
          <w:p w14:paraId="6C75A860" w14:textId="77777777" w:rsidR="00FC5566" w:rsidRPr="00FC5566" w:rsidRDefault="00FC5566" w:rsidP="00FC5566">
            <w:pPr>
              <w:spacing w:line="278" w:lineRule="auto"/>
              <w:rPr>
                <w:sz w:val="16"/>
                <w:szCs w:val="16"/>
              </w:rPr>
            </w:pPr>
          </w:p>
        </w:tc>
        <w:tc>
          <w:tcPr>
            <w:tcW w:w="8190" w:type="dxa"/>
            <w:gridSpan w:val="2"/>
            <w:tcBorders>
              <w:top w:val="single" w:sz="6" w:space="0" w:color="000000"/>
              <w:left w:val="double" w:sz="6" w:space="0" w:color="000000"/>
              <w:bottom w:val="single" w:sz="6" w:space="0" w:color="000000"/>
              <w:right w:val="double" w:sz="6" w:space="0" w:color="000000"/>
            </w:tcBorders>
            <w:hideMark/>
          </w:tcPr>
          <w:p w14:paraId="78C95964" w14:textId="77777777" w:rsidR="00FC5566" w:rsidRPr="00FC5566" w:rsidRDefault="00FC5566" w:rsidP="00FC5566">
            <w:pPr>
              <w:widowControl w:val="0"/>
              <w:autoSpaceDE w:val="0"/>
              <w:autoSpaceDN w:val="0"/>
              <w:spacing w:line="164" w:lineRule="exact"/>
              <w:ind w:left="91"/>
              <w:rPr>
                <w:sz w:val="16"/>
                <w:szCs w:val="16"/>
              </w:rPr>
            </w:pPr>
            <w:r w:rsidRPr="00FC5566">
              <w:rPr>
                <w:sz w:val="16"/>
                <w:szCs w:val="16"/>
              </w:rPr>
              <w:t>2. Funeral</w:t>
            </w:r>
            <w:r w:rsidRPr="00FC5566">
              <w:rPr>
                <w:spacing w:val="-4"/>
                <w:sz w:val="16"/>
                <w:szCs w:val="16"/>
              </w:rPr>
              <w:t xml:space="preserve"> </w:t>
            </w:r>
            <w:r w:rsidRPr="00FC5566">
              <w:rPr>
                <w:sz w:val="16"/>
                <w:szCs w:val="16"/>
              </w:rPr>
              <w:t>Homes,</w:t>
            </w:r>
            <w:r w:rsidRPr="00FC5566">
              <w:rPr>
                <w:spacing w:val="-1"/>
                <w:sz w:val="16"/>
                <w:szCs w:val="16"/>
              </w:rPr>
              <w:t xml:space="preserve"> </w:t>
            </w:r>
            <w:r w:rsidRPr="00FC5566">
              <w:rPr>
                <w:spacing w:val="-2"/>
                <w:sz w:val="16"/>
                <w:szCs w:val="16"/>
              </w:rPr>
              <w:t>Mortuaries</w:t>
            </w:r>
          </w:p>
        </w:tc>
        <w:tc>
          <w:tcPr>
            <w:tcW w:w="1080" w:type="dxa"/>
            <w:vMerge/>
            <w:tcBorders>
              <w:top w:val="nil"/>
              <w:left w:val="double" w:sz="6" w:space="0" w:color="000000"/>
              <w:bottom w:val="nil"/>
              <w:right w:val="single" w:sz="6" w:space="0" w:color="000000"/>
            </w:tcBorders>
            <w:vAlign w:val="center"/>
            <w:hideMark/>
          </w:tcPr>
          <w:p w14:paraId="5F774E88" w14:textId="77777777" w:rsidR="00FC5566" w:rsidRPr="00FC5566" w:rsidRDefault="00FC5566" w:rsidP="00FC5566">
            <w:pPr>
              <w:spacing w:line="278" w:lineRule="auto"/>
              <w:rPr>
                <w:sz w:val="16"/>
                <w:szCs w:val="16"/>
              </w:rPr>
            </w:pPr>
          </w:p>
        </w:tc>
      </w:tr>
      <w:tr w:rsidR="00FC5566" w:rsidRPr="00FC5566" w14:paraId="645586CD" w14:textId="77777777" w:rsidTr="00B247D5">
        <w:trPr>
          <w:trHeight w:val="184"/>
        </w:trPr>
        <w:tc>
          <w:tcPr>
            <w:tcW w:w="1260" w:type="dxa"/>
            <w:gridSpan w:val="2"/>
            <w:vMerge/>
            <w:tcBorders>
              <w:top w:val="nil"/>
              <w:left w:val="single" w:sz="6" w:space="0" w:color="000000"/>
              <w:bottom w:val="nil"/>
              <w:right w:val="double" w:sz="6" w:space="0" w:color="000000"/>
            </w:tcBorders>
            <w:vAlign w:val="center"/>
            <w:hideMark/>
          </w:tcPr>
          <w:p w14:paraId="232F4CE7" w14:textId="77777777" w:rsidR="00FC5566" w:rsidRPr="00FC5566" w:rsidRDefault="00FC5566" w:rsidP="00FC5566">
            <w:pPr>
              <w:spacing w:line="278" w:lineRule="auto"/>
              <w:rPr>
                <w:sz w:val="16"/>
                <w:szCs w:val="16"/>
              </w:rPr>
            </w:pPr>
          </w:p>
        </w:tc>
        <w:tc>
          <w:tcPr>
            <w:tcW w:w="8190" w:type="dxa"/>
            <w:gridSpan w:val="2"/>
            <w:tcBorders>
              <w:top w:val="single" w:sz="6" w:space="0" w:color="000000"/>
              <w:left w:val="double" w:sz="6" w:space="0" w:color="000000"/>
              <w:bottom w:val="single" w:sz="6" w:space="0" w:color="000000"/>
              <w:right w:val="double" w:sz="6" w:space="0" w:color="000000"/>
            </w:tcBorders>
            <w:hideMark/>
          </w:tcPr>
          <w:p w14:paraId="68A5F52F" w14:textId="77777777" w:rsidR="00FC5566" w:rsidRPr="00FC5566" w:rsidRDefault="00FC5566" w:rsidP="00FC5566">
            <w:pPr>
              <w:widowControl w:val="0"/>
              <w:autoSpaceDE w:val="0"/>
              <w:autoSpaceDN w:val="0"/>
              <w:spacing w:line="164" w:lineRule="exact"/>
              <w:ind w:left="91"/>
              <w:rPr>
                <w:sz w:val="16"/>
                <w:szCs w:val="16"/>
              </w:rPr>
            </w:pPr>
            <w:r w:rsidRPr="00FC5566">
              <w:rPr>
                <w:sz w:val="16"/>
                <w:szCs w:val="16"/>
              </w:rPr>
              <w:t>3. Car Wash Systems</w:t>
            </w:r>
          </w:p>
        </w:tc>
        <w:tc>
          <w:tcPr>
            <w:tcW w:w="1080" w:type="dxa"/>
            <w:vMerge/>
            <w:tcBorders>
              <w:top w:val="nil"/>
              <w:left w:val="double" w:sz="6" w:space="0" w:color="000000"/>
              <w:bottom w:val="nil"/>
              <w:right w:val="single" w:sz="6" w:space="0" w:color="000000"/>
            </w:tcBorders>
            <w:vAlign w:val="center"/>
            <w:hideMark/>
          </w:tcPr>
          <w:p w14:paraId="41BBFFEA" w14:textId="77777777" w:rsidR="00FC5566" w:rsidRPr="00FC5566" w:rsidRDefault="00FC5566" w:rsidP="00FC5566">
            <w:pPr>
              <w:spacing w:line="278" w:lineRule="auto"/>
              <w:rPr>
                <w:sz w:val="16"/>
                <w:szCs w:val="16"/>
              </w:rPr>
            </w:pPr>
          </w:p>
        </w:tc>
      </w:tr>
      <w:tr w:rsidR="00FC5566" w:rsidRPr="00FC5566" w14:paraId="06D0572D" w14:textId="77777777" w:rsidTr="00B247D5">
        <w:trPr>
          <w:trHeight w:val="184"/>
        </w:trPr>
        <w:tc>
          <w:tcPr>
            <w:tcW w:w="1260" w:type="dxa"/>
            <w:gridSpan w:val="2"/>
            <w:vMerge/>
            <w:tcBorders>
              <w:top w:val="nil"/>
              <w:left w:val="single" w:sz="6" w:space="0" w:color="000000"/>
              <w:bottom w:val="nil"/>
              <w:right w:val="double" w:sz="6" w:space="0" w:color="000000"/>
            </w:tcBorders>
            <w:vAlign w:val="center"/>
            <w:hideMark/>
          </w:tcPr>
          <w:p w14:paraId="40215BA9" w14:textId="77777777" w:rsidR="00FC5566" w:rsidRPr="00FC5566" w:rsidRDefault="00FC5566" w:rsidP="00FC5566">
            <w:pPr>
              <w:spacing w:line="278" w:lineRule="auto"/>
              <w:rPr>
                <w:sz w:val="16"/>
                <w:szCs w:val="16"/>
              </w:rPr>
            </w:pPr>
          </w:p>
        </w:tc>
        <w:tc>
          <w:tcPr>
            <w:tcW w:w="8190" w:type="dxa"/>
            <w:gridSpan w:val="2"/>
            <w:tcBorders>
              <w:top w:val="single" w:sz="6" w:space="0" w:color="000000"/>
              <w:left w:val="double" w:sz="6" w:space="0" w:color="000000"/>
              <w:bottom w:val="single" w:sz="6" w:space="0" w:color="000000"/>
              <w:right w:val="double" w:sz="6" w:space="0" w:color="000000"/>
            </w:tcBorders>
            <w:hideMark/>
          </w:tcPr>
          <w:p w14:paraId="5AC63F87" w14:textId="77777777" w:rsidR="00FC5566" w:rsidRPr="00FC5566" w:rsidRDefault="00FC5566" w:rsidP="00FC5566">
            <w:pPr>
              <w:widowControl w:val="0"/>
              <w:autoSpaceDE w:val="0"/>
              <w:autoSpaceDN w:val="0"/>
              <w:spacing w:line="164" w:lineRule="exact"/>
              <w:ind w:left="91"/>
              <w:rPr>
                <w:sz w:val="16"/>
                <w:szCs w:val="16"/>
              </w:rPr>
            </w:pPr>
            <w:r w:rsidRPr="00FC5566">
              <w:rPr>
                <w:sz w:val="16"/>
                <w:szCs w:val="16"/>
              </w:rPr>
              <w:t>4. Sewage Facilities</w:t>
            </w:r>
          </w:p>
        </w:tc>
        <w:tc>
          <w:tcPr>
            <w:tcW w:w="1080" w:type="dxa"/>
            <w:vMerge/>
            <w:tcBorders>
              <w:top w:val="nil"/>
              <w:left w:val="double" w:sz="6" w:space="0" w:color="000000"/>
              <w:bottom w:val="nil"/>
              <w:right w:val="single" w:sz="6" w:space="0" w:color="000000"/>
            </w:tcBorders>
            <w:vAlign w:val="center"/>
            <w:hideMark/>
          </w:tcPr>
          <w:p w14:paraId="028015C8" w14:textId="77777777" w:rsidR="00FC5566" w:rsidRPr="00FC5566" w:rsidRDefault="00FC5566" w:rsidP="00FC5566">
            <w:pPr>
              <w:spacing w:line="278" w:lineRule="auto"/>
              <w:rPr>
                <w:sz w:val="16"/>
                <w:szCs w:val="16"/>
              </w:rPr>
            </w:pPr>
          </w:p>
        </w:tc>
      </w:tr>
      <w:tr w:rsidR="00FC5566" w:rsidRPr="00FC5566" w14:paraId="0D84F71D" w14:textId="77777777" w:rsidTr="00B247D5">
        <w:trPr>
          <w:trHeight w:val="184"/>
        </w:trPr>
        <w:tc>
          <w:tcPr>
            <w:tcW w:w="1260" w:type="dxa"/>
            <w:gridSpan w:val="2"/>
            <w:vMerge/>
            <w:tcBorders>
              <w:top w:val="nil"/>
              <w:left w:val="single" w:sz="6" w:space="0" w:color="000000"/>
              <w:bottom w:val="nil"/>
              <w:right w:val="double" w:sz="6" w:space="0" w:color="000000"/>
            </w:tcBorders>
            <w:vAlign w:val="center"/>
            <w:hideMark/>
          </w:tcPr>
          <w:p w14:paraId="01AD11B3" w14:textId="77777777" w:rsidR="00FC5566" w:rsidRPr="00FC5566" w:rsidRDefault="00FC5566" w:rsidP="00FC5566">
            <w:pPr>
              <w:spacing w:line="278" w:lineRule="auto"/>
              <w:rPr>
                <w:sz w:val="16"/>
                <w:szCs w:val="16"/>
              </w:rPr>
            </w:pPr>
          </w:p>
        </w:tc>
        <w:tc>
          <w:tcPr>
            <w:tcW w:w="8190" w:type="dxa"/>
            <w:gridSpan w:val="2"/>
            <w:tcBorders>
              <w:top w:val="single" w:sz="6" w:space="0" w:color="000000"/>
              <w:left w:val="double" w:sz="6" w:space="0" w:color="000000"/>
              <w:bottom w:val="single" w:sz="6" w:space="0" w:color="000000"/>
              <w:right w:val="double" w:sz="6" w:space="0" w:color="000000"/>
            </w:tcBorders>
            <w:hideMark/>
          </w:tcPr>
          <w:p w14:paraId="678CBAE9" w14:textId="77777777" w:rsidR="00FC5566" w:rsidRPr="00FC5566" w:rsidRDefault="00FC5566" w:rsidP="00FC5566">
            <w:pPr>
              <w:widowControl w:val="0"/>
              <w:autoSpaceDE w:val="0"/>
              <w:autoSpaceDN w:val="0"/>
              <w:spacing w:line="164" w:lineRule="exact"/>
              <w:ind w:left="91"/>
              <w:rPr>
                <w:sz w:val="16"/>
                <w:szCs w:val="16"/>
              </w:rPr>
            </w:pPr>
            <w:r w:rsidRPr="00FC5566">
              <w:rPr>
                <w:sz w:val="16"/>
                <w:szCs w:val="16"/>
              </w:rPr>
              <w:t>5. Chemical or Petroleum Processing Plants</w:t>
            </w:r>
          </w:p>
        </w:tc>
        <w:tc>
          <w:tcPr>
            <w:tcW w:w="1080" w:type="dxa"/>
            <w:vMerge/>
            <w:tcBorders>
              <w:top w:val="nil"/>
              <w:left w:val="double" w:sz="6" w:space="0" w:color="000000"/>
              <w:bottom w:val="nil"/>
              <w:right w:val="single" w:sz="6" w:space="0" w:color="000000"/>
            </w:tcBorders>
            <w:vAlign w:val="center"/>
            <w:hideMark/>
          </w:tcPr>
          <w:p w14:paraId="1CEB64C1" w14:textId="77777777" w:rsidR="00FC5566" w:rsidRPr="00FC5566" w:rsidRDefault="00FC5566" w:rsidP="00FC5566">
            <w:pPr>
              <w:spacing w:line="278" w:lineRule="auto"/>
              <w:rPr>
                <w:sz w:val="16"/>
                <w:szCs w:val="16"/>
              </w:rPr>
            </w:pPr>
          </w:p>
        </w:tc>
      </w:tr>
      <w:tr w:rsidR="00FC5566" w:rsidRPr="00FC5566" w14:paraId="45C87851" w14:textId="77777777" w:rsidTr="00B247D5">
        <w:trPr>
          <w:trHeight w:val="184"/>
        </w:trPr>
        <w:tc>
          <w:tcPr>
            <w:tcW w:w="1260" w:type="dxa"/>
            <w:gridSpan w:val="2"/>
            <w:vMerge/>
            <w:tcBorders>
              <w:top w:val="nil"/>
              <w:left w:val="single" w:sz="6" w:space="0" w:color="000000"/>
              <w:bottom w:val="nil"/>
              <w:right w:val="double" w:sz="6" w:space="0" w:color="000000"/>
            </w:tcBorders>
            <w:vAlign w:val="center"/>
            <w:hideMark/>
          </w:tcPr>
          <w:p w14:paraId="4108D373" w14:textId="77777777" w:rsidR="00FC5566" w:rsidRPr="00FC5566" w:rsidRDefault="00FC5566" w:rsidP="00FC5566">
            <w:pPr>
              <w:spacing w:line="278" w:lineRule="auto"/>
              <w:rPr>
                <w:sz w:val="16"/>
                <w:szCs w:val="16"/>
              </w:rPr>
            </w:pPr>
          </w:p>
        </w:tc>
        <w:tc>
          <w:tcPr>
            <w:tcW w:w="8190" w:type="dxa"/>
            <w:gridSpan w:val="2"/>
            <w:tcBorders>
              <w:top w:val="single" w:sz="6" w:space="0" w:color="000000"/>
              <w:left w:val="double" w:sz="6" w:space="0" w:color="000000"/>
              <w:bottom w:val="single" w:sz="6" w:space="0" w:color="000000"/>
              <w:right w:val="double" w:sz="6" w:space="0" w:color="000000"/>
            </w:tcBorders>
            <w:hideMark/>
          </w:tcPr>
          <w:p w14:paraId="0AA4BA4C" w14:textId="77777777" w:rsidR="00FC5566" w:rsidRPr="00FC5566" w:rsidRDefault="00FC5566" w:rsidP="00FC5566">
            <w:pPr>
              <w:widowControl w:val="0"/>
              <w:autoSpaceDE w:val="0"/>
              <w:autoSpaceDN w:val="0"/>
              <w:spacing w:line="164" w:lineRule="exact"/>
              <w:ind w:left="91"/>
              <w:rPr>
                <w:sz w:val="16"/>
                <w:szCs w:val="16"/>
              </w:rPr>
            </w:pPr>
            <w:r w:rsidRPr="00FC5566">
              <w:rPr>
                <w:sz w:val="16"/>
                <w:szCs w:val="16"/>
              </w:rPr>
              <w:t>6. Animal/Poultry Feedlots or Brooding Facilities</w:t>
            </w:r>
          </w:p>
        </w:tc>
        <w:tc>
          <w:tcPr>
            <w:tcW w:w="1080" w:type="dxa"/>
            <w:vMerge/>
            <w:tcBorders>
              <w:top w:val="nil"/>
              <w:left w:val="double" w:sz="6" w:space="0" w:color="000000"/>
              <w:bottom w:val="nil"/>
              <w:right w:val="single" w:sz="6" w:space="0" w:color="000000"/>
            </w:tcBorders>
            <w:vAlign w:val="center"/>
            <w:hideMark/>
          </w:tcPr>
          <w:p w14:paraId="6C8BAF14" w14:textId="77777777" w:rsidR="00FC5566" w:rsidRPr="00FC5566" w:rsidRDefault="00FC5566" w:rsidP="00FC5566">
            <w:pPr>
              <w:spacing w:line="278" w:lineRule="auto"/>
              <w:rPr>
                <w:sz w:val="16"/>
                <w:szCs w:val="16"/>
              </w:rPr>
            </w:pPr>
          </w:p>
        </w:tc>
      </w:tr>
      <w:tr w:rsidR="00FC5566" w:rsidRPr="00FC5566" w14:paraId="14552F5F" w14:textId="77777777" w:rsidTr="00B247D5">
        <w:trPr>
          <w:trHeight w:val="181"/>
        </w:trPr>
        <w:tc>
          <w:tcPr>
            <w:tcW w:w="1260" w:type="dxa"/>
            <w:gridSpan w:val="2"/>
            <w:vMerge/>
            <w:tcBorders>
              <w:top w:val="nil"/>
              <w:left w:val="single" w:sz="6" w:space="0" w:color="000000"/>
              <w:bottom w:val="nil"/>
              <w:right w:val="double" w:sz="6" w:space="0" w:color="000000"/>
            </w:tcBorders>
            <w:vAlign w:val="center"/>
            <w:hideMark/>
          </w:tcPr>
          <w:p w14:paraId="36BCA48D" w14:textId="77777777" w:rsidR="00FC5566" w:rsidRPr="00FC5566" w:rsidRDefault="00FC5566" w:rsidP="00FC5566">
            <w:pPr>
              <w:spacing w:line="278" w:lineRule="auto"/>
              <w:rPr>
                <w:sz w:val="16"/>
                <w:szCs w:val="16"/>
              </w:rPr>
            </w:pPr>
          </w:p>
        </w:tc>
        <w:tc>
          <w:tcPr>
            <w:tcW w:w="8190" w:type="dxa"/>
            <w:gridSpan w:val="2"/>
            <w:tcBorders>
              <w:top w:val="single" w:sz="6" w:space="0" w:color="000000"/>
              <w:left w:val="double" w:sz="6" w:space="0" w:color="000000"/>
              <w:bottom w:val="single" w:sz="6" w:space="0" w:color="000000"/>
              <w:right w:val="double" w:sz="6" w:space="0" w:color="000000"/>
            </w:tcBorders>
            <w:hideMark/>
          </w:tcPr>
          <w:p w14:paraId="7E0188FD" w14:textId="77777777" w:rsidR="00FC5566" w:rsidRPr="00FC5566" w:rsidRDefault="00FC5566" w:rsidP="00FC5566">
            <w:pPr>
              <w:widowControl w:val="0"/>
              <w:autoSpaceDE w:val="0"/>
              <w:autoSpaceDN w:val="0"/>
              <w:spacing w:line="162" w:lineRule="exact"/>
              <w:ind w:left="91"/>
              <w:rPr>
                <w:sz w:val="16"/>
                <w:szCs w:val="16"/>
              </w:rPr>
            </w:pPr>
            <w:r w:rsidRPr="00FC5566">
              <w:rPr>
                <w:sz w:val="16"/>
                <w:szCs w:val="16"/>
              </w:rPr>
              <w:t>7. Meat Processing Plants</w:t>
            </w:r>
          </w:p>
        </w:tc>
        <w:tc>
          <w:tcPr>
            <w:tcW w:w="1080" w:type="dxa"/>
            <w:vMerge/>
            <w:tcBorders>
              <w:top w:val="nil"/>
              <w:left w:val="double" w:sz="6" w:space="0" w:color="000000"/>
              <w:bottom w:val="nil"/>
              <w:right w:val="single" w:sz="6" w:space="0" w:color="000000"/>
            </w:tcBorders>
            <w:vAlign w:val="center"/>
            <w:hideMark/>
          </w:tcPr>
          <w:p w14:paraId="1BF154F6" w14:textId="77777777" w:rsidR="00FC5566" w:rsidRPr="00FC5566" w:rsidRDefault="00FC5566" w:rsidP="00FC5566">
            <w:pPr>
              <w:spacing w:line="278" w:lineRule="auto"/>
              <w:rPr>
                <w:sz w:val="16"/>
                <w:szCs w:val="16"/>
              </w:rPr>
            </w:pPr>
          </w:p>
        </w:tc>
      </w:tr>
      <w:tr w:rsidR="00FC5566" w:rsidRPr="00FC5566" w14:paraId="66970BAA" w14:textId="77777777" w:rsidTr="00B247D5">
        <w:trPr>
          <w:trHeight w:val="184"/>
        </w:trPr>
        <w:tc>
          <w:tcPr>
            <w:tcW w:w="1260" w:type="dxa"/>
            <w:gridSpan w:val="2"/>
            <w:vMerge/>
            <w:tcBorders>
              <w:top w:val="nil"/>
              <w:left w:val="single" w:sz="6" w:space="0" w:color="000000"/>
              <w:bottom w:val="nil"/>
              <w:right w:val="double" w:sz="6" w:space="0" w:color="000000"/>
            </w:tcBorders>
            <w:vAlign w:val="center"/>
            <w:hideMark/>
          </w:tcPr>
          <w:p w14:paraId="2307065C" w14:textId="77777777" w:rsidR="00FC5566" w:rsidRPr="00FC5566" w:rsidRDefault="00FC5566" w:rsidP="00FC5566">
            <w:pPr>
              <w:spacing w:line="278" w:lineRule="auto"/>
              <w:rPr>
                <w:sz w:val="16"/>
                <w:szCs w:val="16"/>
              </w:rPr>
            </w:pPr>
          </w:p>
        </w:tc>
        <w:tc>
          <w:tcPr>
            <w:tcW w:w="8190" w:type="dxa"/>
            <w:gridSpan w:val="2"/>
            <w:tcBorders>
              <w:top w:val="single" w:sz="6" w:space="0" w:color="000000"/>
              <w:left w:val="double" w:sz="6" w:space="0" w:color="000000"/>
              <w:bottom w:val="single" w:sz="6" w:space="0" w:color="000000"/>
              <w:right w:val="double" w:sz="6" w:space="0" w:color="000000"/>
            </w:tcBorders>
            <w:hideMark/>
          </w:tcPr>
          <w:p w14:paraId="5F8BCFC3" w14:textId="77777777" w:rsidR="00FC5566" w:rsidRPr="00FC5566" w:rsidRDefault="00FC5566" w:rsidP="00FC5566">
            <w:pPr>
              <w:widowControl w:val="0"/>
              <w:autoSpaceDE w:val="0"/>
              <w:autoSpaceDN w:val="0"/>
              <w:spacing w:line="164" w:lineRule="exact"/>
              <w:ind w:left="91"/>
              <w:rPr>
                <w:sz w:val="16"/>
                <w:szCs w:val="16"/>
              </w:rPr>
            </w:pPr>
            <w:r w:rsidRPr="00FC5566">
              <w:rPr>
                <w:sz w:val="16"/>
                <w:szCs w:val="16"/>
              </w:rPr>
              <w:t>8. Metal Plating Plants</w:t>
            </w:r>
          </w:p>
        </w:tc>
        <w:tc>
          <w:tcPr>
            <w:tcW w:w="1080" w:type="dxa"/>
            <w:vMerge/>
            <w:tcBorders>
              <w:top w:val="nil"/>
              <w:left w:val="double" w:sz="6" w:space="0" w:color="000000"/>
              <w:bottom w:val="nil"/>
              <w:right w:val="single" w:sz="6" w:space="0" w:color="000000"/>
            </w:tcBorders>
            <w:vAlign w:val="center"/>
            <w:hideMark/>
          </w:tcPr>
          <w:p w14:paraId="11AE4B9A" w14:textId="77777777" w:rsidR="00FC5566" w:rsidRPr="00FC5566" w:rsidRDefault="00FC5566" w:rsidP="00FC5566">
            <w:pPr>
              <w:spacing w:line="278" w:lineRule="auto"/>
              <w:rPr>
                <w:sz w:val="16"/>
                <w:szCs w:val="16"/>
              </w:rPr>
            </w:pPr>
          </w:p>
        </w:tc>
      </w:tr>
      <w:tr w:rsidR="00FC5566" w:rsidRPr="00FC5566" w14:paraId="18B0E4DA" w14:textId="77777777" w:rsidTr="00B247D5">
        <w:trPr>
          <w:trHeight w:val="184"/>
        </w:trPr>
        <w:tc>
          <w:tcPr>
            <w:tcW w:w="1260" w:type="dxa"/>
            <w:gridSpan w:val="2"/>
            <w:vMerge/>
            <w:tcBorders>
              <w:top w:val="nil"/>
              <w:left w:val="single" w:sz="6" w:space="0" w:color="000000"/>
              <w:bottom w:val="nil"/>
              <w:right w:val="double" w:sz="6" w:space="0" w:color="000000"/>
            </w:tcBorders>
            <w:vAlign w:val="center"/>
            <w:hideMark/>
          </w:tcPr>
          <w:p w14:paraId="4BA765DA" w14:textId="77777777" w:rsidR="00FC5566" w:rsidRPr="00FC5566" w:rsidRDefault="00FC5566" w:rsidP="00FC5566">
            <w:pPr>
              <w:spacing w:line="278" w:lineRule="auto"/>
              <w:rPr>
                <w:sz w:val="16"/>
                <w:szCs w:val="16"/>
              </w:rPr>
            </w:pPr>
          </w:p>
        </w:tc>
        <w:tc>
          <w:tcPr>
            <w:tcW w:w="8190" w:type="dxa"/>
            <w:gridSpan w:val="2"/>
            <w:tcBorders>
              <w:top w:val="single" w:sz="6" w:space="0" w:color="000000"/>
              <w:left w:val="double" w:sz="6" w:space="0" w:color="000000"/>
              <w:bottom w:val="single" w:sz="6" w:space="0" w:color="000000"/>
              <w:right w:val="double" w:sz="6" w:space="0" w:color="000000"/>
            </w:tcBorders>
            <w:hideMark/>
          </w:tcPr>
          <w:p w14:paraId="6FFB4804" w14:textId="77777777" w:rsidR="00FC5566" w:rsidRPr="00FC5566" w:rsidRDefault="00FC5566" w:rsidP="00FC5566">
            <w:pPr>
              <w:widowControl w:val="0"/>
              <w:autoSpaceDE w:val="0"/>
              <w:autoSpaceDN w:val="0"/>
              <w:spacing w:line="164" w:lineRule="exact"/>
              <w:ind w:left="91"/>
              <w:rPr>
                <w:sz w:val="16"/>
                <w:szCs w:val="16"/>
              </w:rPr>
            </w:pPr>
            <w:r w:rsidRPr="00FC5566">
              <w:rPr>
                <w:sz w:val="16"/>
                <w:szCs w:val="16"/>
              </w:rPr>
              <w:t>9. Food Processing Plants, Beverage Processing Plants</w:t>
            </w:r>
          </w:p>
        </w:tc>
        <w:tc>
          <w:tcPr>
            <w:tcW w:w="1080" w:type="dxa"/>
            <w:vMerge/>
            <w:tcBorders>
              <w:top w:val="nil"/>
              <w:left w:val="double" w:sz="6" w:space="0" w:color="000000"/>
              <w:bottom w:val="nil"/>
              <w:right w:val="single" w:sz="6" w:space="0" w:color="000000"/>
            </w:tcBorders>
            <w:vAlign w:val="center"/>
            <w:hideMark/>
          </w:tcPr>
          <w:p w14:paraId="1606A9E8" w14:textId="77777777" w:rsidR="00FC5566" w:rsidRPr="00FC5566" w:rsidRDefault="00FC5566" w:rsidP="00FC5566">
            <w:pPr>
              <w:spacing w:line="278" w:lineRule="auto"/>
              <w:rPr>
                <w:sz w:val="16"/>
                <w:szCs w:val="16"/>
              </w:rPr>
            </w:pPr>
          </w:p>
        </w:tc>
      </w:tr>
      <w:tr w:rsidR="00FC5566" w:rsidRPr="00FC5566" w14:paraId="74370693" w14:textId="77777777" w:rsidTr="00B247D5">
        <w:trPr>
          <w:trHeight w:val="369"/>
        </w:trPr>
        <w:tc>
          <w:tcPr>
            <w:tcW w:w="1260" w:type="dxa"/>
            <w:gridSpan w:val="2"/>
            <w:vMerge/>
            <w:tcBorders>
              <w:top w:val="nil"/>
              <w:left w:val="single" w:sz="6" w:space="0" w:color="000000"/>
              <w:bottom w:val="nil"/>
              <w:right w:val="double" w:sz="6" w:space="0" w:color="000000"/>
            </w:tcBorders>
            <w:vAlign w:val="center"/>
            <w:hideMark/>
          </w:tcPr>
          <w:p w14:paraId="5548422E" w14:textId="77777777" w:rsidR="00FC5566" w:rsidRPr="00FC5566" w:rsidRDefault="00FC5566" w:rsidP="00FC5566">
            <w:pPr>
              <w:spacing w:line="278" w:lineRule="auto"/>
              <w:rPr>
                <w:sz w:val="16"/>
                <w:szCs w:val="16"/>
              </w:rPr>
            </w:pPr>
          </w:p>
        </w:tc>
        <w:tc>
          <w:tcPr>
            <w:tcW w:w="8190" w:type="dxa"/>
            <w:gridSpan w:val="2"/>
            <w:tcBorders>
              <w:top w:val="single" w:sz="6" w:space="0" w:color="000000"/>
              <w:left w:val="double" w:sz="6" w:space="0" w:color="000000"/>
              <w:bottom w:val="single" w:sz="6" w:space="0" w:color="000000"/>
              <w:right w:val="double" w:sz="6" w:space="0" w:color="000000"/>
            </w:tcBorders>
            <w:hideMark/>
          </w:tcPr>
          <w:p w14:paraId="501FC763" w14:textId="77777777" w:rsidR="00FC5566" w:rsidRPr="00FC5566" w:rsidRDefault="00FC5566" w:rsidP="00FC5566">
            <w:pPr>
              <w:widowControl w:val="0"/>
              <w:autoSpaceDE w:val="0"/>
              <w:autoSpaceDN w:val="0"/>
              <w:spacing w:line="181" w:lineRule="exact"/>
              <w:ind w:left="91"/>
              <w:rPr>
                <w:sz w:val="16"/>
                <w:szCs w:val="16"/>
              </w:rPr>
            </w:pPr>
            <w:r w:rsidRPr="00FC5566">
              <w:rPr>
                <w:sz w:val="16"/>
                <w:szCs w:val="16"/>
              </w:rPr>
              <w:t>10. Fire Protection/Sprinkler Systems using antifreeze in such system (a detector type assembly is required on unmetered</w:t>
            </w:r>
          </w:p>
          <w:p w14:paraId="6E30F149" w14:textId="77777777" w:rsidR="00FC5566" w:rsidRPr="00FC5566" w:rsidRDefault="00FC5566" w:rsidP="00FC5566">
            <w:pPr>
              <w:widowControl w:val="0"/>
              <w:autoSpaceDE w:val="0"/>
              <w:autoSpaceDN w:val="0"/>
              <w:spacing w:before="1" w:line="167" w:lineRule="exact"/>
              <w:ind w:left="91"/>
              <w:rPr>
                <w:sz w:val="16"/>
                <w:szCs w:val="16"/>
              </w:rPr>
            </w:pPr>
            <w:r w:rsidRPr="00FC5566">
              <w:rPr>
                <w:sz w:val="16"/>
                <w:szCs w:val="16"/>
              </w:rPr>
              <w:t>fire lines)</w:t>
            </w:r>
          </w:p>
        </w:tc>
        <w:tc>
          <w:tcPr>
            <w:tcW w:w="1080" w:type="dxa"/>
            <w:vMerge/>
            <w:tcBorders>
              <w:top w:val="nil"/>
              <w:left w:val="double" w:sz="6" w:space="0" w:color="000000"/>
              <w:bottom w:val="nil"/>
              <w:right w:val="single" w:sz="6" w:space="0" w:color="000000"/>
            </w:tcBorders>
            <w:vAlign w:val="center"/>
            <w:hideMark/>
          </w:tcPr>
          <w:p w14:paraId="66A572EE" w14:textId="77777777" w:rsidR="00FC5566" w:rsidRPr="00FC5566" w:rsidRDefault="00FC5566" w:rsidP="00FC5566">
            <w:pPr>
              <w:spacing w:line="278" w:lineRule="auto"/>
              <w:rPr>
                <w:sz w:val="16"/>
                <w:szCs w:val="16"/>
              </w:rPr>
            </w:pPr>
          </w:p>
        </w:tc>
      </w:tr>
      <w:tr w:rsidR="00FC5566" w:rsidRPr="00FC5566" w14:paraId="034E1DC6" w14:textId="77777777" w:rsidTr="00B247D5">
        <w:trPr>
          <w:trHeight w:val="184"/>
        </w:trPr>
        <w:tc>
          <w:tcPr>
            <w:tcW w:w="1260" w:type="dxa"/>
            <w:gridSpan w:val="2"/>
            <w:vMerge/>
            <w:tcBorders>
              <w:top w:val="nil"/>
              <w:left w:val="single" w:sz="6" w:space="0" w:color="000000"/>
              <w:bottom w:val="nil"/>
              <w:right w:val="double" w:sz="6" w:space="0" w:color="000000"/>
            </w:tcBorders>
            <w:vAlign w:val="center"/>
            <w:hideMark/>
          </w:tcPr>
          <w:p w14:paraId="7E0427BD" w14:textId="77777777" w:rsidR="00FC5566" w:rsidRPr="00FC5566" w:rsidRDefault="00FC5566" w:rsidP="00FC5566">
            <w:pPr>
              <w:spacing w:line="278" w:lineRule="auto"/>
              <w:rPr>
                <w:sz w:val="16"/>
                <w:szCs w:val="16"/>
              </w:rPr>
            </w:pPr>
          </w:p>
        </w:tc>
        <w:tc>
          <w:tcPr>
            <w:tcW w:w="8190" w:type="dxa"/>
            <w:gridSpan w:val="2"/>
            <w:tcBorders>
              <w:top w:val="single" w:sz="6" w:space="0" w:color="000000"/>
              <w:left w:val="double" w:sz="6" w:space="0" w:color="000000"/>
              <w:bottom w:val="single" w:sz="6" w:space="0" w:color="000000"/>
              <w:right w:val="double" w:sz="6" w:space="0" w:color="000000"/>
            </w:tcBorders>
            <w:hideMark/>
          </w:tcPr>
          <w:p w14:paraId="0075850F" w14:textId="77777777" w:rsidR="00FC5566" w:rsidRPr="00FC5566" w:rsidRDefault="00FC5566" w:rsidP="00FC5566">
            <w:pPr>
              <w:widowControl w:val="0"/>
              <w:autoSpaceDE w:val="0"/>
              <w:autoSpaceDN w:val="0"/>
              <w:spacing w:line="164" w:lineRule="exact"/>
              <w:ind w:left="91"/>
              <w:rPr>
                <w:sz w:val="16"/>
                <w:szCs w:val="16"/>
              </w:rPr>
            </w:pPr>
            <w:r w:rsidRPr="00FC5566">
              <w:rPr>
                <w:sz w:val="16"/>
                <w:szCs w:val="16"/>
              </w:rPr>
              <w:t>11. Irrigation/Lawn Sprinkler Systems with Fertilizer Injection</w:t>
            </w:r>
          </w:p>
        </w:tc>
        <w:tc>
          <w:tcPr>
            <w:tcW w:w="1080" w:type="dxa"/>
            <w:vMerge/>
            <w:tcBorders>
              <w:top w:val="nil"/>
              <w:left w:val="double" w:sz="6" w:space="0" w:color="000000"/>
              <w:bottom w:val="nil"/>
              <w:right w:val="single" w:sz="6" w:space="0" w:color="000000"/>
            </w:tcBorders>
            <w:vAlign w:val="center"/>
            <w:hideMark/>
          </w:tcPr>
          <w:p w14:paraId="377E4C9E" w14:textId="77777777" w:rsidR="00FC5566" w:rsidRPr="00FC5566" w:rsidRDefault="00FC5566" w:rsidP="00FC5566">
            <w:pPr>
              <w:spacing w:line="278" w:lineRule="auto"/>
              <w:rPr>
                <w:sz w:val="16"/>
                <w:szCs w:val="16"/>
              </w:rPr>
            </w:pPr>
          </w:p>
        </w:tc>
      </w:tr>
      <w:tr w:rsidR="00FC5566" w:rsidRPr="00FC5566" w14:paraId="199D9BE3" w14:textId="77777777" w:rsidTr="00B247D5">
        <w:trPr>
          <w:trHeight w:val="184"/>
        </w:trPr>
        <w:tc>
          <w:tcPr>
            <w:tcW w:w="1260" w:type="dxa"/>
            <w:gridSpan w:val="2"/>
            <w:vMerge/>
            <w:tcBorders>
              <w:top w:val="nil"/>
              <w:left w:val="single" w:sz="6" w:space="0" w:color="000000"/>
              <w:bottom w:val="nil"/>
              <w:right w:val="double" w:sz="6" w:space="0" w:color="000000"/>
            </w:tcBorders>
            <w:vAlign w:val="center"/>
            <w:hideMark/>
          </w:tcPr>
          <w:p w14:paraId="66D8E1BC" w14:textId="77777777" w:rsidR="00FC5566" w:rsidRPr="00FC5566" w:rsidRDefault="00FC5566" w:rsidP="00FC5566">
            <w:pPr>
              <w:spacing w:line="278" w:lineRule="auto"/>
              <w:rPr>
                <w:sz w:val="16"/>
                <w:szCs w:val="16"/>
              </w:rPr>
            </w:pPr>
          </w:p>
        </w:tc>
        <w:tc>
          <w:tcPr>
            <w:tcW w:w="8190" w:type="dxa"/>
            <w:gridSpan w:val="2"/>
            <w:tcBorders>
              <w:top w:val="single" w:sz="6" w:space="0" w:color="000000"/>
              <w:left w:val="double" w:sz="6" w:space="0" w:color="000000"/>
              <w:bottom w:val="single" w:sz="6" w:space="0" w:color="000000"/>
              <w:right w:val="double" w:sz="6" w:space="0" w:color="000000"/>
            </w:tcBorders>
            <w:hideMark/>
          </w:tcPr>
          <w:p w14:paraId="2958DAF8" w14:textId="77777777" w:rsidR="00FC5566" w:rsidRPr="00FC5566" w:rsidRDefault="00FC5566" w:rsidP="00FC5566">
            <w:pPr>
              <w:widowControl w:val="0"/>
              <w:autoSpaceDE w:val="0"/>
              <w:autoSpaceDN w:val="0"/>
              <w:spacing w:line="164" w:lineRule="exact"/>
              <w:ind w:left="91"/>
              <w:rPr>
                <w:sz w:val="16"/>
                <w:szCs w:val="16"/>
              </w:rPr>
            </w:pPr>
            <w:r w:rsidRPr="00FC5566">
              <w:rPr>
                <w:sz w:val="16"/>
                <w:szCs w:val="16"/>
              </w:rPr>
              <w:t>12. Marinas/Docks</w:t>
            </w:r>
          </w:p>
        </w:tc>
        <w:tc>
          <w:tcPr>
            <w:tcW w:w="1080" w:type="dxa"/>
            <w:vMerge/>
            <w:tcBorders>
              <w:top w:val="nil"/>
              <w:left w:val="double" w:sz="6" w:space="0" w:color="000000"/>
              <w:bottom w:val="nil"/>
              <w:right w:val="single" w:sz="6" w:space="0" w:color="000000"/>
            </w:tcBorders>
            <w:vAlign w:val="center"/>
            <w:hideMark/>
          </w:tcPr>
          <w:p w14:paraId="50D51543" w14:textId="77777777" w:rsidR="00FC5566" w:rsidRPr="00FC5566" w:rsidRDefault="00FC5566" w:rsidP="00FC5566">
            <w:pPr>
              <w:spacing w:line="278" w:lineRule="auto"/>
              <w:rPr>
                <w:sz w:val="16"/>
                <w:szCs w:val="16"/>
              </w:rPr>
            </w:pPr>
          </w:p>
        </w:tc>
      </w:tr>
      <w:tr w:rsidR="00FC5566" w:rsidRPr="00FC5566" w14:paraId="4FA2740F" w14:textId="77777777" w:rsidTr="00B247D5">
        <w:trPr>
          <w:trHeight w:val="184"/>
        </w:trPr>
        <w:tc>
          <w:tcPr>
            <w:tcW w:w="1260" w:type="dxa"/>
            <w:gridSpan w:val="2"/>
            <w:vMerge/>
            <w:tcBorders>
              <w:top w:val="nil"/>
              <w:left w:val="single" w:sz="6" w:space="0" w:color="000000"/>
              <w:bottom w:val="nil"/>
              <w:right w:val="double" w:sz="6" w:space="0" w:color="000000"/>
            </w:tcBorders>
            <w:vAlign w:val="center"/>
            <w:hideMark/>
          </w:tcPr>
          <w:p w14:paraId="4E720032" w14:textId="77777777" w:rsidR="00FC5566" w:rsidRPr="00FC5566" w:rsidRDefault="00FC5566" w:rsidP="00FC5566">
            <w:pPr>
              <w:spacing w:line="278" w:lineRule="auto"/>
              <w:rPr>
                <w:sz w:val="16"/>
                <w:szCs w:val="16"/>
              </w:rPr>
            </w:pPr>
          </w:p>
        </w:tc>
        <w:tc>
          <w:tcPr>
            <w:tcW w:w="8190" w:type="dxa"/>
            <w:gridSpan w:val="2"/>
            <w:tcBorders>
              <w:top w:val="single" w:sz="6" w:space="0" w:color="000000"/>
              <w:left w:val="double" w:sz="6" w:space="0" w:color="000000"/>
              <w:bottom w:val="single" w:sz="6" w:space="0" w:color="000000"/>
              <w:right w:val="double" w:sz="6" w:space="0" w:color="000000"/>
            </w:tcBorders>
            <w:hideMark/>
          </w:tcPr>
          <w:p w14:paraId="067E68DE" w14:textId="77777777" w:rsidR="00FC5566" w:rsidRPr="00FC5566" w:rsidRDefault="00FC5566" w:rsidP="00FC5566">
            <w:pPr>
              <w:widowControl w:val="0"/>
              <w:autoSpaceDE w:val="0"/>
              <w:autoSpaceDN w:val="0"/>
              <w:spacing w:line="164" w:lineRule="exact"/>
              <w:ind w:left="91"/>
              <w:rPr>
                <w:sz w:val="16"/>
                <w:szCs w:val="16"/>
              </w:rPr>
            </w:pPr>
            <w:r w:rsidRPr="00FC5566">
              <w:rPr>
                <w:sz w:val="16"/>
                <w:szCs w:val="16"/>
              </w:rPr>
              <w:t>13. Radiator Shops</w:t>
            </w:r>
          </w:p>
        </w:tc>
        <w:tc>
          <w:tcPr>
            <w:tcW w:w="1080" w:type="dxa"/>
            <w:vMerge/>
            <w:tcBorders>
              <w:top w:val="nil"/>
              <w:left w:val="double" w:sz="6" w:space="0" w:color="000000"/>
              <w:bottom w:val="nil"/>
              <w:right w:val="single" w:sz="6" w:space="0" w:color="000000"/>
            </w:tcBorders>
            <w:vAlign w:val="center"/>
            <w:hideMark/>
          </w:tcPr>
          <w:p w14:paraId="3A89B2F0" w14:textId="77777777" w:rsidR="00FC5566" w:rsidRPr="00FC5566" w:rsidRDefault="00FC5566" w:rsidP="00FC5566">
            <w:pPr>
              <w:spacing w:line="278" w:lineRule="auto"/>
              <w:rPr>
                <w:sz w:val="16"/>
                <w:szCs w:val="16"/>
              </w:rPr>
            </w:pPr>
          </w:p>
        </w:tc>
      </w:tr>
      <w:tr w:rsidR="00FC5566" w:rsidRPr="00FC5566" w14:paraId="276C5319" w14:textId="77777777" w:rsidTr="00B247D5">
        <w:trPr>
          <w:trHeight w:val="181"/>
        </w:trPr>
        <w:tc>
          <w:tcPr>
            <w:tcW w:w="1260" w:type="dxa"/>
            <w:gridSpan w:val="2"/>
            <w:vMerge/>
            <w:tcBorders>
              <w:top w:val="nil"/>
              <w:left w:val="single" w:sz="6" w:space="0" w:color="000000"/>
              <w:bottom w:val="nil"/>
              <w:right w:val="double" w:sz="6" w:space="0" w:color="000000"/>
            </w:tcBorders>
            <w:vAlign w:val="center"/>
            <w:hideMark/>
          </w:tcPr>
          <w:p w14:paraId="264B393E" w14:textId="77777777" w:rsidR="00FC5566" w:rsidRPr="00FC5566" w:rsidRDefault="00FC5566" w:rsidP="00FC5566">
            <w:pPr>
              <w:spacing w:line="278" w:lineRule="auto"/>
              <w:rPr>
                <w:sz w:val="16"/>
                <w:szCs w:val="16"/>
              </w:rPr>
            </w:pPr>
          </w:p>
        </w:tc>
        <w:tc>
          <w:tcPr>
            <w:tcW w:w="8190" w:type="dxa"/>
            <w:gridSpan w:val="2"/>
            <w:tcBorders>
              <w:top w:val="single" w:sz="6" w:space="0" w:color="000000"/>
              <w:left w:val="double" w:sz="6" w:space="0" w:color="000000"/>
              <w:bottom w:val="single" w:sz="6" w:space="0" w:color="000000"/>
              <w:right w:val="double" w:sz="6" w:space="0" w:color="000000"/>
            </w:tcBorders>
            <w:hideMark/>
          </w:tcPr>
          <w:p w14:paraId="2EDFD88A" w14:textId="77777777" w:rsidR="00FC5566" w:rsidRPr="00FC5566" w:rsidRDefault="00FC5566" w:rsidP="00FC5566">
            <w:pPr>
              <w:widowControl w:val="0"/>
              <w:autoSpaceDE w:val="0"/>
              <w:autoSpaceDN w:val="0"/>
              <w:spacing w:line="162" w:lineRule="exact"/>
              <w:ind w:left="91"/>
              <w:rPr>
                <w:sz w:val="16"/>
                <w:szCs w:val="16"/>
              </w:rPr>
            </w:pPr>
            <w:r w:rsidRPr="00FC5566">
              <w:rPr>
                <w:sz w:val="16"/>
                <w:szCs w:val="16"/>
              </w:rPr>
              <w:t>14. Commercial Pesticide/Herbicide Application</w:t>
            </w:r>
          </w:p>
        </w:tc>
        <w:tc>
          <w:tcPr>
            <w:tcW w:w="1080" w:type="dxa"/>
            <w:vMerge/>
            <w:tcBorders>
              <w:top w:val="nil"/>
              <w:left w:val="double" w:sz="6" w:space="0" w:color="000000"/>
              <w:bottom w:val="nil"/>
              <w:right w:val="single" w:sz="6" w:space="0" w:color="000000"/>
            </w:tcBorders>
            <w:vAlign w:val="center"/>
            <w:hideMark/>
          </w:tcPr>
          <w:p w14:paraId="5C82F7E1" w14:textId="77777777" w:rsidR="00FC5566" w:rsidRPr="00FC5566" w:rsidRDefault="00FC5566" w:rsidP="00FC5566">
            <w:pPr>
              <w:spacing w:line="278" w:lineRule="auto"/>
              <w:rPr>
                <w:sz w:val="16"/>
                <w:szCs w:val="16"/>
              </w:rPr>
            </w:pPr>
          </w:p>
        </w:tc>
      </w:tr>
      <w:tr w:rsidR="00FC5566" w:rsidRPr="00FC5566" w14:paraId="5FB7A7A1" w14:textId="77777777" w:rsidTr="00B247D5">
        <w:trPr>
          <w:trHeight w:val="184"/>
        </w:trPr>
        <w:tc>
          <w:tcPr>
            <w:tcW w:w="1260" w:type="dxa"/>
            <w:gridSpan w:val="2"/>
            <w:vMerge/>
            <w:tcBorders>
              <w:top w:val="nil"/>
              <w:left w:val="single" w:sz="6" w:space="0" w:color="000000"/>
              <w:bottom w:val="nil"/>
              <w:right w:val="double" w:sz="6" w:space="0" w:color="000000"/>
            </w:tcBorders>
            <w:vAlign w:val="center"/>
            <w:hideMark/>
          </w:tcPr>
          <w:p w14:paraId="01BCB031" w14:textId="77777777" w:rsidR="00FC5566" w:rsidRPr="00FC5566" w:rsidRDefault="00FC5566" w:rsidP="00FC5566">
            <w:pPr>
              <w:spacing w:line="278" w:lineRule="auto"/>
              <w:rPr>
                <w:sz w:val="16"/>
                <w:szCs w:val="16"/>
              </w:rPr>
            </w:pPr>
          </w:p>
        </w:tc>
        <w:tc>
          <w:tcPr>
            <w:tcW w:w="8190" w:type="dxa"/>
            <w:gridSpan w:val="2"/>
            <w:tcBorders>
              <w:top w:val="single" w:sz="6" w:space="0" w:color="000000"/>
              <w:left w:val="double" w:sz="6" w:space="0" w:color="000000"/>
              <w:bottom w:val="single" w:sz="6" w:space="0" w:color="000000"/>
              <w:right w:val="double" w:sz="6" w:space="0" w:color="000000"/>
            </w:tcBorders>
            <w:hideMark/>
          </w:tcPr>
          <w:p w14:paraId="3EBFED91" w14:textId="77777777" w:rsidR="00FC5566" w:rsidRPr="00FC5566" w:rsidRDefault="00FC5566" w:rsidP="00FC5566">
            <w:pPr>
              <w:widowControl w:val="0"/>
              <w:autoSpaceDE w:val="0"/>
              <w:autoSpaceDN w:val="0"/>
              <w:spacing w:line="164" w:lineRule="exact"/>
              <w:ind w:left="91"/>
              <w:rPr>
                <w:sz w:val="16"/>
                <w:szCs w:val="16"/>
              </w:rPr>
            </w:pPr>
            <w:r w:rsidRPr="00FC5566">
              <w:rPr>
                <w:sz w:val="16"/>
                <w:szCs w:val="16"/>
              </w:rPr>
              <w:t>15. Photo/X-ray/Film Processing Laboratories</w:t>
            </w:r>
          </w:p>
        </w:tc>
        <w:tc>
          <w:tcPr>
            <w:tcW w:w="1080" w:type="dxa"/>
            <w:vMerge/>
            <w:tcBorders>
              <w:top w:val="nil"/>
              <w:left w:val="double" w:sz="6" w:space="0" w:color="000000"/>
              <w:bottom w:val="nil"/>
              <w:right w:val="single" w:sz="6" w:space="0" w:color="000000"/>
            </w:tcBorders>
            <w:vAlign w:val="center"/>
            <w:hideMark/>
          </w:tcPr>
          <w:p w14:paraId="64099C22" w14:textId="77777777" w:rsidR="00FC5566" w:rsidRPr="00FC5566" w:rsidRDefault="00FC5566" w:rsidP="00FC5566">
            <w:pPr>
              <w:spacing w:line="278" w:lineRule="auto"/>
              <w:rPr>
                <w:sz w:val="16"/>
                <w:szCs w:val="16"/>
              </w:rPr>
            </w:pPr>
          </w:p>
        </w:tc>
      </w:tr>
      <w:tr w:rsidR="00FC5566" w:rsidRPr="00FC5566" w14:paraId="5FAC2C32" w14:textId="77777777" w:rsidTr="00B247D5">
        <w:trPr>
          <w:trHeight w:val="184"/>
        </w:trPr>
        <w:tc>
          <w:tcPr>
            <w:tcW w:w="1260" w:type="dxa"/>
            <w:gridSpan w:val="2"/>
            <w:vMerge/>
            <w:tcBorders>
              <w:top w:val="nil"/>
              <w:left w:val="single" w:sz="6" w:space="0" w:color="000000"/>
              <w:bottom w:val="nil"/>
              <w:right w:val="double" w:sz="6" w:space="0" w:color="000000"/>
            </w:tcBorders>
            <w:vAlign w:val="center"/>
            <w:hideMark/>
          </w:tcPr>
          <w:p w14:paraId="23A6BF2E" w14:textId="77777777" w:rsidR="00FC5566" w:rsidRPr="00FC5566" w:rsidRDefault="00FC5566" w:rsidP="00FC5566">
            <w:pPr>
              <w:spacing w:line="278" w:lineRule="auto"/>
              <w:rPr>
                <w:sz w:val="16"/>
                <w:szCs w:val="16"/>
              </w:rPr>
            </w:pPr>
          </w:p>
        </w:tc>
        <w:tc>
          <w:tcPr>
            <w:tcW w:w="8190" w:type="dxa"/>
            <w:gridSpan w:val="2"/>
            <w:tcBorders>
              <w:top w:val="single" w:sz="6" w:space="0" w:color="000000"/>
              <w:left w:val="double" w:sz="6" w:space="0" w:color="000000"/>
              <w:bottom w:val="single" w:sz="6" w:space="0" w:color="000000"/>
              <w:right w:val="double" w:sz="6" w:space="0" w:color="000000"/>
            </w:tcBorders>
            <w:hideMark/>
          </w:tcPr>
          <w:p w14:paraId="4F010C92" w14:textId="77777777" w:rsidR="00FC5566" w:rsidRPr="00FC5566" w:rsidRDefault="00FC5566" w:rsidP="00FC5566">
            <w:pPr>
              <w:widowControl w:val="0"/>
              <w:autoSpaceDE w:val="0"/>
              <w:autoSpaceDN w:val="0"/>
              <w:spacing w:line="165" w:lineRule="exact"/>
              <w:ind w:left="91"/>
              <w:rPr>
                <w:sz w:val="16"/>
                <w:szCs w:val="16"/>
              </w:rPr>
            </w:pPr>
            <w:r w:rsidRPr="00FC5566">
              <w:rPr>
                <w:sz w:val="16"/>
                <w:szCs w:val="16"/>
              </w:rPr>
              <w:t>16. Multiple Commercial Units served by a master meter</w:t>
            </w:r>
          </w:p>
        </w:tc>
        <w:tc>
          <w:tcPr>
            <w:tcW w:w="1080" w:type="dxa"/>
            <w:vMerge/>
            <w:tcBorders>
              <w:top w:val="nil"/>
              <w:left w:val="double" w:sz="6" w:space="0" w:color="000000"/>
              <w:bottom w:val="nil"/>
              <w:right w:val="single" w:sz="6" w:space="0" w:color="000000"/>
            </w:tcBorders>
            <w:vAlign w:val="center"/>
            <w:hideMark/>
          </w:tcPr>
          <w:p w14:paraId="764C141A" w14:textId="77777777" w:rsidR="00FC5566" w:rsidRPr="00FC5566" w:rsidRDefault="00FC5566" w:rsidP="00FC5566">
            <w:pPr>
              <w:spacing w:line="278" w:lineRule="auto"/>
              <w:rPr>
                <w:sz w:val="16"/>
                <w:szCs w:val="16"/>
              </w:rPr>
            </w:pPr>
          </w:p>
        </w:tc>
      </w:tr>
      <w:tr w:rsidR="00FC5566" w:rsidRPr="00FC5566" w14:paraId="775E25DF" w14:textId="77777777" w:rsidTr="00B247D5">
        <w:trPr>
          <w:trHeight w:val="369"/>
        </w:trPr>
        <w:tc>
          <w:tcPr>
            <w:tcW w:w="1260" w:type="dxa"/>
            <w:gridSpan w:val="2"/>
            <w:vMerge/>
            <w:tcBorders>
              <w:top w:val="nil"/>
              <w:left w:val="single" w:sz="6" w:space="0" w:color="000000"/>
              <w:bottom w:val="nil"/>
              <w:right w:val="double" w:sz="6" w:space="0" w:color="000000"/>
            </w:tcBorders>
            <w:vAlign w:val="center"/>
            <w:hideMark/>
          </w:tcPr>
          <w:p w14:paraId="6B2852A7" w14:textId="77777777" w:rsidR="00FC5566" w:rsidRPr="00FC5566" w:rsidRDefault="00FC5566" w:rsidP="00FC5566">
            <w:pPr>
              <w:spacing w:line="278" w:lineRule="auto"/>
              <w:rPr>
                <w:sz w:val="16"/>
                <w:szCs w:val="16"/>
              </w:rPr>
            </w:pPr>
          </w:p>
        </w:tc>
        <w:tc>
          <w:tcPr>
            <w:tcW w:w="8190" w:type="dxa"/>
            <w:gridSpan w:val="2"/>
            <w:tcBorders>
              <w:top w:val="single" w:sz="6" w:space="0" w:color="000000"/>
              <w:left w:val="double" w:sz="6" w:space="0" w:color="000000"/>
              <w:bottom w:val="single" w:sz="6" w:space="0" w:color="000000"/>
              <w:right w:val="double" w:sz="6" w:space="0" w:color="000000"/>
            </w:tcBorders>
            <w:hideMark/>
          </w:tcPr>
          <w:p w14:paraId="04F7BE5E" w14:textId="77777777" w:rsidR="00FC5566" w:rsidRPr="00FC5566" w:rsidRDefault="00FC5566" w:rsidP="00FC5566">
            <w:pPr>
              <w:widowControl w:val="0"/>
              <w:autoSpaceDE w:val="0"/>
              <w:autoSpaceDN w:val="0"/>
              <w:spacing w:line="181" w:lineRule="exact"/>
              <w:ind w:left="91"/>
              <w:rPr>
                <w:sz w:val="16"/>
                <w:szCs w:val="16"/>
              </w:rPr>
            </w:pPr>
            <w:r w:rsidRPr="00FC5566">
              <w:rPr>
                <w:sz w:val="16"/>
                <w:szCs w:val="16"/>
              </w:rPr>
              <w:t>17. Any type of occupancy type or any other facility having one or more Single-walled Heat Exchangers which uses any</w:t>
            </w:r>
          </w:p>
          <w:p w14:paraId="2F4ECCA1" w14:textId="77777777" w:rsidR="00FC5566" w:rsidRPr="00FC5566" w:rsidRDefault="00FC5566" w:rsidP="00FC5566">
            <w:pPr>
              <w:widowControl w:val="0"/>
              <w:autoSpaceDE w:val="0"/>
              <w:autoSpaceDN w:val="0"/>
              <w:spacing w:before="1" w:line="167" w:lineRule="exact"/>
              <w:ind w:left="91"/>
              <w:rPr>
                <w:sz w:val="16"/>
                <w:szCs w:val="16"/>
              </w:rPr>
            </w:pPr>
            <w:r w:rsidRPr="00FC5566">
              <w:rPr>
                <w:sz w:val="16"/>
                <w:szCs w:val="16"/>
              </w:rPr>
              <w:t>chemical, additive, or corrosion inhibitor, etc., in the heating or cooling medium</w:t>
            </w:r>
          </w:p>
        </w:tc>
        <w:tc>
          <w:tcPr>
            <w:tcW w:w="1080" w:type="dxa"/>
            <w:vMerge/>
            <w:tcBorders>
              <w:top w:val="nil"/>
              <w:left w:val="double" w:sz="6" w:space="0" w:color="000000"/>
              <w:bottom w:val="nil"/>
              <w:right w:val="single" w:sz="6" w:space="0" w:color="000000"/>
            </w:tcBorders>
            <w:vAlign w:val="center"/>
            <w:hideMark/>
          </w:tcPr>
          <w:p w14:paraId="7D0D03F7" w14:textId="77777777" w:rsidR="00FC5566" w:rsidRPr="00FC5566" w:rsidRDefault="00FC5566" w:rsidP="00FC5566">
            <w:pPr>
              <w:spacing w:line="278" w:lineRule="auto"/>
              <w:rPr>
                <w:sz w:val="16"/>
                <w:szCs w:val="16"/>
              </w:rPr>
            </w:pPr>
          </w:p>
        </w:tc>
      </w:tr>
      <w:tr w:rsidR="00FC5566" w:rsidRPr="00FC5566" w14:paraId="3B3A2212" w14:textId="77777777" w:rsidTr="00B247D5">
        <w:trPr>
          <w:trHeight w:val="551"/>
        </w:trPr>
        <w:tc>
          <w:tcPr>
            <w:tcW w:w="1260" w:type="dxa"/>
            <w:gridSpan w:val="2"/>
            <w:vMerge/>
            <w:tcBorders>
              <w:top w:val="nil"/>
              <w:left w:val="single" w:sz="6" w:space="0" w:color="000000"/>
              <w:bottom w:val="nil"/>
              <w:right w:val="double" w:sz="6" w:space="0" w:color="000000"/>
            </w:tcBorders>
            <w:vAlign w:val="center"/>
            <w:hideMark/>
          </w:tcPr>
          <w:p w14:paraId="71DFC1B0" w14:textId="77777777" w:rsidR="00FC5566" w:rsidRPr="00FC5566" w:rsidRDefault="00FC5566" w:rsidP="00FC5566">
            <w:pPr>
              <w:spacing w:line="278" w:lineRule="auto"/>
              <w:rPr>
                <w:sz w:val="16"/>
                <w:szCs w:val="16"/>
              </w:rPr>
            </w:pPr>
          </w:p>
        </w:tc>
        <w:tc>
          <w:tcPr>
            <w:tcW w:w="8190" w:type="dxa"/>
            <w:gridSpan w:val="2"/>
            <w:tcBorders>
              <w:top w:val="single" w:sz="6" w:space="0" w:color="000000"/>
              <w:left w:val="double" w:sz="6" w:space="0" w:color="000000"/>
              <w:bottom w:val="single" w:sz="6" w:space="0" w:color="000000"/>
              <w:right w:val="double" w:sz="6" w:space="0" w:color="000000"/>
            </w:tcBorders>
            <w:hideMark/>
          </w:tcPr>
          <w:p w14:paraId="30166983" w14:textId="77777777" w:rsidR="00FC5566" w:rsidRPr="00FC5566" w:rsidRDefault="00FC5566" w:rsidP="00FC5566">
            <w:pPr>
              <w:widowControl w:val="0"/>
              <w:autoSpaceDE w:val="0"/>
              <w:autoSpaceDN w:val="0"/>
              <w:spacing w:line="235" w:lineRule="auto"/>
              <w:ind w:left="91"/>
              <w:rPr>
                <w:sz w:val="16"/>
                <w:szCs w:val="16"/>
              </w:rPr>
            </w:pPr>
            <w:r w:rsidRPr="00FC5566">
              <w:rPr>
                <w:sz w:val="16"/>
                <w:szCs w:val="16"/>
              </w:rPr>
              <w:t>18. Any type of occupancy type or any other facility having one or more Double-walled Heat Exchangers which use any chemical, additive, or corrosion inhibitor, etc., in the heating or cooling medium and which does not have a path to</w:t>
            </w:r>
          </w:p>
          <w:p w14:paraId="66DA81B5" w14:textId="77777777" w:rsidR="00FC5566" w:rsidRPr="00FC5566" w:rsidRDefault="00FC5566" w:rsidP="00FC5566">
            <w:pPr>
              <w:widowControl w:val="0"/>
              <w:autoSpaceDE w:val="0"/>
              <w:autoSpaceDN w:val="0"/>
              <w:spacing w:line="167" w:lineRule="exact"/>
              <w:ind w:left="91"/>
              <w:rPr>
                <w:sz w:val="16"/>
                <w:szCs w:val="16"/>
              </w:rPr>
            </w:pPr>
            <w:r w:rsidRPr="00FC5566">
              <w:rPr>
                <w:sz w:val="16"/>
                <w:szCs w:val="16"/>
              </w:rPr>
              <w:t>atmosphere with a readily visible discharge</w:t>
            </w:r>
          </w:p>
        </w:tc>
        <w:tc>
          <w:tcPr>
            <w:tcW w:w="1080" w:type="dxa"/>
            <w:vMerge/>
            <w:tcBorders>
              <w:top w:val="nil"/>
              <w:left w:val="double" w:sz="6" w:space="0" w:color="000000"/>
              <w:bottom w:val="nil"/>
              <w:right w:val="single" w:sz="6" w:space="0" w:color="000000"/>
            </w:tcBorders>
            <w:vAlign w:val="center"/>
            <w:hideMark/>
          </w:tcPr>
          <w:p w14:paraId="67AEE2A7" w14:textId="77777777" w:rsidR="00FC5566" w:rsidRPr="00FC5566" w:rsidRDefault="00FC5566" w:rsidP="00FC5566">
            <w:pPr>
              <w:spacing w:line="278" w:lineRule="auto"/>
              <w:rPr>
                <w:sz w:val="16"/>
                <w:szCs w:val="16"/>
              </w:rPr>
            </w:pPr>
          </w:p>
        </w:tc>
      </w:tr>
      <w:tr w:rsidR="00FC5566" w:rsidRPr="00FC5566" w14:paraId="3B7053A9" w14:textId="77777777" w:rsidTr="00B247D5">
        <w:trPr>
          <w:trHeight w:val="184"/>
        </w:trPr>
        <w:tc>
          <w:tcPr>
            <w:tcW w:w="1260" w:type="dxa"/>
            <w:gridSpan w:val="2"/>
            <w:vMerge/>
            <w:tcBorders>
              <w:top w:val="nil"/>
              <w:left w:val="single" w:sz="6" w:space="0" w:color="000000"/>
              <w:bottom w:val="nil"/>
              <w:right w:val="double" w:sz="6" w:space="0" w:color="000000"/>
            </w:tcBorders>
            <w:vAlign w:val="center"/>
            <w:hideMark/>
          </w:tcPr>
          <w:p w14:paraId="4039DA9D" w14:textId="77777777" w:rsidR="00FC5566" w:rsidRPr="00FC5566" w:rsidRDefault="00FC5566" w:rsidP="00FC5566">
            <w:pPr>
              <w:spacing w:line="278" w:lineRule="auto"/>
              <w:rPr>
                <w:sz w:val="16"/>
                <w:szCs w:val="16"/>
              </w:rPr>
            </w:pPr>
          </w:p>
        </w:tc>
        <w:tc>
          <w:tcPr>
            <w:tcW w:w="8190" w:type="dxa"/>
            <w:gridSpan w:val="2"/>
            <w:tcBorders>
              <w:top w:val="single" w:sz="6" w:space="0" w:color="000000"/>
              <w:left w:val="double" w:sz="6" w:space="0" w:color="000000"/>
              <w:bottom w:val="single" w:sz="6" w:space="0" w:color="000000"/>
              <w:right w:val="double" w:sz="6" w:space="0" w:color="000000"/>
            </w:tcBorders>
            <w:hideMark/>
          </w:tcPr>
          <w:p w14:paraId="06849D38" w14:textId="77777777" w:rsidR="00FC5566" w:rsidRPr="00FC5566" w:rsidRDefault="00FC5566" w:rsidP="00FC5566">
            <w:pPr>
              <w:widowControl w:val="0"/>
              <w:autoSpaceDE w:val="0"/>
              <w:autoSpaceDN w:val="0"/>
              <w:spacing w:line="164" w:lineRule="exact"/>
              <w:ind w:left="91"/>
              <w:rPr>
                <w:sz w:val="16"/>
                <w:szCs w:val="16"/>
              </w:rPr>
            </w:pPr>
            <w:r w:rsidRPr="00FC5566">
              <w:rPr>
                <w:sz w:val="16"/>
                <w:szCs w:val="16"/>
              </w:rPr>
              <w:t>19. Premises where access/entry is prohibited</w:t>
            </w:r>
          </w:p>
        </w:tc>
        <w:tc>
          <w:tcPr>
            <w:tcW w:w="1080" w:type="dxa"/>
            <w:vMerge/>
            <w:tcBorders>
              <w:top w:val="nil"/>
              <w:left w:val="double" w:sz="6" w:space="0" w:color="000000"/>
              <w:bottom w:val="nil"/>
              <w:right w:val="single" w:sz="6" w:space="0" w:color="000000"/>
            </w:tcBorders>
            <w:vAlign w:val="center"/>
            <w:hideMark/>
          </w:tcPr>
          <w:p w14:paraId="28901B34" w14:textId="77777777" w:rsidR="00FC5566" w:rsidRPr="00FC5566" w:rsidRDefault="00FC5566" w:rsidP="00FC5566">
            <w:pPr>
              <w:spacing w:line="278" w:lineRule="auto"/>
              <w:rPr>
                <w:sz w:val="16"/>
                <w:szCs w:val="16"/>
              </w:rPr>
            </w:pPr>
          </w:p>
        </w:tc>
      </w:tr>
      <w:tr w:rsidR="00FC5566" w:rsidRPr="00FC5566" w14:paraId="1296913F" w14:textId="77777777" w:rsidTr="00B247D5">
        <w:trPr>
          <w:trHeight w:val="368"/>
        </w:trPr>
        <w:tc>
          <w:tcPr>
            <w:tcW w:w="1260" w:type="dxa"/>
            <w:gridSpan w:val="2"/>
            <w:vMerge/>
            <w:tcBorders>
              <w:top w:val="nil"/>
              <w:left w:val="single" w:sz="6" w:space="0" w:color="000000"/>
              <w:bottom w:val="nil"/>
              <w:right w:val="double" w:sz="6" w:space="0" w:color="000000"/>
            </w:tcBorders>
            <w:vAlign w:val="center"/>
            <w:hideMark/>
          </w:tcPr>
          <w:p w14:paraId="5F4655F5" w14:textId="77777777" w:rsidR="00FC5566" w:rsidRPr="00FC5566" w:rsidRDefault="00FC5566" w:rsidP="00FC5566">
            <w:pPr>
              <w:spacing w:line="278" w:lineRule="auto"/>
              <w:rPr>
                <w:sz w:val="16"/>
                <w:szCs w:val="16"/>
              </w:rPr>
            </w:pPr>
          </w:p>
        </w:tc>
        <w:tc>
          <w:tcPr>
            <w:tcW w:w="8190" w:type="dxa"/>
            <w:gridSpan w:val="2"/>
            <w:tcBorders>
              <w:top w:val="single" w:sz="6" w:space="0" w:color="000000"/>
              <w:left w:val="double" w:sz="6" w:space="0" w:color="000000"/>
              <w:bottom w:val="single" w:sz="6" w:space="0" w:color="000000"/>
              <w:right w:val="double" w:sz="6" w:space="0" w:color="000000"/>
            </w:tcBorders>
            <w:shd w:val="clear" w:color="auto" w:fill="D9D9D9"/>
            <w:hideMark/>
          </w:tcPr>
          <w:p w14:paraId="285C707F" w14:textId="77777777" w:rsidR="00FC5566" w:rsidRPr="00FC5566" w:rsidRDefault="00FC5566" w:rsidP="00FC5566">
            <w:pPr>
              <w:widowControl w:val="0"/>
              <w:autoSpaceDE w:val="0"/>
              <w:autoSpaceDN w:val="0"/>
              <w:spacing w:line="184" w:lineRule="exact"/>
              <w:ind w:left="91" w:right="-22"/>
              <w:rPr>
                <w:b/>
                <w:spacing w:val="40"/>
                <w:sz w:val="16"/>
                <w:szCs w:val="16"/>
              </w:rPr>
            </w:pPr>
            <w:r w:rsidRPr="00FC5566">
              <w:rPr>
                <w:b/>
                <w:sz w:val="16"/>
                <w:szCs w:val="16"/>
              </w:rPr>
              <w:t>Pressure</w:t>
            </w:r>
            <w:r w:rsidRPr="00FC5566">
              <w:rPr>
                <w:b/>
                <w:spacing w:val="-10"/>
                <w:sz w:val="16"/>
                <w:szCs w:val="16"/>
              </w:rPr>
              <w:t xml:space="preserve"> </w:t>
            </w:r>
            <w:r w:rsidRPr="00FC5566">
              <w:rPr>
                <w:b/>
                <w:sz w:val="16"/>
                <w:szCs w:val="16"/>
              </w:rPr>
              <w:t>Vacuum</w:t>
            </w:r>
            <w:r w:rsidRPr="00FC5566">
              <w:rPr>
                <w:b/>
                <w:spacing w:val="-10"/>
                <w:sz w:val="16"/>
                <w:szCs w:val="16"/>
              </w:rPr>
              <w:t xml:space="preserve"> </w:t>
            </w:r>
            <w:r w:rsidRPr="00FC5566">
              <w:rPr>
                <w:b/>
                <w:sz w:val="16"/>
                <w:szCs w:val="16"/>
              </w:rPr>
              <w:t>Breaker</w:t>
            </w:r>
            <w:r w:rsidRPr="00FC5566">
              <w:rPr>
                <w:b/>
                <w:spacing w:val="-9"/>
                <w:sz w:val="16"/>
                <w:szCs w:val="16"/>
              </w:rPr>
              <w:t xml:space="preserve"> </w:t>
            </w:r>
            <w:r w:rsidRPr="00FC5566">
              <w:rPr>
                <w:b/>
                <w:sz w:val="16"/>
                <w:szCs w:val="16"/>
              </w:rPr>
              <w:t>Assembly/Spill</w:t>
            </w:r>
            <w:r w:rsidRPr="00FC5566">
              <w:rPr>
                <w:b/>
                <w:spacing w:val="-10"/>
                <w:sz w:val="16"/>
                <w:szCs w:val="16"/>
              </w:rPr>
              <w:t xml:space="preserve"> </w:t>
            </w:r>
            <w:r w:rsidRPr="00FC5566">
              <w:rPr>
                <w:b/>
                <w:sz w:val="16"/>
                <w:szCs w:val="16"/>
              </w:rPr>
              <w:t>Resistant</w:t>
            </w:r>
            <w:r w:rsidRPr="00FC5566">
              <w:rPr>
                <w:b/>
                <w:spacing w:val="40"/>
                <w:sz w:val="16"/>
                <w:szCs w:val="16"/>
              </w:rPr>
              <w:t xml:space="preserve"> </w:t>
            </w:r>
          </w:p>
          <w:p w14:paraId="7D547F77" w14:textId="77777777" w:rsidR="00FC5566" w:rsidRPr="00FC5566" w:rsidRDefault="00FC5566" w:rsidP="00FC5566">
            <w:pPr>
              <w:widowControl w:val="0"/>
              <w:autoSpaceDE w:val="0"/>
              <w:autoSpaceDN w:val="0"/>
              <w:spacing w:line="184" w:lineRule="exact"/>
              <w:ind w:left="91" w:right="-22"/>
              <w:rPr>
                <w:b/>
                <w:sz w:val="16"/>
                <w:szCs w:val="16"/>
              </w:rPr>
            </w:pPr>
            <w:r w:rsidRPr="00FC5566">
              <w:rPr>
                <w:b/>
                <w:sz w:val="16"/>
                <w:szCs w:val="16"/>
              </w:rPr>
              <w:t>Vacuum Breaker Assembly</w:t>
            </w:r>
          </w:p>
        </w:tc>
        <w:tc>
          <w:tcPr>
            <w:tcW w:w="1080" w:type="dxa"/>
            <w:vMerge/>
            <w:tcBorders>
              <w:top w:val="nil"/>
              <w:left w:val="double" w:sz="6" w:space="0" w:color="000000"/>
              <w:bottom w:val="nil"/>
              <w:right w:val="single" w:sz="6" w:space="0" w:color="000000"/>
            </w:tcBorders>
            <w:vAlign w:val="center"/>
            <w:hideMark/>
          </w:tcPr>
          <w:p w14:paraId="2DAAF570" w14:textId="77777777" w:rsidR="00FC5566" w:rsidRPr="00FC5566" w:rsidRDefault="00FC5566" w:rsidP="00FC5566">
            <w:pPr>
              <w:spacing w:line="278" w:lineRule="auto"/>
              <w:rPr>
                <w:sz w:val="16"/>
                <w:szCs w:val="16"/>
              </w:rPr>
            </w:pPr>
          </w:p>
        </w:tc>
      </w:tr>
      <w:tr w:rsidR="00FC5566" w:rsidRPr="00FC5566" w14:paraId="742DDAE0" w14:textId="77777777" w:rsidTr="00B247D5">
        <w:trPr>
          <w:trHeight w:val="181"/>
        </w:trPr>
        <w:tc>
          <w:tcPr>
            <w:tcW w:w="1260" w:type="dxa"/>
            <w:gridSpan w:val="2"/>
            <w:vMerge/>
            <w:tcBorders>
              <w:top w:val="nil"/>
              <w:left w:val="single" w:sz="6" w:space="0" w:color="000000"/>
              <w:bottom w:val="nil"/>
              <w:right w:val="double" w:sz="6" w:space="0" w:color="000000"/>
            </w:tcBorders>
            <w:vAlign w:val="center"/>
            <w:hideMark/>
          </w:tcPr>
          <w:p w14:paraId="354EE345" w14:textId="77777777" w:rsidR="00FC5566" w:rsidRPr="00FC5566" w:rsidRDefault="00FC5566" w:rsidP="00FC5566">
            <w:pPr>
              <w:spacing w:line="278" w:lineRule="auto"/>
              <w:rPr>
                <w:sz w:val="16"/>
                <w:szCs w:val="16"/>
              </w:rPr>
            </w:pPr>
          </w:p>
        </w:tc>
        <w:tc>
          <w:tcPr>
            <w:tcW w:w="8190" w:type="dxa"/>
            <w:gridSpan w:val="2"/>
            <w:tcBorders>
              <w:top w:val="single" w:sz="6" w:space="0" w:color="000000"/>
              <w:left w:val="double" w:sz="6" w:space="0" w:color="000000"/>
              <w:bottom w:val="single" w:sz="6" w:space="0" w:color="000000"/>
              <w:right w:val="double" w:sz="6" w:space="0" w:color="000000"/>
            </w:tcBorders>
            <w:hideMark/>
          </w:tcPr>
          <w:p w14:paraId="2E71AF8D" w14:textId="77777777" w:rsidR="00FC5566" w:rsidRPr="00FC5566" w:rsidRDefault="00FC5566" w:rsidP="00FC5566">
            <w:pPr>
              <w:widowControl w:val="0"/>
              <w:autoSpaceDE w:val="0"/>
              <w:autoSpaceDN w:val="0"/>
              <w:spacing w:line="162" w:lineRule="exact"/>
              <w:ind w:left="91"/>
              <w:rPr>
                <w:sz w:val="16"/>
                <w:szCs w:val="16"/>
              </w:rPr>
            </w:pPr>
            <w:r w:rsidRPr="00FC5566">
              <w:rPr>
                <w:sz w:val="16"/>
                <w:szCs w:val="16"/>
              </w:rPr>
              <w:t>1. Irrigation/Lawn</w:t>
            </w:r>
            <w:r w:rsidRPr="00FC5566">
              <w:rPr>
                <w:spacing w:val="-4"/>
                <w:sz w:val="16"/>
                <w:szCs w:val="16"/>
              </w:rPr>
              <w:t xml:space="preserve"> </w:t>
            </w:r>
            <w:r w:rsidRPr="00FC5566">
              <w:rPr>
                <w:sz w:val="16"/>
                <w:szCs w:val="16"/>
              </w:rPr>
              <w:t>Sprinkler</w:t>
            </w:r>
            <w:r w:rsidRPr="00FC5566">
              <w:rPr>
                <w:spacing w:val="-6"/>
                <w:sz w:val="16"/>
                <w:szCs w:val="16"/>
              </w:rPr>
              <w:t xml:space="preserve"> </w:t>
            </w:r>
            <w:r w:rsidRPr="00FC5566">
              <w:rPr>
                <w:spacing w:val="-2"/>
                <w:sz w:val="16"/>
                <w:szCs w:val="16"/>
              </w:rPr>
              <w:t>Systems</w:t>
            </w:r>
          </w:p>
        </w:tc>
        <w:tc>
          <w:tcPr>
            <w:tcW w:w="1080" w:type="dxa"/>
            <w:vMerge/>
            <w:tcBorders>
              <w:top w:val="nil"/>
              <w:left w:val="double" w:sz="6" w:space="0" w:color="000000"/>
              <w:bottom w:val="nil"/>
              <w:right w:val="single" w:sz="6" w:space="0" w:color="000000"/>
            </w:tcBorders>
            <w:vAlign w:val="center"/>
            <w:hideMark/>
          </w:tcPr>
          <w:p w14:paraId="5A6873C3" w14:textId="77777777" w:rsidR="00FC5566" w:rsidRPr="00FC5566" w:rsidRDefault="00FC5566" w:rsidP="00FC5566">
            <w:pPr>
              <w:spacing w:line="278" w:lineRule="auto"/>
              <w:rPr>
                <w:sz w:val="16"/>
                <w:szCs w:val="16"/>
              </w:rPr>
            </w:pPr>
          </w:p>
        </w:tc>
      </w:tr>
      <w:tr w:rsidR="00FC5566" w:rsidRPr="00FC5566" w14:paraId="0FB25171" w14:textId="77777777" w:rsidTr="00B247D5">
        <w:trPr>
          <w:trHeight w:val="184"/>
        </w:trPr>
        <w:tc>
          <w:tcPr>
            <w:tcW w:w="1260" w:type="dxa"/>
            <w:gridSpan w:val="2"/>
            <w:vMerge/>
            <w:tcBorders>
              <w:top w:val="nil"/>
              <w:left w:val="single" w:sz="6" w:space="0" w:color="000000"/>
              <w:bottom w:val="nil"/>
              <w:right w:val="double" w:sz="6" w:space="0" w:color="000000"/>
            </w:tcBorders>
            <w:vAlign w:val="center"/>
            <w:hideMark/>
          </w:tcPr>
          <w:p w14:paraId="1E32B7D1" w14:textId="77777777" w:rsidR="00FC5566" w:rsidRPr="00FC5566" w:rsidRDefault="00FC5566" w:rsidP="00FC5566">
            <w:pPr>
              <w:spacing w:line="278" w:lineRule="auto"/>
              <w:rPr>
                <w:sz w:val="16"/>
                <w:szCs w:val="16"/>
              </w:rPr>
            </w:pPr>
          </w:p>
        </w:tc>
        <w:tc>
          <w:tcPr>
            <w:tcW w:w="8190" w:type="dxa"/>
            <w:gridSpan w:val="2"/>
            <w:tcBorders>
              <w:top w:val="single" w:sz="6" w:space="0" w:color="000000"/>
              <w:left w:val="double" w:sz="6" w:space="0" w:color="000000"/>
              <w:bottom w:val="single" w:sz="6" w:space="0" w:color="000000"/>
              <w:right w:val="double" w:sz="6" w:space="0" w:color="000000"/>
            </w:tcBorders>
            <w:shd w:val="clear" w:color="auto" w:fill="D9D9D9"/>
            <w:hideMark/>
          </w:tcPr>
          <w:p w14:paraId="1AC28AE5" w14:textId="77777777" w:rsidR="00FC5566" w:rsidRPr="00FC5566" w:rsidRDefault="00FC5566" w:rsidP="00FC5566">
            <w:pPr>
              <w:widowControl w:val="0"/>
              <w:autoSpaceDE w:val="0"/>
              <w:autoSpaceDN w:val="0"/>
              <w:spacing w:line="164" w:lineRule="exact"/>
              <w:ind w:left="91"/>
              <w:rPr>
                <w:b/>
                <w:sz w:val="16"/>
                <w:szCs w:val="16"/>
              </w:rPr>
            </w:pPr>
            <w:r w:rsidRPr="00FC5566">
              <w:rPr>
                <w:b/>
                <w:sz w:val="16"/>
                <w:szCs w:val="16"/>
              </w:rPr>
              <w:t>Double</w:t>
            </w:r>
            <w:r w:rsidRPr="00FC5566">
              <w:rPr>
                <w:b/>
                <w:spacing w:val="-5"/>
                <w:sz w:val="16"/>
                <w:szCs w:val="16"/>
              </w:rPr>
              <w:t xml:space="preserve"> </w:t>
            </w:r>
            <w:r w:rsidRPr="00FC5566">
              <w:rPr>
                <w:b/>
                <w:sz w:val="16"/>
                <w:szCs w:val="16"/>
              </w:rPr>
              <w:t>Check</w:t>
            </w:r>
            <w:r w:rsidRPr="00FC5566">
              <w:rPr>
                <w:b/>
                <w:spacing w:val="-8"/>
                <w:sz w:val="16"/>
                <w:szCs w:val="16"/>
              </w:rPr>
              <w:t xml:space="preserve"> </w:t>
            </w:r>
            <w:r w:rsidRPr="00FC5566">
              <w:rPr>
                <w:b/>
                <w:sz w:val="16"/>
                <w:szCs w:val="16"/>
              </w:rPr>
              <w:t>Valve</w:t>
            </w:r>
            <w:r w:rsidRPr="00FC5566">
              <w:rPr>
                <w:b/>
                <w:spacing w:val="-1"/>
                <w:sz w:val="16"/>
                <w:szCs w:val="16"/>
              </w:rPr>
              <w:t xml:space="preserve"> </w:t>
            </w:r>
            <w:r w:rsidRPr="00FC5566">
              <w:rPr>
                <w:b/>
                <w:spacing w:val="-2"/>
                <w:sz w:val="16"/>
                <w:szCs w:val="16"/>
              </w:rPr>
              <w:t>Assembly</w:t>
            </w:r>
          </w:p>
        </w:tc>
        <w:tc>
          <w:tcPr>
            <w:tcW w:w="1080" w:type="dxa"/>
            <w:vMerge/>
            <w:tcBorders>
              <w:top w:val="nil"/>
              <w:left w:val="double" w:sz="6" w:space="0" w:color="000000"/>
              <w:bottom w:val="nil"/>
              <w:right w:val="single" w:sz="6" w:space="0" w:color="000000"/>
            </w:tcBorders>
            <w:vAlign w:val="center"/>
            <w:hideMark/>
          </w:tcPr>
          <w:p w14:paraId="34572EFC" w14:textId="77777777" w:rsidR="00FC5566" w:rsidRPr="00FC5566" w:rsidRDefault="00FC5566" w:rsidP="00FC5566">
            <w:pPr>
              <w:spacing w:line="278" w:lineRule="auto"/>
              <w:rPr>
                <w:sz w:val="16"/>
                <w:szCs w:val="16"/>
              </w:rPr>
            </w:pPr>
          </w:p>
        </w:tc>
      </w:tr>
      <w:tr w:rsidR="00FC5566" w:rsidRPr="00FC5566" w14:paraId="6A0157ED" w14:textId="77777777" w:rsidTr="00B247D5">
        <w:trPr>
          <w:trHeight w:val="184"/>
        </w:trPr>
        <w:tc>
          <w:tcPr>
            <w:tcW w:w="1260" w:type="dxa"/>
            <w:gridSpan w:val="2"/>
            <w:vMerge/>
            <w:tcBorders>
              <w:top w:val="nil"/>
              <w:left w:val="single" w:sz="6" w:space="0" w:color="000000"/>
              <w:bottom w:val="nil"/>
              <w:right w:val="double" w:sz="6" w:space="0" w:color="000000"/>
            </w:tcBorders>
            <w:vAlign w:val="center"/>
            <w:hideMark/>
          </w:tcPr>
          <w:p w14:paraId="46EB1200" w14:textId="77777777" w:rsidR="00FC5566" w:rsidRPr="00FC5566" w:rsidRDefault="00FC5566" w:rsidP="00FC5566">
            <w:pPr>
              <w:spacing w:line="278" w:lineRule="auto"/>
              <w:rPr>
                <w:sz w:val="16"/>
                <w:szCs w:val="16"/>
              </w:rPr>
            </w:pPr>
          </w:p>
        </w:tc>
        <w:tc>
          <w:tcPr>
            <w:tcW w:w="8190" w:type="dxa"/>
            <w:gridSpan w:val="2"/>
            <w:tcBorders>
              <w:top w:val="single" w:sz="6" w:space="0" w:color="000000"/>
              <w:left w:val="double" w:sz="6" w:space="0" w:color="000000"/>
              <w:bottom w:val="nil"/>
              <w:right w:val="double" w:sz="6" w:space="0" w:color="000000"/>
            </w:tcBorders>
            <w:hideMark/>
          </w:tcPr>
          <w:p w14:paraId="431E5B72" w14:textId="77777777" w:rsidR="00FC5566" w:rsidRPr="00FC5566" w:rsidRDefault="00FC5566" w:rsidP="00FC5566">
            <w:pPr>
              <w:widowControl w:val="0"/>
              <w:autoSpaceDE w:val="0"/>
              <w:autoSpaceDN w:val="0"/>
              <w:spacing w:line="164" w:lineRule="exact"/>
              <w:ind w:left="91"/>
              <w:rPr>
                <w:sz w:val="16"/>
                <w:szCs w:val="16"/>
              </w:rPr>
            </w:pPr>
            <w:r w:rsidRPr="00FC5566">
              <w:rPr>
                <w:sz w:val="16"/>
                <w:szCs w:val="16"/>
              </w:rPr>
              <w:t>1. Fire</w:t>
            </w:r>
            <w:r w:rsidRPr="00FC5566">
              <w:rPr>
                <w:spacing w:val="-7"/>
                <w:sz w:val="16"/>
                <w:szCs w:val="16"/>
              </w:rPr>
              <w:t xml:space="preserve"> </w:t>
            </w:r>
            <w:r w:rsidRPr="00FC5566">
              <w:rPr>
                <w:sz w:val="16"/>
                <w:szCs w:val="16"/>
              </w:rPr>
              <w:t>Protection/Sprinkler</w:t>
            </w:r>
            <w:r w:rsidRPr="00FC5566">
              <w:rPr>
                <w:spacing w:val="-5"/>
                <w:sz w:val="16"/>
                <w:szCs w:val="16"/>
              </w:rPr>
              <w:t xml:space="preserve"> </w:t>
            </w:r>
            <w:r w:rsidRPr="00FC5566">
              <w:rPr>
                <w:sz w:val="16"/>
                <w:szCs w:val="16"/>
              </w:rPr>
              <w:t>Systems</w:t>
            </w:r>
            <w:r w:rsidRPr="00FC5566">
              <w:rPr>
                <w:spacing w:val="-5"/>
                <w:sz w:val="16"/>
                <w:szCs w:val="16"/>
              </w:rPr>
              <w:t xml:space="preserve"> </w:t>
            </w:r>
            <w:r w:rsidRPr="00FC5566">
              <w:rPr>
                <w:sz w:val="16"/>
                <w:szCs w:val="16"/>
              </w:rPr>
              <w:t>(a</w:t>
            </w:r>
            <w:r w:rsidRPr="00FC5566">
              <w:rPr>
                <w:spacing w:val="-4"/>
                <w:sz w:val="16"/>
                <w:szCs w:val="16"/>
              </w:rPr>
              <w:t xml:space="preserve"> </w:t>
            </w:r>
            <w:r w:rsidRPr="00FC5566">
              <w:rPr>
                <w:sz w:val="16"/>
                <w:szCs w:val="16"/>
              </w:rPr>
              <w:t>detector</w:t>
            </w:r>
            <w:r w:rsidRPr="00FC5566">
              <w:rPr>
                <w:spacing w:val="-7"/>
                <w:sz w:val="16"/>
                <w:szCs w:val="16"/>
              </w:rPr>
              <w:t xml:space="preserve"> </w:t>
            </w:r>
            <w:r w:rsidRPr="00FC5566">
              <w:rPr>
                <w:sz w:val="16"/>
                <w:szCs w:val="16"/>
              </w:rPr>
              <w:t>type</w:t>
            </w:r>
            <w:r w:rsidRPr="00FC5566">
              <w:rPr>
                <w:spacing w:val="-7"/>
                <w:sz w:val="16"/>
                <w:szCs w:val="16"/>
              </w:rPr>
              <w:t xml:space="preserve"> </w:t>
            </w:r>
            <w:r w:rsidRPr="00FC5566">
              <w:rPr>
                <w:sz w:val="16"/>
                <w:szCs w:val="16"/>
              </w:rPr>
              <w:t>double</w:t>
            </w:r>
            <w:r w:rsidRPr="00FC5566">
              <w:rPr>
                <w:spacing w:val="-6"/>
                <w:sz w:val="16"/>
                <w:szCs w:val="16"/>
              </w:rPr>
              <w:t xml:space="preserve"> </w:t>
            </w:r>
            <w:r w:rsidRPr="00FC5566">
              <w:rPr>
                <w:sz w:val="16"/>
                <w:szCs w:val="16"/>
              </w:rPr>
              <w:t>check</w:t>
            </w:r>
            <w:r w:rsidRPr="00FC5566">
              <w:rPr>
                <w:spacing w:val="-4"/>
                <w:sz w:val="16"/>
                <w:szCs w:val="16"/>
              </w:rPr>
              <w:t xml:space="preserve"> </w:t>
            </w:r>
            <w:r w:rsidRPr="00FC5566">
              <w:rPr>
                <w:sz w:val="16"/>
                <w:szCs w:val="16"/>
              </w:rPr>
              <w:t>valve</w:t>
            </w:r>
            <w:r w:rsidRPr="00FC5566">
              <w:rPr>
                <w:spacing w:val="-6"/>
                <w:sz w:val="16"/>
                <w:szCs w:val="16"/>
              </w:rPr>
              <w:t xml:space="preserve"> </w:t>
            </w:r>
            <w:r w:rsidRPr="00FC5566">
              <w:rPr>
                <w:sz w:val="16"/>
                <w:szCs w:val="16"/>
              </w:rPr>
              <w:t>assembly</w:t>
            </w:r>
            <w:r w:rsidRPr="00FC5566">
              <w:rPr>
                <w:spacing w:val="-7"/>
                <w:sz w:val="16"/>
                <w:szCs w:val="16"/>
              </w:rPr>
              <w:t xml:space="preserve"> </w:t>
            </w:r>
            <w:r w:rsidRPr="00FC5566">
              <w:rPr>
                <w:sz w:val="16"/>
                <w:szCs w:val="16"/>
              </w:rPr>
              <w:t>is</w:t>
            </w:r>
            <w:r w:rsidRPr="00FC5566">
              <w:rPr>
                <w:spacing w:val="-5"/>
                <w:sz w:val="16"/>
                <w:szCs w:val="16"/>
              </w:rPr>
              <w:t xml:space="preserve"> </w:t>
            </w:r>
            <w:r w:rsidRPr="00FC5566">
              <w:rPr>
                <w:sz w:val="16"/>
                <w:szCs w:val="16"/>
              </w:rPr>
              <w:t>required</w:t>
            </w:r>
            <w:r w:rsidRPr="00FC5566">
              <w:rPr>
                <w:spacing w:val="3"/>
                <w:sz w:val="16"/>
                <w:szCs w:val="16"/>
              </w:rPr>
              <w:t xml:space="preserve"> </w:t>
            </w:r>
            <w:r w:rsidRPr="00FC5566">
              <w:rPr>
                <w:sz w:val="16"/>
                <w:szCs w:val="16"/>
              </w:rPr>
              <w:t>on</w:t>
            </w:r>
            <w:r w:rsidRPr="00FC5566">
              <w:rPr>
                <w:spacing w:val="-5"/>
                <w:sz w:val="16"/>
                <w:szCs w:val="16"/>
              </w:rPr>
              <w:t xml:space="preserve"> </w:t>
            </w:r>
            <w:r w:rsidRPr="00FC5566">
              <w:rPr>
                <w:sz w:val="16"/>
                <w:szCs w:val="16"/>
              </w:rPr>
              <w:t>unmetered</w:t>
            </w:r>
            <w:r w:rsidRPr="00FC5566">
              <w:rPr>
                <w:spacing w:val="-4"/>
                <w:sz w:val="16"/>
                <w:szCs w:val="16"/>
              </w:rPr>
              <w:t xml:space="preserve"> </w:t>
            </w:r>
            <w:r w:rsidRPr="00FC5566">
              <w:rPr>
                <w:sz w:val="16"/>
                <w:szCs w:val="16"/>
              </w:rPr>
              <w:t>fire</w:t>
            </w:r>
            <w:r w:rsidRPr="00FC5566">
              <w:rPr>
                <w:spacing w:val="-6"/>
                <w:sz w:val="16"/>
                <w:szCs w:val="16"/>
              </w:rPr>
              <w:t xml:space="preserve"> </w:t>
            </w:r>
            <w:r w:rsidRPr="00FC5566">
              <w:rPr>
                <w:spacing w:val="-2"/>
                <w:sz w:val="16"/>
                <w:szCs w:val="16"/>
              </w:rPr>
              <w:t>lines)</w:t>
            </w:r>
          </w:p>
        </w:tc>
        <w:tc>
          <w:tcPr>
            <w:tcW w:w="1080" w:type="dxa"/>
            <w:vMerge/>
            <w:tcBorders>
              <w:top w:val="nil"/>
              <w:left w:val="double" w:sz="6" w:space="0" w:color="000000"/>
              <w:bottom w:val="nil"/>
              <w:right w:val="single" w:sz="6" w:space="0" w:color="000000"/>
            </w:tcBorders>
            <w:vAlign w:val="center"/>
            <w:hideMark/>
          </w:tcPr>
          <w:p w14:paraId="7EA70F42" w14:textId="77777777" w:rsidR="00FC5566" w:rsidRPr="00FC5566" w:rsidRDefault="00FC5566" w:rsidP="00FC5566">
            <w:pPr>
              <w:spacing w:line="278" w:lineRule="auto"/>
              <w:rPr>
                <w:sz w:val="16"/>
                <w:szCs w:val="16"/>
              </w:rPr>
            </w:pPr>
          </w:p>
        </w:tc>
      </w:tr>
      <w:tr w:rsidR="00FC5566" w:rsidRPr="00FC5566" w14:paraId="4682E706" w14:textId="77777777" w:rsidTr="00B247D5">
        <w:trPr>
          <w:trHeight w:val="553"/>
        </w:trPr>
        <w:tc>
          <w:tcPr>
            <w:tcW w:w="1260" w:type="dxa"/>
            <w:gridSpan w:val="2"/>
            <w:vMerge/>
            <w:tcBorders>
              <w:top w:val="nil"/>
              <w:left w:val="single" w:sz="6" w:space="0" w:color="000000"/>
              <w:bottom w:val="nil"/>
              <w:right w:val="double" w:sz="6" w:space="0" w:color="000000"/>
            </w:tcBorders>
            <w:vAlign w:val="center"/>
            <w:hideMark/>
          </w:tcPr>
          <w:p w14:paraId="5097102A" w14:textId="77777777" w:rsidR="00FC5566" w:rsidRPr="00FC5566" w:rsidRDefault="00FC5566" w:rsidP="00FC5566">
            <w:pPr>
              <w:spacing w:line="278" w:lineRule="auto"/>
              <w:rPr>
                <w:sz w:val="16"/>
                <w:szCs w:val="16"/>
              </w:rPr>
            </w:pPr>
          </w:p>
        </w:tc>
        <w:tc>
          <w:tcPr>
            <w:tcW w:w="8190" w:type="dxa"/>
            <w:gridSpan w:val="2"/>
            <w:tcBorders>
              <w:top w:val="nil"/>
              <w:left w:val="double" w:sz="6" w:space="0" w:color="000000"/>
              <w:bottom w:val="single" w:sz="6" w:space="0" w:color="000000"/>
              <w:right w:val="double" w:sz="6" w:space="0" w:color="000000"/>
            </w:tcBorders>
            <w:hideMark/>
          </w:tcPr>
          <w:p w14:paraId="4E53F8C5" w14:textId="77777777" w:rsidR="00FC5566" w:rsidRPr="00FC5566" w:rsidRDefault="00FC5566" w:rsidP="00FC5566">
            <w:pPr>
              <w:widowControl w:val="0"/>
              <w:autoSpaceDE w:val="0"/>
              <w:autoSpaceDN w:val="0"/>
              <w:spacing w:line="181" w:lineRule="exact"/>
              <w:ind w:left="91"/>
              <w:rPr>
                <w:sz w:val="16"/>
                <w:szCs w:val="16"/>
              </w:rPr>
            </w:pPr>
            <w:r w:rsidRPr="00FC5566">
              <w:rPr>
                <w:sz w:val="16"/>
                <w:szCs w:val="16"/>
              </w:rPr>
              <w:t>2. Two</w:t>
            </w:r>
            <w:r w:rsidRPr="00FC5566">
              <w:rPr>
                <w:spacing w:val="-4"/>
                <w:sz w:val="16"/>
                <w:szCs w:val="16"/>
              </w:rPr>
              <w:t xml:space="preserve"> </w:t>
            </w:r>
            <w:r w:rsidRPr="00FC5566">
              <w:rPr>
                <w:sz w:val="16"/>
                <w:szCs w:val="16"/>
              </w:rPr>
              <w:t>residential</w:t>
            </w:r>
            <w:r w:rsidRPr="00FC5566">
              <w:rPr>
                <w:spacing w:val="-5"/>
                <w:sz w:val="16"/>
                <w:szCs w:val="16"/>
              </w:rPr>
              <w:t xml:space="preserve"> </w:t>
            </w:r>
            <w:r w:rsidRPr="00FC5566">
              <w:rPr>
                <w:sz w:val="16"/>
                <w:szCs w:val="16"/>
              </w:rPr>
              <w:t>dwelling</w:t>
            </w:r>
            <w:r w:rsidRPr="00FC5566">
              <w:rPr>
                <w:spacing w:val="-4"/>
                <w:sz w:val="16"/>
                <w:szCs w:val="16"/>
              </w:rPr>
              <w:t xml:space="preserve"> </w:t>
            </w:r>
            <w:r w:rsidRPr="00FC5566">
              <w:rPr>
                <w:sz w:val="16"/>
                <w:szCs w:val="16"/>
              </w:rPr>
              <w:t>units</w:t>
            </w:r>
            <w:r w:rsidRPr="00FC5566">
              <w:rPr>
                <w:spacing w:val="-4"/>
                <w:sz w:val="16"/>
                <w:szCs w:val="16"/>
              </w:rPr>
              <w:t xml:space="preserve"> </w:t>
            </w:r>
            <w:r w:rsidRPr="00FC5566">
              <w:rPr>
                <w:sz w:val="16"/>
                <w:szCs w:val="16"/>
              </w:rPr>
              <w:t>served</w:t>
            </w:r>
            <w:r w:rsidRPr="00FC5566">
              <w:rPr>
                <w:spacing w:val="-3"/>
                <w:sz w:val="16"/>
                <w:szCs w:val="16"/>
              </w:rPr>
              <w:t xml:space="preserve"> </w:t>
            </w:r>
            <w:r w:rsidRPr="00FC5566">
              <w:rPr>
                <w:sz w:val="16"/>
                <w:szCs w:val="16"/>
              </w:rPr>
              <w:t>by</w:t>
            </w:r>
            <w:r w:rsidRPr="00FC5566">
              <w:rPr>
                <w:spacing w:val="-6"/>
                <w:sz w:val="16"/>
                <w:szCs w:val="16"/>
              </w:rPr>
              <w:t xml:space="preserve"> </w:t>
            </w:r>
            <w:r w:rsidRPr="00FC5566">
              <w:rPr>
                <w:sz w:val="16"/>
                <w:szCs w:val="16"/>
              </w:rPr>
              <w:t>a</w:t>
            </w:r>
            <w:r w:rsidRPr="00FC5566">
              <w:rPr>
                <w:spacing w:val="-3"/>
                <w:sz w:val="16"/>
                <w:szCs w:val="16"/>
              </w:rPr>
              <w:t xml:space="preserve"> </w:t>
            </w:r>
            <w:r w:rsidRPr="00FC5566">
              <w:rPr>
                <w:sz w:val="16"/>
                <w:szCs w:val="16"/>
              </w:rPr>
              <w:t>master</w:t>
            </w:r>
            <w:r w:rsidRPr="00FC5566">
              <w:rPr>
                <w:spacing w:val="-5"/>
                <w:sz w:val="16"/>
                <w:szCs w:val="16"/>
              </w:rPr>
              <w:t xml:space="preserve"> </w:t>
            </w:r>
            <w:r w:rsidRPr="00FC5566">
              <w:rPr>
                <w:sz w:val="16"/>
                <w:szCs w:val="16"/>
              </w:rPr>
              <w:t>meter,</w:t>
            </w:r>
            <w:r w:rsidRPr="00FC5566">
              <w:rPr>
                <w:spacing w:val="-3"/>
                <w:sz w:val="16"/>
                <w:szCs w:val="16"/>
              </w:rPr>
              <w:t xml:space="preserve"> </w:t>
            </w:r>
            <w:r w:rsidRPr="00FC5566">
              <w:rPr>
                <w:sz w:val="16"/>
                <w:szCs w:val="16"/>
              </w:rPr>
              <w:t>unless</w:t>
            </w:r>
            <w:r w:rsidRPr="00FC5566">
              <w:rPr>
                <w:spacing w:val="-3"/>
                <w:sz w:val="16"/>
                <w:szCs w:val="16"/>
              </w:rPr>
              <w:t xml:space="preserve"> </w:t>
            </w:r>
            <w:r w:rsidRPr="00FC5566">
              <w:rPr>
                <w:sz w:val="16"/>
                <w:szCs w:val="16"/>
              </w:rPr>
              <w:t>both</w:t>
            </w:r>
            <w:r w:rsidRPr="00FC5566">
              <w:rPr>
                <w:spacing w:val="-5"/>
                <w:sz w:val="16"/>
                <w:szCs w:val="16"/>
              </w:rPr>
              <w:t xml:space="preserve"> </w:t>
            </w:r>
            <w:r w:rsidRPr="00FC5566">
              <w:rPr>
                <w:sz w:val="16"/>
                <w:szCs w:val="16"/>
              </w:rPr>
              <w:t>units</w:t>
            </w:r>
            <w:r w:rsidRPr="00FC5566">
              <w:rPr>
                <w:spacing w:val="-5"/>
                <w:sz w:val="16"/>
                <w:szCs w:val="16"/>
              </w:rPr>
              <w:t xml:space="preserve"> </w:t>
            </w:r>
            <w:r w:rsidRPr="00FC5566">
              <w:rPr>
                <w:sz w:val="16"/>
                <w:szCs w:val="16"/>
              </w:rPr>
              <w:t>are</w:t>
            </w:r>
            <w:r w:rsidRPr="00FC5566">
              <w:rPr>
                <w:spacing w:val="-6"/>
                <w:sz w:val="16"/>
                <w:szCs w:val="16"/>
              </w:rPr>
              <w:t xml:space="preserve"> </w:t>
            </w:r>
            <w:r w:rsidRPr="00FC5566">
              <w:rPr>
                <w:sz w:val="16"/>
                <w:szCs w:val="16"/>
              </w:rPr>
              <w:t>located</w:t>
            </w:r>
            <w:r w:rsidRPr="00FC5566">
              <w:rPr>
                <w:spacing w:val="-3"/>
                <w:sz w:val="16"/>
                <w:szCs w:val="16"/>
              </w:rPr>
              <w:t xml:space="preserve"> </w:t>
            </w:r>
            <w:r w:rsidRPr="00FC5566">
              <w:rPr>
                <w:sz w:val="16"/>
                <w:szCs w:val="16"/>
              </w:rPr>
              <w:t>on</w:t>
            </w:r>
            <w:r w:rsidRPr="00FC5566">
              <w:rPr>
                <w:spacing w:val="-4"/>
                <w:sz w:val="16"/>
                <w:szCs w:val="16"/>
              </w:rPr>
              <w:t xml:space="preserve"> </w:t>
            </w:r>
            <w:r w:rsidRPr="00FC5566">
              <w:rPr>
                <w:sz w:val="16"/>
                <w:szCs w:val="16"/>
              </w:rPr>
              <w:t>a</w:t>
            </w:r>
            <w:r w:rsidRPr="00FC5566">
              <w:rPr>
                <w:spacing w:val="-6"/>
                <w:sz w:val="16"/>
                <w:szCs w:val="16"/>
              </w:rPr>
              <w:t xml:space="preserve"> </w:t>
            </w:r>
            <w:r w:rsidRPr="00FC5566">
              <w:rPr>
                <w:sz w:val="16"/>
                <w:szCs w:val="16"/>
              </w:rPr>
              <w:t>parcel</w:t>
            </w:r>
            <w:r w:rsidRPr="00FC5566">
              <w:rPr>
                <w:spacing w:val="-4"/>
                <w:sz w:val="16"/>
                <w:szCs w:val="16"/>
              </w:rPr>
              <w:t xml:space="preserve"> </w:t>
            </w:r>
            <w:r w:rsidRPr="00FC5566">
              <w:rPr>
                <w:sz w:val="16"/>
                <w:szCs w:val="16"/>
              </w:rPr>
              <w:t>or</w:t>
            </w:r>
            <w:r w:rsidRPr="00FC5566">
              <w:rPr>
                <w:spacing w:val="-5"/>
                <w:sz w:val="16"/>
                <w:szCs w:val="16"/>
              </w:rPr>
              <w:t xml:space="preserve"> </w:t>
            </w:r>
            <w:r w:rsidRPr="00FC5566">
              <w:rPr>
                <w:sz w:val="16"/>
                <w:szCs w:val="16"/>
              </w:rPr>
              <w:t>contiguous</w:t>
            </w:r>
            <w:r w:rsidRPr="00FC5566">
              <w:rPr>
                <w:spacing w:val="-5"/>
                <w:sz w:val="16"/>
                <w:szCs w:val="16"/>
              </w:rPr>
              <w:t xml:space="preserve"> </w:t>
            </w:r>
            <w:r w:rsidRPr="00FC5566">
              <w:rPr>
                <w:spacing w:val="-2"/>
                <w:sz w:val="16"/>
                <w:szCs w:val="16"/>
              </w:rPr>
              <w:t>parcels</w:t>
            </w:r>
          </w:p>
          <w:p w14:paraId="067B6B6C" w14:textId="77777777" w:rsidR="00FC5566" w:rsidRPr="00FC5566" w:rsidRDefault="00FC5566" w:rsidP="00FC5566">
            <w:pPr>
              <w:widowControl w:val="0"/>
              <w:autoSpaceDE w:val="0"/>
              <w:autoSpaceDN w:val="0"/>
              <w:spacing w:line="180" w:lineRule="atLeast"/>
              <w:ind w:left="91" w:right="174"/>
              <w:rPr>
                <w:sz w:val="16"/>
                <w:szCs w:val="16"/>
              </w:rPr>
            </w:pPr>
            <w:r w:rsidRPr="00FC5566">
              <w:rPr>
                <w:sz w:val="16"/>
                <w:szCs w:val="16"/>
              </w:rPr>
              <w:t>of</w:t>
            </w:r>
            <w:r w:rsidRPr="00FC5566">
              <w:rPr>
                <w:spacing w:val="-3"/>
                <w:sz w:val="16"/>
                <w:szCs w:val="16"/>
              </w:rPr>
              <w:t xml:space="preserve"> </w:t>
            </w:r>
            <w:r w:rsidRPr="00FC5566">
              <w:rPr>
                <w:sz w:val="16"/>
                <w:szCs w:val="16"/>
              </w:rPr>
              <w:t>land</w:t>
            </w:r>
            <w:r w:rsidRPr="00FC5566">
              <w:rPr>
                <w:spacing w:val="-3"/>
                <w:sz w:val="16"/>
                <w:szCs w:val="16"/>
              </w:rPr>
              <w:t xml:space="preserve"> </w:t>
            </w:r>
            <w:r w:rsidRPr="00FC5566">
              <w:rPr>
                <w:sz w:val="16"/>
                <w:szCs w:val="16"/>
              </w:rPr>
              <w:t>having</w:t>
            </w:r>
            <w:r w:rsidRPr="00FC5566">
              <w:rPr>
                <w:spacing w:val="-5"/>
                <w:sz w:val="16"/>
                <w:szCs w:val="16"/>
              </w:rPr>
              <w:t xml:space="preserve"> </w:t>
            </w:r>
            <w:r w:rsidRPr="00FC5566">
              <w:rPr>
                <w:sz w:val="16"/>
                <w:szCs w:val="16"/>
              </w:rPr>
              <w:t>the</w:t>
            </w:r>
            <w:r w:rsidRPr="00FC5566">
              <w:rPr>
                <w:spacing w:val="-4"/>
                <w:sz w:val="16"/>
                <w:szCs w:val="16"/>
              </w:rPr>
              <w:t xml:space="preserve"> </w:t>
            </w:r>
            <w:r w:rsidRPr="00FC5566">
              <w:rPr>
                <w:sz w:val="16"/>
                <w:szCs w:val="16"/>
              </w:rPr>
              <w:t>same</w:t>
            </w:r>
            <w:r w:rsidRPr="00FC5566">
              <w:rPr>
                <w:spacing w:val="-4"/>
                <w:sz w:val="16"/>
                <w:szCs w:val="16"/>
              </w:rPr>
              <w:t xml:space="preserve"> </w:t>
            </w:r>
            <w:r w:rsidRPr="00FC5566">
              <w:rPr>
                <w:sz w:val="16"/>
                <w:szCs w:val="16"/>
              </w:rPr>
              <w:t>ownership</w:t>
            </w:r>
            <w:r w:rsidRPr="00FC5566">
              <w:rPr>
                <w:spacing w:val="-1"/>
                <w:sz w:val="16"/>
                <w:szCs w:val="16"/>
              </w:rPr>
              <w:t xml:space="preserve"> </w:t>
            </w:r>
            <w:r w:rsidRPr="00FC5566">
              <w:rPr>
                <w:sz w:val="16"/>
                <w:szCs w:val="16"/>
              </w:rPr>
              <w:t>and</w:t>
            </w:r>
            <w:r w:rsidRPr="00FC5566">
              <w:rPr>
                <w:spacing w:val="-3"/>
                <w:sz w:val="16"/>
                <w:szCs w:val="16"/>
              </w:rPr>
              <w:t xml:space="preserve"> </w:t>
            </w:r>
            <w:r w:rsidRPr="00FC5566">
              <w:rPr>
                <w:sz w:val="16"/>
                <w:szCs w:val="16"/>
              </w:rPr>
              <w:t>neither</w:t>
            </w:r>
            <w:r w:rsidRPr="00FC5566">
              <w:rPr>
                <w:spacing w:val="-3"/>
                <w:sz w:val="16"/>
                <w:szCs w:val="16"/>
              </w:rPr>
              <w:t xml:space="preserve"> </w:t>
            </w:r>
            <w:r w:rsidRPr="00FC5566">
              <w:rPr>
                <w:sz w:val="16"/>
                <w:szCs w:val="16"/>
              </w:rPr>
              <w:t>unit</w:t>
            </w:r>
            <w:r w:rsidRPr="00FC5566">
              <w:rPr>
                <w:spacing w:val="-1"/>
                <w:sz w:val="16"/>
                <w:szCs w:val="16"/>
              </w:rPr>
              <w:t xml:space="preserve"> </w:t>
            </w:r>
            <w:r w:rsidRPr="00FC5566">
              <w:rPr>
                <w:sz w:val="16"/>
                <w:szCs w:val="16"/>
              </w:rPr>
              <w:t>is</w:t>
            </w:r>
            <w:r w:rsidRPr="00FC5566">
              <w:rPr>
                <w:spacing w:val="-4"/>
                <w:sz w:val="16"/>
                <w:szCs w:val="16"/>
              </w:rPr>
              <w:t xml:space="preserve"> </w:t>
            </w:r>
            <w:r w:rsidRPr="00FC5566">
              <w:rPr>
                <w:sz w:val="16"/>
                <w:szCs w:val="16"/>
              </w:rPr>
              <w:t>used</w:t>
            </w:r>
            <w:r w:rsidRPr="00FC5566">
              <w:rPr>
                <w:spacing w:val="-3"/>
                <w:sz w:val="16"/>
                <w:szCs w:val="16"/>
              </w:rPr>
              <w:t xml:space="preserve"> </w:t>
            </w:r>
            <w:r w:rsidRPr="00FC5566">
              <w:rPr>
                <w:sz w:val="16"/>
                <w:szCs w:val="16"/>
              </w:rPr>
              <w:t>for</w:t>
            </w:r>
            <w:r w:rsidRPr="00FC5566">
              <w:rPr>
                <w:spacing w:val="-3"/>
                <w:sz w:val="16"/>
                <w:szCs w:val="16"/>
              </w:rPr>
              <w:t xml:space="preserve"> </w:t>
            </w:r>
            <w:r w:rsidRPr="00FC5566">
              <w:rPr>
                <w:sz w:val="16"/>
                <w:szCs w:val="16"/>
              </w:rPr>
              <w:t>commercial</w:t>
            </w:r>
            <w:r w:rsidRPr="00FC5566">
              <w:rPr>
                <w:spacing w:val="-6"/>
                <w:sz w:val="16"/>
                <w:szCs w:val="16"/>
              </w:rPr>
              <w:t xml:space="preserve"> </w:t>
            </w:r>
            <w:r w:rsidRPr="00FC5566">
              <w:rPr>
                <w:sz w:val="16"/>
                <w:szCs w:val="16"/>
              </w:rPr>
              <w:t>purposes.</w:t>
            </w:r>
            <w:r w:rsidRPr="00FC5566">
              <w:rPr>
                <w:spacing w:val="-1"/>
                <w:sz w:val="16"/>
                <w:szCs w:val="16"/>
              </w:rPr>
              <w:t xml:space="preserve"> </w:t>
            </w:r>
            <w:r w:rsidRPr="00FC5566">
              <w:rPr>
                <w:sz w:val="16"/>
                <w:szCs w:val="16"/>
              </w:rPr>
              <w:t>As</w:t>
            </w:r>
            <w:r w:rsidRPr="00FC5566">
              <w:rPr>
                <w:spacing w:val="-2"/>
                <w:sz w:val="16"/>
                <w:szCs w:val="16"/>
              </w:rPr>
              <w:t xml:space="preserve"> </w:t>
            </w:r>
            <w:r w:rsidRPr="00FC5566">
              <w:rPr>
                <w:sz w:val="16"/>
                <w:szCs w:val="16"/>
              </w:rPr>
              <w:t>used</w:t>
            </w:r>
            <w:r w:rsidRPr="00FC5566">
              <w:rPr>
                <w:spacing w:val="-3"/>
                <w:sz w:val="16"/>
                <w:szCs w:val="16"/>
              </w:rPr>
              <w:t xml:space="preserve"> </w:t>
            </w:r>
            <w:r w:rsidRPr="00FC5566">
              <w:rPr>
                <w:sz w:val="16"/>
                <w:szCs w:val="16"/>
              </w:rPr>
              <w:t>herein,</w:t>
            </w:r>
            <w:r w:rsidRPr="00FC5566">
              <w:rPr>
                <w:spacing w:val="-4"/>
                <w:sz w:val="16"/>
                <w:szCs w:val="16"/>
              </w:rPr>
              <w:t xml:space="preserve"> </w:t>
            </w:r>
            <w:r w:rsidRPr="00FC5566">
              <w:rPr>
                <w:sz w:val="16"/>
                <w:szCs w:val="16"/>
              </w:rPr>
              <w:t>the</w:t>
            </w:r>
            <w:r w:rsidRPr="00FC5566">
              <w:rPr>
                <w:spacing w:val="-4"/>
                <w:sz w:val="16"/>
                <w:szCs w:val="16"/>
              </w:rPr>
              <w:t xml:space="preserve"> </w:t>
            </w:r>
            <w:r w:rsidRPr="00FC5566">
              <w:rPr>
                <w:sz w:val="16"/>
                <w:szCs w:val="16"/>
              </w:rPr>
              <w:t>term</w:t>
            </w:r>
            <w:r w:rsidRPr="00FC5566">
              <w:rPr>
                <w:spacing w:val="40"/>
                <w:sz w:val="16"/>
                <w:szCs w:val="16"/>
              </w:rPr>
              <w:t xml:space="preserve"> </w:t>
            </w:r>
            <w:r w:rsidRPr="00FC5566">
              <w:rPr>
                <w:sz w:val="16"/>
                <w:szCs w:val="16"/>
              </w:rPr>
              <w:t>“commercial purposes” means any use other than residential.</w:t>
            </w:r>
          </w:p>
        </w:tc>
        <w:tc>
          <w:tcPr>
            <w:tcW w:w="1080" w:type="dxa"/>
            <w:vMerge/>
            <w:tcBorders>
              <w:top w:val="nil"/>
              <w:left w:val="double" w:sz="6" w:space="0" w:color="000000"/>
              <w:bottom w:val="nil"/>
              <w:right w:val="single" w:sz="6" w:space="0" w:color="000000"/>
            </w:tcBorders>
            <w:vAlign w:val="center"/>
            <w:hideMark/>
          </w:tcPr>
          <w:p w14:paraId="47D4B725" w14:textId="77777777" w:rsidR="00FC5566" w:rsidRPr="00FC5566" w:rsidRDefault="00FC5566" w:rsidP="00FC5566">
            <w:pPr>
              <w:spacing w:line="278" w:lineRule="auto"/>
              <w:rPr>
                <w:sz w:val="16"/>
                <w:szCs w:val="16"/>
              </w:rPr>
            </w:pPr>
          </w:p>
        </w:tc>
      </w:tr>
      <w:tr w:rsidR="00FC5566" w:rsidRPr="00FC5566" w14:paraId="1AF618B1" w14:textId="77777777" w:rsidTr="00B247D5">
        <w:trPr>
          <w:trHeight w:val="181"/>
        </w:trPr>
        <w:tc>
          <w:tcPr>
            <w:tcW w:w="1260" w:type="dxa"/>
            <w:gridSpan w:val="2"/>
            <w:vMerge/>
            <w:tcBorders>
              <w:top w:val="nil"/>
              <w:left w:val="single" w:sz="6" w:space="0" w:color="000000"/>
              <w:bottom w:val="nil"/>
              <w:right w:val="double" w:sz="6" w:space="0" w:color="000000"/>
            </w:tcBorders>
            <w:vAlign w:val="center"/>
            <w:hideMark/>
          </w:tcPr>
          <w:p w14:paraId="26E5B031" w14:textId="77777777" w:rsidR="00FC5566" w:rsidRPr="00FC5566" w:rsidRDefault="00FC5566" w:rsidP="00FC5566">
            <w:pPr>
              <w:spacing w:line="278" w:lineRule="auto"/>
              <w:rPr>
                <w:sz w:val="16"/>
                <w:szCs w:val="16"/>
              </w:rPr>
            </w:pPr>
          </w:p>
        </w:tc>
        <w:tc>
          <w:tcPr>
            <w:tcW w:w="8190" w:type="dxa"/>
            <w:gridSpan w:val="2"/>
            <w:tcBorders>
              <w:top w:val="single" w:sz="6" w:space="0" w:color="000000"/>
              <w:left w:val="double" w:sz="6" w:space="0" w:color="000000"/>
              <w:bottom w:val="single" w:sz="6" w:space="0" w:color="000000"/>
              <w:right w:val="double" w:sz="6" w:space="0" w:color="000000"/>
            </w:tcBorders>
            <w:hideMark/>
          </w:tcPr>
          <w:p w14:paraId="54A50790" w14:textId="77777777" w:rsidR="00FC5566" w:rsidRPr="00FC5566" w:rsidRDefault="00FC5566" w:rsidP="00FC5566">
            <w:pPr>
              <w:widowControl w:val="0"/>
              <w:autoSpaceDE w:val="0"/>
              <w:autoSpaceDN w:val="0"/>
              <w:spacing w:line="162" w:lineRule="exact"/>
              <w:ind w:left="91"/>
              <w:rPr>
                <w:sz w:val="16"/>
                <w:szCs w:val="16"/>
              </w:rPr>
            </w:pPr>
            <w:r w:rsidRPr="00FC5566">
              <w:rPr>
                <w:sz w:val="16"/>
                <w:szCs w:val="16"/>
              </w:rPr>
              <w:t>3. Three</w:t>
            </w:r>
            <w:r w:rsidRPr="00FC5566">
              <w:rPr>
                <w:spacing w:val="-5"/>
                <w:sz w:val="16"/>
                <w:szCs w:val="16"/>
              </w:rPr>
              <w:t xml:space="preserve"> </w:t>
            </w:r>
            <w:r w:rsidRPr="00FC5566">
              <w:rPr>
                <w:sz w:val="16"/>
                <w:szCs w:val="16"/>
              </w:rPr>
              <w:t>or</w:t>
            </w:r>
            <w:r w:rsidRPr="00FC5566">
              <w:rPr>
                <w:spacing w:val="-4"/>
                <w:sz w:val="16"/>
                <w:szCs w:val="16"/>
              </w:rPr>
              <w:t xml:space="preserve"> </w:t>
            </w:r>
            <w:r w:rsidRPr="00FC5566">
              <w:rPr>
                <w:sz w:val="16"/>
                <w:szCs w:val="16"/>
              </w:rPr>
              <w:t>more</w:t>
            </w:r>
            <w:r w:rsidRPr="00FC5566">
              <w:rPr>
                <w:spacing w:val="-5"/>
                <w:sz w:val="16"/>
                <w:szCs w:val="16"/>
              </w:rPr>
              <w:t xml:space="preserve"> </w:t>
            </w:r>
            <w:r w:rsidRPr="00FC5566">
              <w:rPr>
                <w:sz w:val="16"/>
                <w:szCs w:val="16"/>
              </w:rPr>
              <w:t>residential</w:t>
            </w:r>
            <w:r w:rsidRPr="00FC5566">
              <w:rPr>
                <w:spacing w:val="-3"/>
                <w:sz w:val="16"/>
                <w:szCs w:val="16"/>
              </w:rPr>
              <w:t xml:space="preserve"> </w:t>
            </w:r>
            <w:r w:rsidRPr="00FC5566">
              <w:rPr>
                <w:sz w:val="16"/>
                <w:szCs w:val="16"/>
              </w:rPr>
              <w:t>dwelling</w:t>
            </w:r>
            <w:r w:rsidRPr="00FC5566">
              <w:rPr>
                <w:spacing w:val="-4"/>
                <w:sz w:val="16"/>
                <w:szCs w:val="16"/>
              </w:rPr>
              <w:t xml:space="preserve"> </w:t>
            </w:r>
            <w:r w:rsidRPr="00FC5566">
              <w:rPr>
                <w:sz w:val="16"/>
                <w:szCs w:val="16"/>
              </w:rPr>
              <w:t>units</w:t>
            </w:r>
            <w:r w:rsidRPr="00FC5566">
              <w:rPr>
                <w:spacing w:val="-5"/>
                <w:sz w:val="16"/>
                <w:szCs w:val="16"/>
              </w:rPr>
              <w:t xml:space="preserve"> </w:t>
            </w:r>
            <w:r w:rsidRPr="00FC5566">
              <w:rPr>
                <w:sz w:val="16"/>
                <w:szCs w:val="16"/>
              </w:rPr>
              <w:t>served</w:t>
            </w:r>
            <w:r w:rsidRPr="00FC5566">
              <w:rPr>
                <w:spacing w:val="-2"/>
                <w:sz w:val="16"/>
                <w:szCs w:val="16"/>
              </w:rPr>
              <w:t xml:space="preserve"> </w:t>
            </w:r>
            <w:r w:rsidRPr="00FC5566">
              <w:rPr>
                <w:sz w:val="16"/>
                <w:szCs w:val="16"/>
              </w:rPr>
              <w:t>by</w:t>
            </w:r>
            <w:r w:rsidRPr="00FC5566">
              <w:rPr>
                <w:spacing w:val="-6"/>
                <w:sz w:val="16"/>
                <w:szCs w:val="16"/>
              </w:rPr>
              <w:t xml:space="preserve"> </w:t>
            </w:r>
            <w:r w:rsidRPr="00FC5566">
              <w:rPr>
                <w:sz w:val="16"/>
                <w:szCs w:val="16"/>
              </w:rPr>
              <w:t>a</w:t>
            </w:r>
            <w:r w:rsidRPr="00FC5566">
              <w:rPr>
                <w:spacing w:val="-2"/>
                <w:sz w:val="16"/>
                <w:szCs w:val="16"/>
              </w:rPr>
              <w:t xml:space="preserve"> </w:t>
            </w:r>
            <w:r w:rsidRPr="00FC5566">
              <w:rPr>
                <w:sz w:val="16"/>
                <w:szCs w:val="16"/>
              </w:rPr>
              <w:t>master</w:t>
            </w:r>
            <w:r w:rsidRPr="00FC5566">
              <w:rPr>
                <w:spacing w:val="-3"/>
                <w:sz w:val="16"/>
                <w:szCs w:val="16"/>
              </w:rPr>
              <w:t xml:space="preserve"> </w:t>
            </w:r>
            <w:r w:rsidRPr="00FC5566">
              <w:rPr>
                <w:spacing w:val="-4"/>
                <w:sz w:val="16"/>
                <w:szCs w:val="16"/>
              </w:rPr>
              <w:t>meter</w:t>
            </w:r>
          </w:p>
        </w:tc>
        <w:tc>
          <w:tcPr>
            <w:tcW w:w="1080" w:type="dxa"/>
            <w:vMerge/>
            <w:tcBorders>
              <w:top w:val="nil"/>
              <w:left w:val="double" w:sz="6" w:space="0" w:color="000000"/>
              <w:bottom w:val="nil"/>
              <w:right w:val="single" w:sz="6" w:space="0" w:color="000000"/>
            </w:tcBorders>
            <w:vAlign w:val="center"/>
            <w:hideMark/>
          </w:tcPr>
          <w:p w14:paraId="5A200F41" w14:textId="77777777" w:rsidR="00FC5566" w:rsidRPr="00FC5566" w:rsidRDefault="00FC5566" w:rsidP="00FC5566">
            <w:pPr>
              <w:spacing w:line="278" w:lineRule="auto"/>
              <w:rPr>
                <w:sz w:val="16"/>
                <w:szCs w:val="16"/>
              </w:rPr>
            </w:pPr>
          </w:p>
        </w:tc>
      </w:tr>
      <w:tr w:rsidR="00FC5566" w:rsidRPr="00FC5566" w14:paraId="754A3B61" w14:textId="77777777" w:rsidTr="00B247D5">
        <w:trPr>
          <w:trHeight w:val="185"/>
        </w:trPr>
        <w:tc>
          <w:tcPr>
            <w:tcW w:w="1260" w:type="dxa"/>
            <w:gridSpan w:val="2"/>
            <w:vMerge/>
            <w:tcBorders>
              <w:top w:val="nil"/>
              <w:left w:val="single" w:sz="6" w:space="0" w:color="000000"/>
              <w:bottom w:val="nil"/>
              <w:right w:val="double" w:sz="6" w:space="0" w:color="000000"/>
            </w:tcBorders>
            <w:vAlign w:val="center"/>
          </w:tcPr>
          <w:p w14:paraId="6E1DFD3D" w14:textId="77777777" w:rsidR="00FC5566" w:rsidRPr="00FC5566" w:rsidRDefault="00FC5566" w:rsidP="00FC5566">
            <w:pPr>
              <w:spacing w:line="278" w:lineRule="auto"/>
              <w:rPr>
                <w:sz w:val="16"/>
                <w:szCs w:val="16"/>
              </w:rPr>
            </w:pPr>
          </w:p>
        </w:tc>
        <w:tc>
          <w:tcPr>
            <w:tcW w:w="8190" w:type="dxa"/>
            <w:gridSpan w:val="2"/>
            <w:tcBorders>
              <w:top w:val="single" w:sz="6" w:space="0" w:color="000000"/>
              <w:left w:val="double" w:sz="6" w:space="0" w:color="000000"/>
              <w:bottom w:val="single" w:sz="6" w:space="0" w:color="000000"/>
              <w:right w:val="double" w:sz="6" w:space="0" w:color="000000"/>
            </w:tcBorders>
          </w:tcPr>
          <w:p w14:paraId="0F88FD2E" w14:textId="77777777" w:rsidR="00FC5566" w:rsidRPr="00FC5566" w:rsidRDefault="00FC5566" w:rsidP="00FC5566">
            <w:pPr>
              <w:widowControl w:val="0"/>
              <w:autoSpaceDE w:val="0"/>
              <w:autoSpaceDN w:val="0"/>
              <w:spacing w:line="166" w:lineRule="exact"/>
              <w:ind w:left="91"/>
              <w:rPr>
                <w:sz w:val="16"/>
                <w:szCs w:val="16"/>
              </w:rPr>
            </w:pPr>
            <w:r w:rsidRPr="00FC5566">
              <w:rPr>
                <w:sz w:val="16"/>
                <w:szCs w:val="16"/>
              </w:rPr>
              <w:t>4. Multistoried Office/Commercial Buildings (over 3 floors)</w:t>
            </w:r>
          </w:p>
        </w:tc>
        <w:tc>
          <w:tcPr>
            <w:tcW w:w="1080" w:type="dxa"/>
            <w:vMerge/>
            <w:tcBorders>
              <w:top w:val="nil"/>
              <w:left w:val="double" w:sz="6" w:space="0" w:color="000000"/>
              <w:bottom w:val="nil"/>
              <w:right w:val="single" w:sz="6" w:space="0" w:color="000000"/>
            </w:tcBorders>
            <w:vAlign w:val="center"/>
          </w:tcPr>
          <w:p w14:paraId="15659678" w14:textId="77777777" w:rsidR="00FC5566" w:rsidRPr="00FC5566" w:rsidRDefault="00FC5566" w:rsidP="00FC5566">
            <w:pPr>
              <w:spacing w:line="278" w:lineRule="auto"/>
              <w:rPr>
                <w:sz w:val="16"/>
                <w:szCs w:val="16"/>
              </w:rPr>
            </w:pPr>
          </w:p>
        </w:tc>
      </w:tr>
      <w:tr w:rsidR="00FC5566" w:rsidRPr="00FC5566" w14:paraId="758C71C2" w14:textId="77777777" w:rsidTr="00B247D5">
        <w:trPr>
          <w:trHeight w:val="185"/>
        </w:trPr>
        <w:tc>
          <w:tcPr>
            <w:tcW w:w="1260" w:type="dxa"/>
            <w:gridSpan w:val="2"/>
            <w:vMerge/>
            <w:tcBorders>
              <w:top w:val="nil"/>
              <w:left w:val="single" w:sz="6" w:space="0" w:color="000000"/>
              <w:bottom w:val="nil"/>
              <w:right w:val="double" w:sz="6" w:space="0" w:color="000000"/>
            </w:tcBorders>
            <w:vAlign w:val="center"/>
            <w:hideMark/>
          </w:tcPr>
          <w:p w14:paraId="3BD4E483" w14:textId="77777777" w:rsidR="00FC5566" w:rsidRPr="00FC5566" w:rsidRDefault="00FC5566" w:rsidP="00FC5566">
            <w:pPr>
              <w:spacing w:line="278" w:lineRule="auto"/>
              <w:rPr>
                <w:sz w:val="16"/>
                <w:szCs w:val="16"/>
              </w:rPr>
            </w:pPr>
          </w:p>
        </w:tc>
        <w:tc>
          <w:tcPr>
            <w:tcW w:w="8190" w:type="dxa"/>
            <w:gridSpan w:val="2"/>
            <w:tcBorders>
              <w:top w:val="single" w:sz="6" w:space="0" w:color="000000"/>
              <w:left w:val="double" w:sz="6" w:space="0" w:color="000000"/>
              <w:bottom w:val="single" w:sz="6" w:space="0" w:color="000000"/>
              <w:right w:val="double" w:sz="6" w:space="0" w:color="000000"/>
            </w:tcBorders>
            <w:hideMark/>
          </w:tcPr>
          <w:p w14:paraId="714F3B32" w14:textId="77777777" w:rsidR="00FC5566" w:rsidRPr="00FC5566" w:rsidRDefault="00FC5566" w:rsidP="00FC5566">
            <w:pPr>
              <w:widowControl w:val="0"/>
              <w:autoSpaceDE w:val="0"/>
              <w:autoSpaceDN w:val="0"/>
              <w:spacing w:line="166" w:lineRule="exact"/>
              <w:ind w:left="91"/>
              <w:rPr>
                <w:sz w:val="16"/>
                <w:szCs w:val="16"/>
              </w:rPr>
            </w:pPr>
            <w:r w:rsidRPr="00FC5566">
              <w:rPr>
                <w:sz w:val="16"/>
                <w:szCs w:val="16"/>
              </w:rPr>
              <w:t>5. Jails, Prisons, and Other Places of Detention or Incarceration</w:t>
            </w:r>
          </w:p>
        </w:tc>
        <w:tc>
          <w:tcPr>
            <w:tcW w:w="1080" w:type="dxa"/>
            <w:vMerge/>
            <w:tcBorders>
              <w:top w:val="nil"/>
              <w:left w:val="double" w:sz="6" w:space="0" w:color="000000"/>
              <w:bottom w:val="nil"/>
              <w:right w:val="single" w:sz="6" w:space="0" w:color="000000"/>
            </w:tcBorders>
            <w:vAlign w:val="center"/>
            <w:hideMark/>
          </w:tcPr>
          <w:p w14:paraId="079EE38E" w14:textId="77777777" w:rsidR="00FC5566" w:rsidRPr="00FC5566" w:rsidRDefault="00FC5566" w:rsidP="00FC5566">
            <w:pPr>
              <w:spacing w:line="278" w:lineRule="auto"/>
              <w:rPr>
                <w:sz w:val="16"/>
                <w:szCs w:val="16"/>
              </w:rPr>
            </w:pPr>
          </w:p>
        </w:tc>
      </w:tr>
      <w:tr w:rsidR="00FC5566" w:rsidRPr="00FC5566" w14:paraId="02264407" w14:textId="77777777" w:rsidTr="00B247D5">
        <w:trPr>
          <w:trHeight w:val="55"/>
        </w:trPr>
        <w:tc>
          <w:tcPr>
            <w:tcW w:w="10530" w:type="dxa"/>
            <w:gridSpan w:val="5"/>
            <w:tcBorders>
              <w:top w:val="nil"/>
              <w:left w:val="single" w:sz="6" w:space="0" w:color="000000"/>
              <w:bottom w:val="single" w:sz="4" w:space="0" w:color="auto"/>
              <w:right w:val="single" w:sz="6" w:space="0" w:color="000000"/>
            </w:tcBorders>
          </w:tcPr>
          <w:p w14:paraId="27F52201" w14:textId="77777777" w:rsidR="00FC5566" w:rsidRPr="00FC5566" w:rsidRDefault="00FC5566" w:rsidP="00FC5566">
            <w:pPr>
              <w:ind w:left="86" w:right="86"/>
              <w:rPr>
                <w:rFonts w:eastAsia="Aptos"/>
                <w:kern w:val="2"/>
                <w:sz w:val="16"/>
                <w:szCs w:val="16"/>
              </w:rPr>
            </w:pPr>
          </w:p>
        </w:tc>
      </w:tr>
      <w:tr w:rsidR="00FC5566" w:rsidRPr="00FC5566" w14:paraId="69E85239" w14:textId="77777777" w:rsidTr="00B247D5">
        <w:trPr>
          <w:trHeight w:val="185"/>
        </w:trPr>
        <w:tc>
          <w:tcPr>
            <w:tcW w:w="1072" w:type="dxa"/>
            <w:tcBorders>
              <w:top w:val="single" w:sz="4" w:space="0" w:color="auto"/>
              <w:left w:val="single" w:sz="4" w:space="0" w:color="auto"/>
              <w:bottom w:val="single" w:sz="4" w:space="0" w:color="auto"/>
              <w:right w:val="single" w:sz="4" w:space="0" w:color="auto"/>
            </w:tcBorders>
            <w:hideMark/>
          </w:tcPr>
          <w:p w14:paraId="110C74D9"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single" w:sz="4" w:space="0" w:color="auto"/>
              <w:left w:val="single" w:sz="4" w:space="0" w:color="auto"/>
              <w:bottom w:val="single" w:sz="4" w:space="0" w:color="auto"/>
              <w:right w:val="single" w:sz="4" w:space="0" w:color="auto"/>
            </w:tcBorders>
            <w:hideMark/>
          </w:tcPr>
          <w:p w14:paraId="25EB5412" w14:textId="77777777" w:rsidR="00FC5566" w:rsidRPr="00FC5566" w:rsidRDefault="00FC5566" w:rsidP="00FC5566">
            <w:pPr>
              <w:ind w:left="91"/>
              <w:rPr>
                <w:rFonts w:eastAsia="Aptos"/>
                <w:kern w:val="2"/>
                <w:sz w:val="16"/>
                <w:szCs w:val="16"/>
              </w:rPr>
            </w:pPr>
            <w:r w:rsidRPr="00FC5566">
              <w:rPr>
                <w:rFonts w:eastAsia="Aptos"/>
                <w:kern w:val="2"/>
                <w:sz w:val="16"/>
                <w:szCs w:val="16"/>
              </w:rPr>
              <w:t>Section 608.19.2, Other Containment Requirements.</w:t>
            </w:r>
          </w:p>
        </w:tc>
        <w:tc>
          <w:tcPr>
            <w:tcW w:w="7043" w:type="dxa"/>
            <w:gridSpan w:val="2"/>
            <w:tcBorders>
              <w:top w:val="single" w:sz="4" w:space="0" w:color="auto"/>
              <w:left w:val="single" w:sz="4" w:space="0" w:color="auto"/>
              <w:bottom w:val="single" w:sz="4" w:space="0" w:color="auto"/>
              <w:right w:val="single" w:sz="4" w:space="0" w:color="auto"/>
            </w:tcBorders>
            <w:hideMark/>
          </w:tcPr>
          <w:p w14:paraId="5004F999"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Table 608.19.1 of this code above is not inclusive of all potential contamination sources which may need containment protection. For potential contamination sources not listed in this table, backflow prevention methods or devices shall be utilized in accordance with Table B1 of CAN/CSA B64.10-2023. When a potential contamination source and its associated backflow prevention method or device is not identified in Table 608.19.1 of this code above or Table B1 of CAN/CSA B64.10-2023, backflow prevention methods or devices shall be utilized:</w:t>
            </w:r>
          </w:p>
        </w:tc>
      </w:tr>
      <w:tr w:rsidR="00FC5566" w:rsidRPr="00FC5566" w14:paraId="7391E752" w14:textId="77777777" w:rsidTr="00B247D5">
        <w:trPr>
          <w:trHeight w:val="274"/>
        </w:trPr>
        <w:tc>
          <w:tcPr>
            <w:tcW w:w="1072" w:type="dxa"/>
            <w:tcBorders>
              <w:top w:val="nil"/>
              <w:left w:val="single" w:sz="6" w:space="0" w:color="000000"/>
              <w:bottom w:val="single" w:sz="6" w:space="0" w:color="000000"/>
              <w:right w:val="single" w:sz="6" w:space="0" w:color="000000"/>
            </w:tcBorders>
          </w:tcPr>
          <w:p w14:paraId="10A74747" w14:textId="77777777" w:rsidR="00FC5566" w:rsidRPr="00FC5566" w:rsidRDefault="00FC5566" w:rsidP="00FC5566">
            <w:pPr>
              <w:widowControl w:val="0"/>
              <w:autoSpaceDE w:val="0"/>
              <w:autoSpaceDN w:val="0"/>
              <w:jc w:val="center"/>
              <w:rPr>
                <w:spacing w:val="-2"/>
                <w:sz w:val="16"/>
                <w:szCs w:val="16"/>
              </w:rPr>
            </w:pPr>
            <w:r w:rsidRPr="00FC5566">
              <w:rPr>
                <w:rFonts w:eastAsia="Aptos"/>
                <w:kern w:val="2"/>
                <w:sz w:val="16"/>
                <w:szCs w:val="16"/>
              </w:rPr>
              <w:t>Amend</w:t>
            </w:r>
          </w:p>
        </w:tc>
        <w:tc>
          <w:tcPr>
            <w:tcW w:w="2415" w:type="dxa"/>
            <w:gridSpan w:val="2"/>
            <w:tcBorders>
              <w:top w:val="nil"/>
              <w:left w:val="single" w:sz="6" w:space="0" w:color="000000"/>
              <w:bottom w:val="single" w:sz="6" w:space="0" w:color="000000"/>
              <w:right w:val="single" w:sz="6" w:space="0" w:color="000000"/>
            </w:tcBorders>
          </w:tcPr>
          <w:p w14:paraId="7C6617DA" w14:textId="77777777" w:rsidR="00FC5566" w:rsidRPr="00FC5566" w:rsidRDefault="00FC5566" w:rsidP="00FC5566">
            <w:pPr>
              <w:ind w:left="91"/>
              <w:rPr>
                <w:rFonts w:eastAsia="Aptos"/>
                <w:kern w:val="2"/>
                <w:sz w:val="16"/>
                <w:szCs w:val="16"/>
              </w:rPr>
            </w:pPr>
            <w:r w:rsidRPr="00FC5566">
              <w:rPr>
                <w:rFonts w:eastAsia="Aptos"/>
                <w:kern w:val="2"/>
                <w:sz w:val="16"/>
                <w:szCs w:val="16"/>
              </w:rPr>
              <w:t>Chapter 7, Sanitary Drainage.</w:t>
            </w:r>
          </w:p>
        </w:tc>
        <w:tc>
          <w:tcPr>
            <w:tcW w:w="7043" w:type="dxa"/>
            <w:gridSpan w:val="2"/>
            <w:tcBorders>
              <w:top w:val="nil"/>
              <w:left w:val="single" w:sz="6" w:space="0" w:color="000000"/>
              <w:bottom w:val="single" w:sz="6" w:space="0" w:color="000000"/>
              <w:right w:val="single" w:sz="6" w:space="0" w:color="000000"/>
            </w:tcBorders>
          </w:tcPr>
          <w:p w14:paraId="73ADF4B6" w14:textId="77777777" w:rsidR="00FC5566" w:rsidRPr="00FC5566" w:rsidRDefault="00FC5566" w:rsidP="00FC5566">
            <w:pPr>
              <w:widowControl w:val="0"/>
              <w:autoSpaceDE w:val="0"/>
              <w:autoSpaceDN w:val="0"/>
              <w:ind w:left="91" w:right="90" w:firstLine="1"/>
              <w:rPr>
                <w:sz w:val="16"/>
                <w:szCs w:val="16"/>
              </w:rPr>
            </w:pPr>
          </w:p>
        </w:tc>
      </w:tr>
      <w:tr w:rsidR="00FC5566" w:rsidRPr="00FC5566" w14:paraId="08685202" w14:textId="77777777" w:rsidTr="00B247D5">
        <w:trPr>
          <w:trHeight w:val="187"/>
        </w:trPr>
        <w:tc>
          <w:tcPr>
            <w:tcW w:w="1072" w:type="dxa"/>
            <w:tcBorders>
              <w:top w:val="nil"/>
              <w:left w:val="single" w:sz="6" w:space="0" w:color="000000"/>
              <w:bottom w:val="single" w:sz="6" w:space="0" w:color="000000"/>
              <w:right w:val="single" w:sz="6" w:space="0" w:color="000000"/>
            </w:tcBorders>
          </w:tcPr>
          <w:p w14:paraId="3F6422B6" w14:textId="77777777" w:rsidR="00FC5566" w:rsidRPr="00FC5566" w:rsidRDefault="00FC5566" w:rsidP="00FC5566">
            <w:pPr>
              <w:widowControl w:val="0"/>
              <w:autoSpaceDE w:val="0"/>
              <w:autoSpaceDN w:val="0"/>
              <w:jc w:val="center"/>
              <w:rPr>
                <w:spacing w:val="-2"/>
                <w:sz w:val="16"/>
                <w:szCs w:val="16"/>
              </w:rPr>
            </w:pPr>
            <w:r w:rsidRPr="00FC5566">
              <w:rPr>
                <w:rFonts w:eastAsia="Aptos"/>
                <w:kern w:val="2"/>
                <w:sz w:val="16"/>
                <w:szCs w:val="16"/>
              </w:rPr>
              <w:t>Amend</w:t>
            </w:r>
          </w:p>
        </w:tc>
        <w:tc>
          <w:tcPr>
            <w:tcW w:w="2415" w:type="dxa"/>
            <w:gridSpan w:val="2"/>
            <w:tcBorders>
              <w:top w:val="nil"/>
              <w:left w:val="single" w:sz="6" w:space="0" w:color="000000"/>
              <w:bottom w:val="single" w:sz="6" w:space="0" w:color="000000"/>
              <w:right w:val="single" w:sz="6" w:space="0" w:color="000000"/>
            </w:tcBorders>
          </w:tcPr>
          <w:p w14:paraId="7F946592" w14:textId="77777777" w:rsidR="00FC5566" w:rsidRPr="00FC5566" w:rsidRDefault="00FC5566" w:rsidP="00FC5566">
            <w:pPr>
              <w:widowControl w:val="0"/>
              <w:autoSpaceDE w:val="0"/>
              <w:autoSpaceDN w:val="0"/>
              <w:ind w:left="91"/>
              <w:rPr>
                <w:sz w:val="16"/>
                <w:szCs w:val="16"/>
              </w:rPr>
            </w:pPr>
            <w:r w:rsidRPr="00FC5566">
              <w:rPr>
                <w:rFonts w:eastAsia="Aptos"/>
                <w:kern w:val="2"/>
                <w:sz w:val="16"/>
                <w:szCs w:val="16"/>
              </w:rPr>
              <w:t>Section 701.2, Sewer Required.</w:t>
            </w:r>
          </w:p>
        </w:tc>
        <w:tc>
          <w:tcPr>
            <w:tcW w:w="7043" w:type="dxa"/>
            <w:gridSpan w:val="2"/>
            <w:tcBorders>
              <w:top w:val="nil"/>
              <w:left w:val="single" w:sz="6" w:space="0" w:color="000000"/>
              <w:bottom w:val="single" w:sz="6" w:space="0" w:color="000000"/>
              <w:right w:val="single" w:sz="6" w:space="0" w:color="000000"/>
            </w:tcBorders>
          </w:tcPr>
          <w:p w14:paraId="7B09A0D9" w14:textId="77777777" w:rsidR="00FC5566" w:rsidRPr="00FC5566" w:rsidRDefault="00FC5566" w:rsidP="00FC5566">
            <w:pPr>
              <w:widowControl w:val="0"/>
              <w:autoSpaceDE w:val="0"/>
              <w:autoSpaceDN w:val="0"/>
              <w:ind w:left="91" w:right="90" w:firstLine="1"/>
              <w:rPr>
                <w:rFonts w:eastAsia="Aptos"/>
                <w:kern w:val="2"/>
                <w:sz w:val="16"/>
                <w:szCs w:val="16"/>
              </w:rPr>
            </w:pPr>
            <w:r w:rsidRPr="00FC5566">
              <w:rPr>
                <w:rFonts w:eastAsia="Aptos"/>
                <w:kern w:val="2"/>
                <w:sz w:val="16"/>
                <w:szCs w:val="16"/>
              </w:rPr>
              <w:t>Sanitary drainage piping from plumbing fixtures in buildings and sanitary drainage piping systems from premises shall be connected to a public sewer. Where a public sewer is not available, the sanitary drainage piping and systems shall be connected to a private sewage disposal system in compliance with state or local requirements, LAC 51:XIII. Where state or local requirements do not exist for private sewage disposal systems, the sanitary drainage piping and systems shall be connected to an approved private sewage disposal system that is in accordance with the International Private Sewage Disposal Code.</w:t>
            </w:r>
          </w:p>
          <w:p w14:paraId="3B6CAD21" w14:textId="77777777" w:rsidR="00FC5566" w:rsidRPr="00FC5566" w:rsidRDefault="00FC5566" w:rsidP="00FC5566">
            <w:pPr>
              <w:widowControl w:val="0"/>
              <w:autoSpaceDE w:val="0"/>
              <w:autoSpaceDN w:val="0"/>
              <w:ind w:left="91" w:right="90" w:firstLine="1"/>
              <w:rPr>
                <w:rFonts w:eastAsia="Aptos"/>
                <w:b/>
                <w:bCs/>
                <w:kern w:val="2"/>
                <w:sz w:val="16"/>
                <w:szCs w:val="16"/>
              </w:rPr>
            </w:pPr>
            <w:r w:rsidRPr="00FC5566">
              <w:rPr>
                <w:rFonts w:eastAsia="Aptos"/>
                <w:b/>
                <w:bCs/>
                <w:kern w:val="2"/>
                <w:sz w:val="16"/>
                <w:szCs w:val="16"/>
              </w:rPr>
              <w:t xml:space="preserve">Exception: </w:t>
            </w:r>
          </w:p>
          <w:p w14:paraId="533A8E0C" w14:textId="77777777" w:rsidR="00FC5566" w:rsidRPr="00FC5566" w:rsidRDefault="00FC5566" w:rsidP="00FC5566">
            <w:pPr>
              <w:widowControl w:val="0"/>
              <w:autoSpaceDE w:val="0"/>
              <w:autoSpaceDN w:val="0"/>
              <w:ind w:left="91" w:right="90" w:firstLine="1"/>
              <w:rPr>
                <w:sz w:val="16"/>
                <w:szCs w:val="16"/>
              </w:rPr>
            </w:pPr>
            <w:r w:rsidRPr="00FC5566">
              <w:rPr>
                <w:rFonts w:eastAsia="Aptos"/>
                <w:kern w:val="2"/>
                <w:sz w:val="16"/>
                <w:szCs w:val="16"/>
              </w:rPr>
              <w:t>Sanitary drainage piping and systems that convey only the discharge from bathtubs, showers, lavatories, clothes washers and laundry trays shall not be required to connect to a public sewer or to a private sewage disposal system provided that the piping or systems are connected to a system in accordance with Chapter 13 or 14.</w:t>
            </w:r>
          </w:p>
        </w:tc>
      </w:tr>
      <w:tr w:rsidR="00FC5566" w:rsidRPr="00FC5566" w14:paraId="5E5AC9B6" w14:textId="77777777" w:rsidTr="00B247D5">
        <w:trPr>
          <w:trHeight w:val="187"/>
        </w:trPr>
        <w:tc>
          <w:tcPr>
            <w:tcW w:w="1072" w:type="dxa"/>
            <w:tcBorders>
              <w:top w:val="nil"/>
              <w:left w:val="single" w:sz="6" w:space="0" w:color="000000"/>
              <w:bottom w:val="single" w:sz="4" w:space="0" w:color="auto"/>
              <w:right w:val="single" w:sz="6" w:space="0" w:color="000000"/>
            </w:tcBorders>
          </w:tcPr>
          <w:p w14:paraId="251EBC91" w14:textId="77777777" w:rsidR="00FC5566" w:rsidRPr="00FC5566" w:rsidRDefault="00FC5566" w:rsidP="00FC5566">
            <w:pPr>
              <w:widowControl w:val="0"/>
              <w:autoSpaceDE w:val="0"/>
              <w:autoSpaceDN w:val="0"/>
              <w:jc w:val="center"/>
              <w:rPr>
                <w:spacing w:val="-2"/>
                <w:sz w:val="16"/>
                <w:szCs w:val="16"/>
              </w:rPr>
            </w:pPr>
            <w:r w:rsidRPr="00FC5566">
              <w:rPr>
                <w:rFonts w:eastAsia="Aptos"/>
                <w:kern w:val="2"/>
                <w:sz w:val="16"/>
                <w:szCs w:val="16"/>
              </w:rPr>
              <w:t>Amend</w:t>
            </w:r>
          </w:p>
        </w:tc>
        <w:tc>
          <w:tcPr>
            <w:tcW w:w="2415" w:type="dxa"/>
            <w:gridSpan w:val="2"/>
            <w:tcBorders>
              <w:top w:val="nil"/>
              <w:left w:val="single" w:sz="6" w:space="0" w:color="000000"/>
              <w:bottom w:val="single" w:sz="4" w:space="0" w:color="auto"/>
              <w:right w:val="single" w:sz="6" w:space="0" w:color="000000"/>
            </w:tcBorders>
          </w:tcPr>
          <w:p w14:paraId="2734D61A" w14:textId="77777777" w:rsidR="00FC5566" w:rsidRPr="00FC5566" w:rsidRDefault="00FC5566" w:rsidP="00FC5566">
            <w:pPr>
              <w:widowControl w:val="0"/>
              <w:autoSpaceDE w:val="0"/>
              <w:autoSpaceDN w:val="0"/>
              <w:ind w:left="91"/>
              <w:rPr>
                <w:sz w:val="16"/>
                <w:szCs w:val="16"/>
              </w:rPr>
            </w:pPr>
            <w:r w:rsidRPr="00FC5566">
              <w:rPr>
                <w:rFonts w:eastAsia="Aptos"/>
                <w:kern w:val="2"/>
                <w:sz w:val="16"/>
                <w:szCs w:val="16"/>
              </w:rPr>
              <w:t>Section 710.1, Maximum Fixture Unit Load.</w:t>
            </w:r>
          </w:p>
        </w:tc>
        <w:tc>
          <w:tcPr>
            <w:tcW w:w="7043" w:type="dxa"/>
            <w:gridSpan w:val="2"/>
            <w:tcBorders>
              <w:top w:val="nil"/>
              <w:left w:val="single" w:sz="6" w:space="0" w:color="000000"/>
              <w:bottom w:val="single" w:sz="4" w:space="0" w:color="auto"/>
              <w:right w:val="single" w:sz="6" w:space="0" w:color="000000"/>
            </w:tcBorders>
          </w:tcPr>
          <w:p w14:paraId="31066B9A" w14:textId="77777777" w:rsidR="00FC5566" w:rsidRPr="00FC5566" w:rsidRDefault="00FC5566" w:rsidP="00FC5566">
            <w:pPr>
              <w:widowControl w:val="0"/>
              <w:autoSpaceDE w:val="0"/>
              <w:autoSpaceDN w:val="0"/>
              <w:ind w:left="91" w:right="90" w:firstLine="1"/>
              <w:rPr>
                <w:sz w:val="16"/>
                <w:szCs w:val="16"/>
              </w:rPr>
            </w:pPr>
            <w:r w:rsidRPr="00FC5566">
              <w:rPr>
                <w:rFonts w:eastAsia="Aptos"/>
                <w:kern w:val="2"/>
                <w:sz w:val="16"/>
                <w:szCs w:val="16"/>
              </w:rPr>
              <w:t>The maximum number of drainage fixture units connected to a given size of building sewer, building drain or horizontal branch of the building drain shall be determined using Table 710.1(1). The minimum diameter of pipe for a building drain serving greater than 3 water closets shall be 4". The maximum number of drainage fixture units connected to a given size vertical soil or waste stack, or horizontal branch connecting to a vertical soil or waste stack, shall be determined using Table 710.1(2).</w:t>
            </w:r>
            <w:r w:rsidRPr="00FC5566">
              <w:rPr>
                <w:rFonts w:eastAsia="Aptos"/>
                <w:color w:val="FF0000"/>
                <w:sz w:val="24"/>
                <w:szCs w:val="24"/>
              </w:rPr>
              <w:t xml:space="preserve"> </w:t>
            </w:r>
            <w:r w:rsidRPr="00FC5566">
              <w:rPr>
                <w:rFonts w:eastAsia="Aptos"/>
                <w:kern w:val="2"/>
                <w:sz w:val="16"/>
                <w:szCs w:val="16"/>
              </w:rPr>
              <w:t>Maximum of 3 water closets on 3" horizontal fixture branches and stacks that have one branch interval.  For stacks with 2 branch intervals or more, 6 water closets maximum on a 3" pipe diameter.</w:t>
            </w:r>
          </w:p>
        </w:tc>
      </w:tr>
      <w:tr w:rsidR="00FC5566" w:rsidRPr="00FC5566" w14:paraId="76B7DFAA" w14:textId="77777777" w:rsidTr="00B247D5">
        <w:trPr>
          <w:trHeight w:val="187"/>
        </w:trPr>
        <w:tc>
          <w:tcPr>
            <w:tcW w:w="1072" w:type="dxa"/>
            <w:tcBorders>
              <w:top w:val="single" w:sz="4" w:space="0" w:color="auto"/>
              <w:left w:val="single" w:sz="4" w:space="0" w:color="auto"/>
              <w:bottom w:val="single" w:sz="4" w:space="0" w:color="auto"/>
              <w:right w:val="single" w:sz="4" w:space="0" w:color="auto"/>
            </w:tcBorders>
          </w:tcPr>
          <w:p w14:paraId="5BF931FE" w14:textId="77777777" w:rsidR="00FC5566" w:rsidRPr="00FC5566" w:rsidRDefault="00FC5566" w:rsidP="00FC5566">
            <w:pPr>
              <w:widowControl w:val="0"/>
              <w:autoSpaceDE w:val="0"/>
              <w:autoSpaceDN w:val="0"/>
              <w:jc w:val="center"/>
              <w:rPr>
                <w:spacing w:val="-2"/>
                <w:sz w:val="16"/>
                <w:szCs w:val="16"/>
              </w:rPr>
            </w:pPr>
            <w:r w:rsidRPr="00FC5566">
              <w:rPr>
                <w:rFonts w:eastAsia="Aptos"/>
                <w:kern w:val="2"/>
                <w:sz w:val="16"/>
                <w:szCs w:val="16"/>
              </w:rPr>
              <w:t>Adopt</w:t>
            </w:r>
          </w:p>
        </w:tc>
        <w:tc>
          <w:tcPr>
            <w:tcW w:w="2415" w:type="dxa"/>
            <w:gridSpan w:val="2"/>
            <w:tcBorders>
              <w:top w:val="single" w:sz="4" w:space="0" w:color="auto"/>
              <w:left w:val="single" w:sz="4" w:space="0" w:color="auto"/>
              <w:bottom w:val="single" w:sz="4" w:space="0" w:color="auto"/>
              <w:right w:val="single" w:sz="4" w:space="0" w:color="auto"/>
            </w:tcBorders>
          </w:tcPr>
          <w:p w14:paraId="01FFC62D" w14:textId="77777777" w:rsidR="00FC5566" w:rsidRPr="00FC5566" w:rsidRDefault="00FC5566" w:rsidP="00FC5566">
            <w:pPr>
              <w:widowControl w:val="0"/>
              <w:autoSpaceDE w:val="0"/>
              <w:autoSpaceDN w:val="0"/>
              <w:ind w:left="91"/>
              <w:rPr>
                <w:sz w:val="16"/>
                <w:szCs w:val="16"/>
              </w:rPr>
            </w:pPr>
            <w:r w:rsidRPr="00FC5566">
              <w:rPr>
                <w:rFonts w:eastAsia="Aptos"/>
                <w:kern w:val="2"/>
                <w:sz w:val="16"/>
                <w:szCs w:val="16"/>
              </w:rPr>
              <w:t>Section 710.3, Underground Drainage Piping.</w:t>
            </w:r>
          </w:p>
        </w:tc>
        <w:tc>
          <w:tcPr>
            <w:tcW w:w="7043" w:type="dxa"/>
            <w:gridSpan w:val="2"/>
            <w:tcBorders>
              <w:top w:val="single" w:sz="4" w:space="0" w:color="auto"/>
              <w:left w:val="single" w:sz="4" w:space="0" w:color="auto"/>
              <w:bottom w:val="single" w:sz="4" w:space="0" w:color="auto"/>
              <w:right w:val="single" w:sz="4" w:space="0" w:color="auto"/>
            </w:tcBorders>
          </w:tcPr>
          <w:p w14:paraId="4C626B36" w14:textId="77777777" w:rsidR="00FC5566" w:rsidRPr="00FC5566" w:rsidRDefault="00FC5566" w:rsidP="00FC5566">
            <w:pPr>
              <w:widowControl w:val="0"/>
              <w:autoSpaceDE w:val="0"/>
              <w:autoSpaceDN w:val="0"/>
              <w:ind w:left="91" w:right="90" w:firstLine="1"/>
              <w:rPr>
                <w:sz w:val="16"/>
                <w:szCs w:val="16"/>
              </w:rPr>
            </w:pPr>
            <w:r w:rsidRPr="00FC5566">
              <w:rPr>
                <w:rFonts w:eastAsia="Aptos"/>
                <w:kern w:val="2"/>
                <w:sz w:val="16"/>
                <w:szCs w:val="16"/>
              </w:rPr>
              <w:t>Any portion of the drainage system installed underground or below a basement or cellar shall not be less than 2- inch diameter. In addition, any portion of the drainage system installed underground which is located upstream from a grease trap or grease interceptor as well as the underground horizontal branch receiving the discharge there from shall not be less than 3-inch diameter.</w:t>
            </w:r>
          </w:p>
        </w:tc>
      </w:tr>
      <w:tr w:rsidR="00FC5566" w:rsidRPr="00FC5566" w14:paraId="031D31B0" w14:textId="77777777" w:rsidTr="00B247D5">
        <w:trPr>
          <w:trHeight w:val="185"/>
        </w:trPr>
        <w:tc>
          <w:tcPr>
            <w:tcW w:w="1072" w:type="dxa"/>
            <w:tcBorders>
              <w:top w:val="nil"/>
              <w:left w:val="single" w:sz="6" w:space="0" w:color="000000"/>
              <w:bottom w:val="single" w:sz="4" w:space="0" w:color="auto"/>
              <w:right w:val="single" w:sz="6" w:space="0" w:color="000000"/>
            </w:tcBorders>
            <w:hideMark/>
          </w:tcPr>
          <w:p w14:paraId="070C86EE" w14:textId="77777777" w:rsidR="00FC5566" w:rsidRPr="00FC5566" w:rsidRDefault="00FC5566" w:rsidP="00FC5566">
            <w:pPr>
              <w:jc w:val="center"/>
              <w:rPr>
                <w:rFonts w:eastAsia="Aptos"/>
                <w:kern w:val="2"/>
                <w:sz w:val="16"/>
                <w:szCs w:val="16"/>
              </w:rPr>
            </w:pPr>
            <w:r w:rsidRPr="00FC5566">
              <w:rPr>
                <w:rFonts w:eastAsia="Aptos"/>
                <w:kern w:val="2"/>
                <w:sz w:val="16"/>
                <w:szCs w:val="16"/>
              </w:rPr>
              <w:t>Amend</w:t>
            </w:r>
          </w:p>
        </w:tc>
        <w:tc>
          <w:tcPr>
            <w:tcW w:w="2415" w:type="dxa"/>
            <w:gridSpan w:val="2"/>
            <w:tcBorders>
              <w:top w:val="nil"/>
              <w:left w:val="single" w:sz="6" w:space="0" w:color="000000"/>
              <w:bottom w:val="single" w:sz="4" w:space="0" w:color="auto"/>
              <w:right w:val="single" w:sz="6" w:space="0" w:color="000000"/>
            </w:tcBorders>
            <w:hideMark/>
          </w:tcPr>
          <w:p w14:paraId="06A109D8" w14:textId="77777777" w:rsidR="00FC5566" w:rsidRPr="00FC5566" w:rsidRDefault="00FC5566" w:rsidP="00FC5566">
            <w:pPr>
              <w:ind w:left="91" w:right="58"/>
              <w:rPr>
                <w:rFonts w:eastAsia="Aptos"/>
                <w:kern w:val="2"/>
                <w:sz w:val="16"/>
                <w:szCs w:val="16"/>
              </w:rPr>
            </w:pPr>
            <w:r w:rsidRPr="00FC5566">
              <w:rPr>
                <w:rFonts w:eastAsia="Aptos"/>
                <w:kern w:val="2"/>
                <w:sz w:val="16"/>
                <w:szCs w:val="16"/>
              </w:rPr>
              <w:t>Chapter 8, Indirect/Special</w:t>
            </w:r>
          </w:p>
          <w:p w14:paraId="6B034B7A" w14:textId="77777777" w:rsidR="00FC5566" w:rsidRPr="00FC5566" w:rsidRDefault="00FC5566" w:rsidP="00FC5566">
            <w:pPr>
              <w:ind w:left="91" w:right="58"/>
              <w:rPr>
                <w:rFonts w:eastAsia="Aptos"/>
                <w:kern w:val="2"/>
                <w:sz w:val="16"/>
                <w:szCs w:val="16"/>
              </w:rPr>
            </w:pPr>
            <w:r w:rsidRPr="00FC5566">
              <w:rPr>
                <w:rFonts w:eastAsia="Aptos"/>
                <w:kern w:val="2"/>
                <w:sz w:val="16"/>
                <w:szCs w:val="16"/>
              </w:rPr>
              <w:t>Waste.</w:t>
            </w:r>
          </w:p>
        </w:tc>
        <w:tc>
          <w:tcPr>
            <w:tcW w:w="7043" w:type="dxa"/>
            <w:gridSpan w:val="2"/>
            <w:tcBorders>
              <w:top w:val="nil"/>
              <w:left w:val="single" w:sz="6" w:space="0" w:color="000000"/>
              <w:bottom w:val="single" w:sz="4" w:space="0" w:color="auto"/>
              <w:right w:val="single" w:sz="6" w:space="0" w:color="000000"/>
            </w:tcBorders>
          </w:tcPr>
          <w:p w14:paraId="7873875F" w14:textId="77777777" w:rsidR="00FC5566" w:rsidRPr="00FC5566" w:rsidRDefault="00FC5566" w:rsidP="00FC5566">
            <w:pPr>
              <w:ind w:left="91" w:right="90"/>
              <w:rPr>
                <w:rFonts w:eastAsia="Aptos"/>
                <w:kern w:val="2"/>
                <w:sz w:val="16"/>
                <w:szCs w:val="16"/>
              </w:rPr>
            </w:pPr>
          </w:p>
        </w:tc>
      </w:tr>
      <w:tr w:rsidR="00FC5566" w:rsidRPr="00FC5566" w14:paraId="577DEE1D" w14:textId="77777777" w:rsidTr="00B247D5">
        <w:trPr>
          <w:trHeight w:val="185"/>
        </w:trPr>
        <w:tc>
          <w:tcPr>
            <w:tcW w:w="1072" w:type="dxa"/>
            <w:tcBorders>
              <w:top w:val="single" w:sz="4" w:space="0" w:color="auto"/>
              <w:left w:val="single" w:sz="4" w:space="0" w:color="auto"/>
              <w:bottom w:val="single" w:sz="4" w:space="0" w:color="auto"/>
              <w:right w:val="single" w:sz="4" w:space="0" w:color="auto"/>
            </w:tcBorders>
            <w:hideMark/>
          </w:tcPr>
          <w:p w14:paraId="1207EF41" w14:textId="77777777" w:rsidR="00FC5566" w:rsidRPr="00FC5566" w:rsidRDefault="00FC5566" w:rsidP="00FC5566">
            <w:pPr>
              <w:jc w:val="center"/>
              <w:rPr>
                <w:rFonts w:eastAsia="Aptos"/>
                <w:kern w:val="2"/>
                <w:sz w:val="16"/>
                <w:szCs w:val="16"/>
              </w:rPr>
            </w:pPr>
            <w:r w:rsidRPr="00FC5566">
              <w:rPr>
                <w:rFonts w:eastAsia="Aptos"/>
                <w:kern w:val="2"/>
                <w:sz w:val="16"/>
                <w:szCs w:val="16"/>
              </w:rPr>
              <w:t>Amend</w:t>
            </w:r>
          </w:p>
        </w:tc>
        <w:tc>
          <w:tcPr>
            <w:tcW w:w="2415" w:type="dxa"/>
            <w:gridSpan w:val="2"/>
            <w:tcBorders>
              <w:top w:val="single" w:sz="4" w:space="0" w:color="auto"/>
              <w:left w:val="single" w:sz="4" w:space="0" w:color="auto"/>
              <w:bottom w:val="single" w:sz="4" w:space="0" w:color="auto"/>
              <w:right w:val="single" w:sz="4" w:space="0" w:color="auto"/>
            </w:tcBorders>
            <w:hideMark/>
          </w:tcPr>
          <w:p w14:paraId="55723A93" w14:textId="77777777" w:rsidR="00FC5566" w:rsidRPr="00FC5566" w:rsidRDefault="00FC5566" w:rsidP="00FC5566">
            <w:pPr>
              <w:ind w:left="91" w:right="58"/>
              <w:rPr>
                <w:rFonts w:eastAsia="Aptos"/>
                <w:kern w:val="2"/>
                <w:sz w:val="16"/>
                <w:szCs w:val="16"/>
              </w:rPr>
            </w:pPr>
            <w:r w:rsidRPr="00FC5566">
              <w:rPr>
                <w:rFonts w:eastAsia="Aptos"/>
                <w:kern w:val="2"/>
                <w:sz w:val="16"/>
                <w:szCs w:val="16"/>
              </w:rPr>
              <w:t>Section 802.1.1, Food Handling.</w:t>
            </w:r>
          </w:p>
        </w:tc>
        <w:tc>
          <w:tcPr>
            <w:tcW w:w="7043" w:type="dxa"/>
            <w:gridSpan w:val="2"/>
            <w:tcBorders>
              <w:top w:val="single" w:sz="4" w:space="0" w:color="auto"/>
              <w:left w:val="single" w:sz="4" w:space="0" w:color="auto"/>
              <w:bottom w:val="single" w:sz="4" w:space="0" w:color="auto"/>
              <w:right w:val="single" w:sz="4" w:space="0" w:color="auto"/>
            </w:tcBorders>
            <w:hideMark/>
          </w:tcPr>
          <w:p w14:paraId="1A3DFF75"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Equipment and fixtures utilized for the storage, preparation and handling of food shall discharge through an indirect waste pipe by means of an air gap. Food handling equipment includes, but is not limited to, the following: any sink where food is cleaned, peeled, cut up, rinsed, battered, defrosted or otherwise prepared or handled; potato peelers; ice cream dipper wells; refrigerators; freezers; walk-in coolers or freezers; ice boxes; ice making machines; fountain-type drink dispensers; rinse sinks; cooling or refrigerating coils; laundry washers; extractors; steam tables; steam kettles; egg boilers; coffee urns; steam jackets or other food handling or cooking equipment wherein the indirect waste pipe may come under a vacuum; or similar equipment.</w:t>
            </w:r>
          </w:p>
        </w:tc>
      </w:tr>
      <w:tr w:rsidR="00FC5566" w:rsidRPr="00FC5566" w14:paraId="52984727" w14:textId="77777777" w:rsidTr="00B247D5">
        <w:trPr>
          <w:trHeight w:val="274"/>
        </w:trPr>
        <w:tc>
          <w:tcPr>
            <w:tcW w:w="1072" w:type="dxa"/>
            <w:tcBorders>
              <w:top w:val="nil"/>
              <w:left w:val="single" w:sz="6" w:space="0" w:color="000000"/>
              <w:bottom w:val="single" w:sz="6" w:space="0" w:color="000000"/>
              <w:right w:val="single" w:sz="6" w:space="0" w:color="000000"/>
            </w:tcBorders>
            <w:hideMark/>
          </w:tcPr>
          <w:p w14:paraId="1524BABC" w14:textId="77777777" w:rsidR="00FC5566" w:rsidRPr="00FC5566" w:rsidRDefault="00FC5566" w:rsidP="00FC5566">
            <w:pPr>
              <w:jc w:val="center"/>
              <w:rPr>
                <w:rFonts w:eastAsia="Aptos"/>
                <w:kern w:val="2"/>
                <w:sz w:val="16"/>
                <w:szCs w:val="16"/>
              </w:rPr>
            </w:pPr>
            <w:r w:rsidRPr="00FC5566">
              <w:rPr>
                <w:rFonts w:eastAsia="Aptos"/>
                <w:kern w:val="2"/>
                <w:sz w:val="16"/>
                <w:szCs w:val="16"/>
              </w:rPr>
              <w:t>Amend</w:t>
            </w:r>
          </w:p>
        </w:tc>
        <w:tc>
          <w:tcPr>
            <w:tcW w:w="2415" w:type="dxa"/>
            <w:gridSpan w:val="2"/>
            <w:tcBorders>
              <w:top w:val="nil"/>
              <w:left w:val="single" w:sz="6" w:space="0" w:color="000000"/>
              <w:bottom w:val="single" w:sz="6" w:space="0" w:color="000000"/>
              <w:right w:val="single" w:sz="6" w:space="0" w:color="000000"/>
            </w:tcBorders>
            <w:hideMark/>
          </w:tcPr>
          <w:p w14:paraId="3D1C7CDD" w14:textId="77777777" w:rsidR="00FC5566" w:rsidRPr="00FC5566" w:rsidRDefault="00FC5566" w:rsidP="00FC5566">
            <w:pPr>
              <w:ind w:left="91" w:right="58"/>
              <w:rPr>
                <w:rFonts w:eastAsia="Aptos"/>
                <w:kern w:val="2"/>
                <w:sz w:val="16"/>
                <w:szCs w:val="16"/>
              </w:rPr>
            </w:pPr>
            <w:r w:rsidRPr="00FC5566">
              <w:rPr>
                <w:rFonts w:eastAsia="Aptos"/>
                <w:kern w:val="2"/>
                <w:sz w:val="16"/>
                <w:szCs w:val="16"/>
              </w:rPr>
              <w:t>Chapter 9, Vents.</w:t>
            </w:r>
          </w:p>
        </w:tc>
        <w:tc>
          <w:tcPr>
            <w:tcW w:w="7043" w:type="dxa"/>
            <w:gridSpan w:val="2"/>
            <w:tcBorders>
              <w:top w:val="nil"/>
              <w:left w:val="single" w:sz="6" w:space="0" w:color="000000"/>
              <w:bottom w:val="single" w:sz="6" w:space="0" w:color="000000"/>
              <w:right w:val="single" w:sz="6" w:space="0" w:color="000000"/>
            </w:tcBorders>
          </w:tcPr>
          <w:p w14:paraId="08EEF777" w14:textId="77777777" w:rsidR="00FC5566" w:rsidRPr="00FC5566" w:rsidRDefault="00FC5566" w:rsidP="00FC5566">
            <w:pPr>
              <w:ind w:left="91" w:right="90"/>
              <w:rPr>
                <w:rFonts w:eastAsia="Aptos"/>
                <w:kern w:val="2"/>
                <w:sz w:val="16"/>
                <w:szCs w:val="16"/>
              </w:rPr>
            </w:pPr>
          </w:p>
        </w:tc>
      </w:tr>
      <w:tr w:rsidR="00FC5566" w:rsidRPr="00FC5566" w14:paraId="4BE81B97"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36EE827A" w14:textId="77777777" w:rsidR="00FC5566" w:rsidRPr="00FC5566" w:rsidRDefault="00FC5566" w:rsidP="00FC5566">
            <w:pPr>
              <w:jc w:val="center"/>
              <w:rPr>
                <w:rFonts w:eastAsia="Aptos"/>
                <w:kern w:val="2"/>
                <w:sz w:val="16"/>
                <w:szCs w:val="16"/>
              </w:rPr>
            </w:pPr>
            <w:r w:rsidRPr="00FC5566">
              <w:rPr>
                <w:rFonts w:eastAsia="Aptos"/>
                <w:kern w:val="2"/>
                <w:sz w:val="16"/>
                <w:szCs w:val="16"/>
              </w:rPr>
              <w:t>Amend</w:t>
            </w:r>
          </w:p>
        </w:tc>
        <w:tc>
          <w:tcPr>
            <w:tcW w:w="2415" w:type="dxa"/>
            <w:gridSpan w:val="2"/>
            <w:tcBorders>
              <w:top w:val="nil"/>
              <w:left w:val="single" w:sz="6" w:space="0" w:color="000000"/>
              <w:bottom w:val="single" w:sz="6" w:space="0" w:color="000000"/>
              <w:right w:val="single" w:sz="6" w:space="0" w:color="000000"/>
            </w:tcBorders>
            <w:hideMark/>
          </w:tcPr>
          <w:p w14:paraId="77105DF4" w14:textId="77777777" w:rsidR="00FC5566" w:rsidRPr="00FC5566" w:rsidRDefault="00FC5566" w:rsidP="00FC5566">
            <w:pPr>
              <w:ind w:left="91" w:right="58"/>
              <w:rPr>
                <w:rFonts w:eastAsia="Aptos"/>
                <w:kern w:val="2"/>
                <w:sz w:val="16"/>
                <w:szCs w:val="16"/>
              </w:rPr>
            </w:pPr>
            <w:r w:rsidRPr="00FC5566">
              <w:rPr>
                <w:rFonts w:eastAsia="Aptos"/>
                <w:kern w:val="2"/>
                <w:sz w:val="16"/>
                <w:szCs w:val="16"/>
              </w:rPr>
              <w:t>Section 906.1, Size of stack vents and vent stacks.</w:t>
            </w:r>
          </w:p>
        </w:tc>
        <w:tc>
          <w:tcPr>
            <w:tcW w:w="7043" w:type="dxa"/>
            <w:gridSpan w:val="2"/>
            <w:tcBorders>
              <w:top w:val="nil"/>
              <w:left w:val="single" w:sz="6" w:space="0" w:color="000000"/>
              <w:bottom w:val="single" w:sz="6" w:space="0" w:color="000000"/>
              <w:right w:val="single" w:sz="6" w:space="0" w:color="000000"/>
            </w:tcBorders>
            <w:hideMark/>
          </w:tcPr>
          <w:p w14:paraId="49F15F76"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 xml:space="preserve">The minimum required diameter of stack vents and vent stacks shall be determined from the developed length and the total of drainage fixture units connected thereto in accordance with </w:t>
            </w:r>
            <w:hyperlink r:id="rId17" w:history="1">
              <w:r w:rsidRPr="00FC5566">
                <w:rPr>
                  <w:rFonts w:eastAsia="Aptos"/>
                  <w:color w:val="467886"/>
                  <w:kern w:val="2"/>
                  <w:sz w:val="16"/>
                  <w:szCs w:val="16"/>
                  <w:u w:val="single"/>
                </w:rPr>
                <w:t>Table 906.1,</w:t>
              </w:r>
            </w:hyperlink>
            <w:r w:rsidRPr="00FC5566">
              <w:rPr>
                <w:rFonts w:eastAsia="Aptos"/>
                <w:kern w:val="2"/>
                <w:sz w:val="16"/>
                <w:szCs w:val="16"/>
              </w:rPr>
              <w:t xml:space="preserve"> but in no case shall the diameter be less than one-half the diameter of the drain served or less than 11/2 inches. </w:t>
            </w:r>
          </w:p>
        </w:tc>
      </w:tr>
      <w:tr w:rsidR="00FC5566" w:rsidRPr="00FC5566" w14:paraId="3BCE0AB2" w14:textId="77777777" w:rsidTr="00B247D5">
        <w:trPr>
          <w:trHeight w:val="185"/>
        </w:trPr>
        <w:tc>
          <w:tcPr>
            <w:tcW w:w="1072" w:type="dxa"/>
            <w:tcBorders>
              <w:top w:val="nil"/>
              <w:left w:val="single" w:sz="6" w:space="0" w:color="000000"/>
              <w:bottom w:val="single" w:sz="6" w:space="0" w:color="000000"/>
              <w:right w:val="single" w:sz="6" w:space="0" w:color="000000"/>
            </w:tcBorders>
          </w:tcPr>
          <w:p w14:paraId="22775503" w14:textId="77777777" w:rsidR="00FC5566" w:rsidRPr="00FC5566" w:rsidRDefault="00FC5566" w:rsidP="00FC5566">
            <w:pPr>
              <w:jc w:val="center"/>
              <w:rPr>
                <w:rFonts w:eastAsia="Aptos"/>
                <w:kern w:val="2"/>
                <w:sz w:val="16"/>
                <w:szCs w:val="16"/>
              </w:rPr>
            </w:pPr>
            <w:r w:rsidRPr="00FC5566">
              <w:rPr>
                <w:rFonts w:eastAsia="Aptos"/>
                <w:kern w:val="2"/>
                <w:sz w:val="16"/>
                <w:szCs w:val="16"/>
              </w:rPr>
              <w:t>Amend</w:t>
            </w:r>
          </w:p>
        </w:tc>
        <w:tc>
          <w:tcPr>
            <w:tcW w:w="2415" w:type="dxa"/>
            <w:gridSpan w:val="2"/>
            <w:tcBorders>
              <w:top w:val="nil"/>
              <w:left w:val="single" w:sz="6" w:space="0" w:color="000000"/>
              <w:bottom w:val="single" w:sz="6" w:space="0" w:color="000000"/>
              <w:right w:val="single" w:sz="6" w:space="0" w:color="000000"/>
            </w:tcBorders>
            <w:hideMark/>
          </w:tcPr>
          <w:p w14:paraId="57050FCE" w14:textId="77777777" w:rsidR="00FC5566" w:rsidRPr="00FC5566" w:rsidRDefault="00FC5566" w:rsidP="00FC5566">
            <w:pPr>
              <w:ind w:left="91" w:right="58"/>
              <w:rPr>
                <w:rFonts w:eastAsia="Aptos"/>
                <w:kern w:val="2"/>
                <w:sz w:val="16"/>
                <w:szCs w:val="16"/>
              </w:rPr>
            </w:pPr>
            <w:r w:rsidRPr="00FC5566">
              <w:rPr>
                <w:rFonts w:eastAsia="Aptos"/>
                <w:kern w:val="2"/>
                <w:sz w:val="16"/>
                <w:szCs w:val="16"/>
              </w:rPr>
              <w:t>Section 906.2, Vents other than stack vents or vent stacks.</w:t>
            </w:r>
          </w:p>
        </w:tc>
        <w:tc>
          <w:tcPr>
            <w:tcW w:w="7043" w:type="dxa"/>
            <w:gridSpan w:val="2"/>
            <w:tcBorders>
              <w:top w:val="nil"/>
              <w:left w:val="single" w:sz="6" w:space="0" w:color="000000"/>
              <w:bottom w:val="single" w:sz="6" w:space="0" w:color="000000"/>
              <w:right w:val="single" w:sz="6" w:space="0" w:color="000000"/>
            </w:tcBorders>
            <w:hideMark/>
          </w:tcPr>
          <w:p w14:paraId="783C491E"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 xml:space="preserve">The diameter of individual vents, branch vents, circuit vents and relief vents shall be not less than one-half the required diameter of the drain served. The required size of the drain shall be determined in accordance with Table 710.1(2). Vent pipes shall be not less than 11/2 inches in diameter. Vents exceeding 40 feet in </w:t>
            </w:r>
            <w:r w:rsidRPr="00FC5566">
              <w:rPr>
                <w:rFonts w:eastAsia="Aptos"/>
                <w:kern w:val="2"/>
                <w:sz w:val="16"/>
                <w:szCs w:val="16"/>
              </w:rPr>
              <w:lastRenderedPageBreak/>
              <w:t>developed length shall be increased by one nominal pipe size for the entire developed length of the vent pipe. Relief vents for soil and waste stacks in buildings having more than 10 branch intervals shall be sized in accordance with Section 908.2.</w:t>
            </w:r>
          </w:p>
        </w:tc>
      </w:tr>
      <w:tr w:rsidR="00FC5566" w:rsidRPr="00FC5566" w14:paraId="2202769A"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6A7D1FCF" w14:textId="77777777" w:rsidR="00FC5566" w:rsidRPr="00FC5566" w:rsidRDefault="00FC5566" w:rsidP="00FC5566">
            <w:pPr>
              <w:jc w:val="center"/>
              <w:rPr>
                <w:rFonts w:eastAsia="Aptos"/>
                <w:kern w:val="2"/>
                <w:sz w:val="16"/>
                <w:szCs w:val="16"/>
              </w:rPr>
            </w:pPr>
            <w:r w:rsidRPr="00FC5566">
              <w:rPr>
                <w:rFonts w:eastAsia="Aptos"/>
                <w:kern w:val="2"/>
                <w:sz w:val="16"/>
                <w:szCs w:val="16"/>
              </w:rPr>
              <w:lastRenderedPageBreak/>
              <w:t>Amend</w:t>
            </w:r>
          </w:p>
        </w:tc>
        <w:tc>
          <w:tcPr>
            <w:tcW w:w="2415" w:type="dxa"/>
            <w:gridSpan w:val="2"/>
            <w:tcBorders>
              <w:top w:val="nil"/>
              <w:left w:val="single" w:sz="6" w:space="0" w:color="000000"/>
              <w:bottom w:val="single" w:sz="6" w:space="0" w:color="000000"/>
              <w:right w:val="single" w:sz="6" w:space="0" w:color="000000"/>
            </w:tcBorders>
            <w:hideMark/>
          </w:tcPr>
          <w:p w14:paraId="5D3A3D89" w14:textId="77777777" w:rsidR="00FC5566" w:rsidRPr="00FC5566" w:rsidRDefault="00FC5566" w:rsidP="00FC5566">
            <w:pPr>
              <w:ind w:left="91" w:right="58"/>
              <w:rPr>
                <w:rFonts w:eastAsia="Aptos"/>
                <w:kern w:val="2"/>
                <w:sz w:val="16"/>
                <w:szCs w:val="16"/>
              </w:rPr>
            </w:pPr>
            <w:r w:rsidRPr="00FC5566">
              <w:rPr>
                <w:rFonts w:eastAsia="Aptos"/>
                <w:kern w:val="2"/>
                <w:sz w:val="16"/>
                <w:szCs w:val="16"/>
              </w:rPr>
              <w:t>Table 909.1, Maximum Distance of Fixture Trap from Vent.</w:t>
            </w:r>
          </w:p>
        </w:tc>
        <w:tc>
          <w:tcPr>
            <w:tcW w:w="7043" w:type="dxa"/>
            <w:gridSpan w:val="2"/>
            <w:tcBorders>
              <w:top w:val="nil"/>
              <w:left w:val="single" w:sz="6" w:space="0" w:color="000000"/>
              <w:bottom w:val="single" w:sz="6" w:space="0" w:color="000000"/>
              <w:right w:val="single" w:sz="6" w:space="0" w:color="000000"/>
            </w:tcBorders>
          </w:tcPr>
          <w:p w14:paraId="1E579BD8" w14:textId="77777777" w:rsidR="00FC5566" w:rsidRPr="00FC5566" w:rsidRDefault="00FC5566" w:rsidP="00FC5566">
            <w:pPr>
              <w:ind w:left="91" w:right="90"/>
              <w:rPr>
                <w:rFonts w:eastAsia="Aptos"/>
                <w:kern w:val="2"/>
                <w:sz w:val="16"/>
                <w:szCs w:val="16"/>
              </w:rPr>
            </w:pPr>
          </w:p>
        </w:tc>
      </w:tr>
      <w:tr w:rsidR="00FC5566" w:rsidRPr="00FC5566" w14:paraId="1C19F3E9"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538CB036"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hideMark/>
          </w:tcPr>
          <w:p w14:paraId="5750DF48" w14:textId="77777777" w:rsidR="00FC5566" w:rsidRPr="00FC5566" w:rsidRDefault="00FC5566" w:rsidP="00FC5566">
            <w:pPr>
              <w:ind w:left="91" w:right="58"/>
              <w:rPr>
                <w:rFonts w:eastAsia="Aptos"/>
                <w:kern w:val="2"/>
                <w:sz w:val="16"/>
                <w:szCs w:val="16"/>
              </w:rPr>
            </w:pPr>
            <w:r w:rsidRPr="00FC5566">
              <w:rPr>
                <w:rFonts w:eastAsia="Aptos"/>
                <w:kern w:val="2"/>
                <w:sz w:val="16"/>
                <w:szCs w:val="16"/>
              </w:rPr>
              <w:t>Footnote (1.)</w:t>
            </w:r>
          </w:p>
        </w:tc>
        <w:tc>
          <w:tcPr>
            <w:tcW w:w="7043" w:type="dxa"/>
            <w:gridSpan w:val="2"/>
            <w:tcBorders>
              <w:top w:val="nil"/>
              <w:left w:val="single" w:sz="6" w:space="0" w:color="000000"/>
              <w:bottom w:val="single" w:sz="6" w:space="0" w:color="000000"/>
              <w:right w:val="single" w:sz="6" w:space="0" w:color="000000"/>
            </w:tcBorders>
            <w:hideMark/>
          </w:tcPr>
          <w:p w14:paraId="5492BAED"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1. The developed length between the trap of a water closet or similar fixture (measured from the top of the closet flange to the inner edge of the vent) and its vent shall not exceed 6 feet.</w:t>
            </w:r>
          </w:p>
        </w:tc>
      </w:tr>
      <w:tr w:rsidR="00FC5566" w:rsidRPr="00FC5566" w14:paraId="56575831" w14:textId="77777777" w:rsidTr="00B247D5">
        <w:trPr>
          <w:trHeight w:val="185"/>
        </w:trPr>
        <w:tc>
          <w:tcPr>
            <w:tcW w:w="1072" w:type="dxa"/>
            <w:tcBorders>
              <w:top w:val="nil"/>
              <w:left w:val="single" w:sz="6" w:space="0" w:color="000000"/>
              <w:bottom w:val="single" w:sz="6" w:space="0" w:color="000000"/>
              <w:right w:val="single" w:sz="6" w:space="0" w:color="000000"/>
            </w:tcBorders>
          </w:tcPr>
          <w:p w14:paraId="2AAEF502"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tcPr>
          <w:p w14:paraId="14FA0C85" w14:textId="77777777" w:rsidR="00FC5566" w:rsidRPr="00FC5566" w:rsidRDefault="00FC5566" w:rsidP="00FC5566">
            <w:pPr>
              <w:ind w:left="91" w:right="58"/>
              <w:rPr>
                <w:rFonts w:eastAsia="Aptos"/>
                <w:kern w:val="2"/>
                <w:sz w:val="16"/>
                <w:szCs w:val="16"/>
              </w:rPr>
            </w:pPr>
            <w:r w:rsidRPr="00FC5566">
              <w:rPr>
                <w:rFonts w:eastAsia="Aptos"/>
                <w:kern w:val="2"/>
                <w:sz w:val="16"/>
                <w:szCs w:val="16"/>
              </w:rPr>
              <w:t>Figure 916.3</w:t>
            </w:r>
          </w:p>
        </w:tc>
        <w:tc>
          <w:tcPr>
            <w:tcW w:w="7043" w:type="dxa"/>
            <w:gridSpan w:val="2"/>
            <w:tcBorders>
              <w:top w:val="nil"/>
              <w:left w:val="single" w:sz="6" w:space="0" w:color="000000"/>
              <w:bottom w:val="single" w:sz="6" w:space="0" w:color="000000"/>
              <w:right w:val="single" w:sz="6" w:space="0" w:color="000000"/>
            </w:tcBorders>
          </w:tcPr>
          <w:p w14:paraId="57BF0608" w14:textId="77777777" w:rsidR="00FC5566" w:rsidRPr="00FC5566" w:rsidRDefault="00FC5566" w:rsidP="00FC5566">
            <w:pPr>
              <w:ind w:left="91" w:right="90"/>
              <w:rPr>
                <w:rFonts w:eastAsia="Aptos"/>
                <w:kern w:val="2"/>
                <w:sz w:val="16"/>
                <w:szCs w:val="16"/>
              </w:rPr>
            </w:pPr>
            <w:r w:rsidRPr="00FC5566">
              <w:rPr>
                <w:rFonts w:eastAsia="Aptos"/>
                <w:noProof/>
                <w:kern w:val="2"/>
                <w:sz w:val="16"/>
                <w:szCs w:val="16"/>
              </w:rPr>
              <w:drawing>
                <wp:inline distT="0" distB="0" distL="0" distR="0" wp14:anchorId="454A1D56" wp14:editId="57CAA6C7">
                  <wp:extent cx="4387215" cy="2480945"/>
                  <wp:effectExtent l="0" t="0" r="0" b="0"/>
                  <wp:docPr id="1" name="Image 71" descr="Figure 916.2 shows diagram of fixture with the following labels:&#10;Vent Rise Above Bottom of Fixture&#10;Flood Level Rim&#10;Bottom of Fixture&#10;Low Point of Vent Connects to Drain Downstream of Fixture Drain&#10;2 Cleanout Points for Vents&#10;&#10;Shows the flood of a lavatory and an isometric drawing of how it should be plumb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71" descr="Figure 916.2 shows diagram of fixture with the following labels:&#10;Vent Rise Above Bottom of Fixture&#10;Flood Level Rim&#10;Bottom of Fixture&#10;Low Point of Vent Connects to Drain Downstream of Fixture Drain&#10;2 Cleanout Points for Vents&#10;&#10;Shows the flood of a lavatory and an isometric drawing of how it should be plumbed."/>
                          <pic:cNvPicPr>
                            <a:picLocks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387215" cy="2480945"/>
                          </a:xfrm>
                          <a:prstGeom prst="rect">
                            <a:avLst/>
                          </a:prstGeom>
                          <a:noFill/>
                          <a:ln>
                            <a:noFill/>
                          </a:ln>
                        </pic:spPr>
                      </pic:pic>
                    </a:graphicData>
                  </a:graphic>
                </wp:inline>
              </w:drawing>
            </w:r>
          </w:p>
        </w:tc>
      </w:tr>
      <w:tr w:rsidR="00FC5566" w:rsidRPr="00FC5566" w14:paraId="027E7D64" w14:textId="77777777" w:rsidTr="00B247D5">
        <w:trPr>
          <w:trHeight w:val="274"/>
        </w:trPr>
        <w:tc>
          <w:tcPr>
            <w:tcW w:w="1072" w:type="dxa"/>
            <w:tcBorders>
              <w:top w:val="nil"/>
              <w:left w:val="single" w:sz="6" w:space="0" w:color="000000"/>
              <w:bottom w:val="single" w:sz="6" w:space="0" w:color="000000"/>
              <w:right w:val="single" w:sz="6" w:space="0" w:color="000000"/>
            </w:tcBorders>
            <w:hideMark/>
          </w:tcPr>
          <w:p w14:paraId="6FDF303B" w14:textId="77777777" w:rsidR="00FC5566" w:rsidRPr="00FC5566" w:rsidRDefault="00FC5566" w:rsidP="00FC5566">
            <w:pPr>
              <w:jc w:val="center"/>
              <w:rPr>
                <w:rFonts w:eastAsia="Aptos"/>
                <w:kern w:val="2"/>
                <w:sz w:val="16"/>
                <w:szCs w:val="16"/>
              </w:rPr>
            </w:pPr>
            <w:r w:rsidRPr="00FC5566">
              <w:rPr>
                <w:rFonts w:eastAsia="Aptos"/>
                <w:kern w:val="2"/>
                <w:sz w:val="16"/>
                <w:szCs w:val="16"/>
              </w:rPr>
              <w:t>Amend</w:t>
            </w:r>
          </w:p>
        </w:tc>
        <w:tc>
          <w:tcPr>
            <w:tcW w:w="2415" w:type="dxa"/>
            <w:gridSpan w:val="2"/>
            <w:tcBorders>
              <w:top w:val="nil"/>
              <w:left w:val="single" w:sz="6" w:space="0" w:color="000000"/>
              <w:bottom w:val="single" w:sz="6" w:space="0" w:color="000000"/>
              <w:right w:val="single" w:sz="6" w:space="0" w:color="000000"/>
            </w:tcBorders>
            <w:hideMark/>
          </w:tcPr>
          <w:p w14:paraId="604A3EDE" w14:textId="77777777" w:rsidR="00FC5566" w:rsidRPr="00FC5566" w:rsidRDefault="00FC5566" w:rsidP="00FC5566">
            <w:pPr>
              <w:ind w:left="91"/>
              <w:rPr>
                <w:rFonts w:eastAsia="Aptos"/>
                <w:kern w:val="2"/>
                <w:sz w:val="16"/>
                <w:szCs w:val="16"/>
              </w:rPr>
            </w:pPr>
            <w:r w:rsidRPr="00FC5566">
              <w:rPr>
                <w:rFonts w:eastAsia="Aptos"/>
                <w:kern w:val="2"/>
                <w:sz w:val="16"/>
                <w:szCs w:val="16"/>
              </w:rPr>
              <w:t>Section 917, Single Stack System.</w:t>
            </w:r>
          </w:p>
        </w:tc>
        <w:tc>
          <w:tcPr>
            <w:tcW w:w="7043" w:type="dxa"/>
            <w:gridSpan w:val="2"/>
            <w:tcBorders>
              <w:top w:val="nil"/>
              <w:left w:val="single" w:sz="6" w:space="0" w:color="000000"/>
              <w:bottom w:val="single" w:sz="6" w:space="0" w:color="000000"/>
              <w:right w:val="single" w:sz="6" w:space="0" w:color="000000"/>
            </w:tcBorders>
          </w:tcPr>
          <w:p w14:paraId="1B5AB92C" w14:textId="77777777" w:rsidR="00FC5566" w:rsidRPr="00FC5566" w:rsidRDefault="00FC5566" w:rsidP="00FC5566">
            <w:pPr>
              <w:ind w:left="91" w:right="90"/>
              <w:rPr>
                <w:rFonts w:eastAsia="Aptos"/>
                <w:kern w:val="2"/>
                <w:sz w:val="16"/>
                <w:szCs w:val="16"/>
              </w:rPr>
            </w:pPr>
          </w:p>
        </w:tc>
      </w:tr>
      <w:tr w:rsidR="00FC5566" w:rsidRPr="00FC5566" w14:paraId="5CBAA333"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499D25D7" w14:textId="77777777" w:rsidR="00FC5566" w:rsidRPr="00FC5566" w:rsidRDefault="00FC5566" w:rsidP="00FC5566">
            <w:pPr>
              <w:jc w:val="center"/>
              <w:rPr>
                <w:rFonts w:eastAsia="Aptos"/>
                <w:kern w:val="2"/>
                <w:sz w:val="16"/>
                <w:szCs w:val="16"/>
              </w:rPr>
            </w:pPr>
            <w:r w:rsidRPr="00FC5566">
              <w:rPr>
                <w:rFonts w:eastAsia="Aptos"/>
                <w:kern w:val="2"/>
                <w:sz w:val="16"/>
                <w:szCs w:val="16"/>
              </w:rPr>
              <w:t>Amend</w:t>
            </w:r>
          </w:p>
        </w:tc>
        <w:tc>
          <w:tcPr>
            <w:tcW w:w="2415" w:type="dxa"/>
            <w:gridSpan w:val="2"/>
            <w:tcBorders>
              <w:top w:val="nil"/>
              <w:left w:val="single" w:sz="6" w:space="0" w:color="000000"/>
              <w:bottom w:val="single" w:sz="6" w:space="0" w:color="000000"/>
              <w:right w:val="single" w:sz="6" w:space="0" w:color="000000"/>
            </w:tcBorders>
            <w:hideMark/>
          </w:tcPr>
          <w:p w14:paraId="2CC19202" w14:textId="77777777" w:rsidR="00FC5566" w:rsidRPr="00FC5566" w:rsidRDefault="00FC5566" w:rsidP="00FC5566">
            <w:pPr>
              <w:ind w:left="91"/>
              <w:rPr>
                <w:rFonts w:eastAsia="Aptos"/>
                <w:kern w:val="2"/>
                <w:sz w:val="16"/>
                <w:szCs w:val="16"/>
              </w:rPr>
            </w:pPr>
            <w:r w:rsidRPr="00FC5566">
              <w:rPr>
                <w:rFonts w:eastAsia="Aptos"/>
                <w:kern w:val="2"/>
                <w:sz w:val="16"/>
                <w:szCs w:val="16"/>
              </w:rPr>
              <w:t>Section 917.1, Where Permitted.</w:t>
            </w:r>
          </w:p>
        </w:tc>
        <w:tc>
          <w:tcPr>
            <w:tcW w:w="7043" w:type="dxa"/>
            <w:gridSpan w:val="2"/>
            <w:tcBorders>
              <w:top w:val="nil"/>
              <w:left w:val="single" w:sz="6" w:space="0" w:color="000000"/>
              <w:bottom w:val="single" w:sz="6" w:space="0" w:color="000000"/>
              <w:right w:val="single" w:sz="6" w:space="0" w:color="000000"/>
            </w:tcBorders>
            <w:hideMark/>
          </w:tcPr>
          <w:p w14:paraId="190B2C99"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Single-stack venting shall be designed by a registered design professional as an engineered design. A drainage stack shall serve as a single stack vent system where sized and installed in accordance with Sections 917.2 through 917.9. The drainage stack and branch piping shall be the vents for the drainage system. The drainage stack shall have a stack vent.</w:t>
            </w:r>
          </w:p>
        </w:tc>
      </w:tr>
      <w:tr w:rsidR="00FC5566" w:rsidRPr="00FC5566" w14:paraId="1AC76D13"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7F13CF83" w14:textId="77777777" w:rsidR="00FC5566" w:rsidRPr="00FC5566" w:rsidRDefault="00FC5566" w:rsidP="00FC5566">
            <w:pPr>
              <w:jc w:val="center"/>
              <w:rPr>
                <w:rFonts w:eastAsia="Aptos"/>
                <w:kern w:val="2"/>
                <w:sz w:val="16"/>
                <w:szCs w:val="16"/>
              </w:rPr>
            </w:pPr>
            <w:r w:rsidRPr="00FC5566">
              <w:rPr>
                <w:rFonts w:eastAsia="Aptos"/>
                <w:kern w:val="2"/>
                <w:sz w:val="16"/>
                <w:szCs w:val="16"/>
              </w:rPr>
              <w:t>Repeal</w:t>
            </w:r>
          </w:p>
        </w:tc>
        <w:tc>
          <w:tcPr>
            <w:tcW w:w="2415" w:type="dxa"/>
            <w:gridSpan w:val="2"/>
            <w:tcBorders>
              <w:top w:val="nil"/>
              <w:left w:val="single" w:sz="6" w:space="0" w:color="000000"/>
              <w:bottom w:val="single" w:sz="6" w:space="0" w:color="000000"/>
              <w:right w:val="single" w:sz="6" w:space="0" w:color="000000"/>
            </w:tcBorders>
            <w:hideMark/>
          </w:tcPr>
          <w:p w14:paraId="360CDBB0" w14:textId="77777777" w:rsidR="00FC5566" w:rsidRPr="00FC5566" w:rsidRDefault="00FC5566" w:rsidP="00FC5566">
            <w:pPr>
              <w:ind w:left="91" w:right="58"/>
              <w:rPr>
                <w:rFonts w:eastAsia="Aptos"/>
                <w:kern w:val="2"/>
                <w:sz w:val="16"/>
                <w:szCs w:val="16"/>
              </w:rPr>
            </w:pPr>
            <w:r w:rsidRPr="00FC5566">
              <w:rPr>
                <w:rFonts w:eastAsia="Aptos"/>
                <w:kern w:val="2"/>
                <w:sz w:val="16"/>
                <w:szCs w:val="16"/>
              </w:rPr>
              <w:t>Section 918, Air Admittance Valves.</w:t>
            </w:r>
          </w:p>
        </w:tc>
        <w:tc>
          <w:tcPr>
            <w:tcW w:w="7043" w:type="dxa"/>
            <w:gridSpan w:val="2"/>
            <w:tcBorders>
              <w:top w:val="nil"/>
              <w:left w:val="single" w:sz="6" w:space="0" w:color="000000"/>
              <w:bottom w:val="single" w:sz="6" w:space="0" w:color="000000"/>
              <w:right w:val="single" w:sz="6" w:space="0" w:color="000000"/>
            </w:tcBorders>
            <w:hideMark/>
          </w:tcPr>
          <w:p w14:paraId="2654B599"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Delete Section 918, Air Admittance Valves in its entirety and all referring sections of the 2024 IPC. In accordance with the requirements of Act 836 of the 2014 Regular Session, air admittance valves are prohibited from use on all plumbing systems.</w:t>
            </w:r>
          </w:p>
        </w:tc>
      </w:tr>
      <w:tr w:rsidR="00FC5566" w:rsidRPr="00FC5566" w14:paraId="354B1130" w14:textId="77777777" w:rsidTr="00B247D5">
        <w:trPr>
          <w:trHeight w:val="185"/>
        </w:trPr>
        <w:tc>
          <w:tcPr>
            <w:tcW w:w="1072" w:type="dxa"/>
            <w:tcBorders>
              <w:top w:val="nil"/>
              <w:left w:val="single" w:sz="6" w:space="0" w:color="000000"/>
              <w:bottom w:val="single" w:sz="4" w:space="0" w:color="auto"/>
              <w:right w:val="single" w:sz="6" w:space="0" w:color="000000"/>
            </w:tcBorders>
            <w:hideMark/>
          </w:tcPr>
          <w:p w14:paraId="6FB0381C" w14:textId="77777777" w:rsidR="00FC5566" w:rsidRPr="00FC5566" w:rsidRDefault="00FC5566" w:rsidP="00FC5566">
            <w:pPr>
              <w:jc w:val="center"/>
              <w:rPr>
                <w:rFonts w:eastAsia="Aptos"/>
                <w:kern w:val="2"/>
                <w:sz w:val="16"/>
                <w:szCs w:val="16"/>
              </w:rPr>
            </w:pPr>
            <w:r w:rsidRPr="00FC5566">
              <w:rPr>
                <w:rFonts w:eastAsia="Aptos"/>
                <w:kern w:val="2"/>
                <w:sz w:val="16"/>
                <w:szCs w:val="16"/>
              </w:rPr>
              <w:t>Repeal</w:t>
            </w:r>
          </w:p>
        </w:tc>
        <w:tc>
          <w:tcPr>
            <w:tcW w:w="2415" w:type="dxa"/>
            <w:gridSpan w:val="2"/>
            <w:tcBorders>
              <w:top w:val="nil"/>
              <w:left w:val="single" w:sz="6" w:space="0" w:color="000000"/>
              <w:bottom w:val="single" w:sz="4" w:space="0" w:color="auto"/>
              <w:right w:val="single" w:sz="6" w:space="0" w:color="000000"/>
            </w:tcBorders>
            <w:hideMark/>
          </w:tcPr>
          <w:p w14:paraId="56656B94" w14:textId="77777777" w:rsidR="00FC5566" w:rsidRPr="00FC5566" w:rsidRDefault="00FC5566" w:rsidP="00FC5566">
            <w:pPr>
              <w:ind w:left="91"/>
              <w:rPr>
                <w:rFonts w:eastAsia="Aptos"/>
                <w:kern w:val="2"/>
                <w:sz w:val="16"/>
                <w:szCs w:val="16"/>
              </w:rPr>
            </w:pPr>
            <w:r w:rsidRPr="00FC5566">
              <w:rPr>
                <w:rFonts w:eastAsia="Aptos"/>
                <w:kern w:val="2"/>
                <w:sz w:val="16"/>
                <w:szCs w:val="16"/>
              </w:rPr>
              <w:t>Section 920, Computerized Vent Design.</w:t>
            </w:r>
          </w:p>
        </w:tc>
        <w:tc>
          <w:tcPr>
            <w:tcW w:w="7043" w:type="dxa"/>
            <w:gridSpan w:val="2"/>
            <w:tcBorders>
              <w:top w:val="nil"/>
              <w:left w:val="single" w:sz="6" w:space="0" w:color="000000"/>
              <w:bottom w:val="single" w:sz="4" w:space="0" w:color="auto"/>
              <w:right w:val="single" w:sz="6" w:space="0" w:color="000000"/>
            </w:tcBorders>
          </w:tcPr>
          <w:p w14:paraId="0BDCEBB4" w14:textId="77777777" w:rsidR="00FC5566" w:rsidRPr="00FC5566" w:rsidRDefault="00FC5566" w:rsidP="00FC5566">
            <w:pPr>
              <w:ind w:left="91" w:right="90"/>
              <w:rPr>
                <w:rFonts w:eastAsia="Aptos"/>
                <w:kern w:val="2"/>
                <w:sz w:val="16"/>
                <w:szCs w:val="16"/>
              </w:rPr>
            </w:pPr>
          </w:p>
        </w:tc>
      </w:tr>
      <w:tr w:rsidR="00FC5566" w:rsidRPr="00FC5566" w14:paraId="65BB0C23" w14:textId="77777777" w:rsidTr="00B247D5">
        <w:trPr>
          <w:trHeight w:val="185"/>
        </w:trPr>
        <w:tc>
          <w:tcPr>
            <w:tcW w:w="1072" w:type="dxa"/>
            <w:tcBorders>
              <w:top w:val="single" w:sz="4" w:space="0" w:color="auto"/>
              <w:left w:val="single" w:sz="4" w:space="0" w:color="auto"/>
              <w:bottom w:val="single" w:sz="4" w:space="0" w:color="auto"/>
              <w:right w:val="single" w:sz="4" w:space="0" w:color="auto"/>
            </w:tcBorders>
            <w:hideMark/>
          </w:tcPr>
          <w:p w14:paraId="1BDF2C24" w14:textId="77777777" w:rsidR="00FC5566" w:rsidRPr="00FC5566" w:rsidRDefault="00FC5566" w:rsidP="00FC5566">
            <w:pPr>
              <w:jc w:val="center"/>
              <w:rPr>
                <w:rFonts w:eastAsia="Aptos"/>
                <w:kern w:val="2"/>
                <w:sz w:val="16"/>
                <w:szCs w:val="16"/>
              </w:rPr>
            </w:pPr>
            <w:r w:rsidRPr="00FC5566">
              <w:rPr>
                <w:rFonts w:eastAsia="Aptos"/>
                <w:kern w:val="2"/>
                <w:sz w:val="16"/>
                <w:szCs w:val="16"/>
              </w:rPr>
              <w:t>Amend</w:t>
            </w:r>
          </w:p>
        </w:tc>
        <w:tc>
          <w:tcPr>
            <w:tcW w:w="2415" w:type="dxa"/>
            <w:gridSpan w:val="2"/>
            <w:tcBorders>
              <w:top w:val="single" w:sz="4" w:space="0" w:color="auto"/>
              <w:left w:val="single" w:sz="4" w:space="0" w:color="auto"/>
              <w:bottom w:val="single" w:sz="4" w:space="0" w:color="auto"/>
              <w:right w:val="single" w:sz="4" w:space="0" w:color="auto"/>
            </w:tcBorders>
            <w:hideMark/>
          </w:tcPr>
          <w:p w14:paraId="5BAD226A" w14:textId="77777777" w:rsidR="00FC5566" w:rsidRPr="00FC5566" w:rsidRDefault="00FC5566" w:rsidP="00FC5566">
            <w:pPr>
              <w:ind w:left="91" w:right="58"/>
              <w:rPr>
                <w:rFonts w:eastAsia="Aptos"/>
                <w:kern w:val="2"/>
                <w:sz w:val="16"/>
                <w:szCs w:val="16"/>
              </w:rPr>
            </w:pPr>
            <w:r w:rsidRPr="00FC5566">
              <w:rPr>
                <w:rFonts w:eastAsia="Aptos"/>
                <w:kern w:val="2"/>
                <w:sz w:val="16"/>
                <w:szCs w:val="16"/>
              </w:rPr>
              <w:t>Chapter 10, Traps, Interceptors and Separators.</w:t>
            </w:r>
          </w:p>
        </w:tc>
        <w:tc>
          <w:tcPr>
            <w:tcW w:w="7043" w:type="dxa"/>
            <w:gridSpan w:val="2"/>
            <w:tcBorders>
              <w:top w:val="single" w:sz="4" w:space="0" w:color="auto"/>
              <w:left w:val="single" w:sz="4" w:space="0" w:color="auto"/>
              <w:bottom w:val="single" w:sz="4" w:space="0" w:color="auto"/>
              <w:right w:val="single" w:sz="4" w:space="0" w:color="auto"/>
            </w:tcBorders>
          </w:tcPr>
          <w:p w14:paraId="1C0E2556" w14:textId="77777777" w:rsidR="00FC5566" w:rsidRPr="00FC5566" w:rsidRDefault="00FC5566" w:rsidP="00FC5566">
            <w:pPr>
              <w:ind w:left="91" w:right="90"/>
              <w:rPr>
                <w:rFonts w:eastAsia="Aptos"/>
                <w:kern w:val="2"/>
                <w:sz w:val="16"/>
                <w:szCs w:val="16"/>
              </w:rPr>
            </w:pPr>
          </w:p>
        </w:tc>
      </w:tr>
      <w:tr w:rsidR="00FC5566" w:rsidRPr="00FC5566" w14:paraId="083246B1" w14:textId="77777777" w:rsidTr="00B247D5">
        <w:trPr>
          <w:trHeight w:val="185"/>
        </w:trPr>
        <w:tc>
          <w:tcPr>
            <w:tcW w:w="1072" w:type="dxa"/>
            <w:tcBorders>
              <w:top w:val="single" w:sz="4" w:space="0" w:color="auto"/>
              <w:left w:val="single" w:sz="6" w:space="0" w:color="000000"/>
              <w:bottom w:val="single" w:sz="6" w:space="0" w:color="000000"/>
              <w:right w:val="single" w:sz="6" w:space="0" w:color="000000"/>
            </w:tcBorders>
            <w:hideMark/>
          </w:tcPr>
          <w:p w14:paraId="53CD87E2" w14:textId="77777777" w:rsidR="00FC5566" w:rsidRPr="00FC5566" w:rsidRDefault="00FC5566" w:rsidP="00FC5566">
            <w:pPr>
              <w:jc w:val="center"/>
              <w:rPr>
                <w:rFonts w:eastAsia="Aptos"/>
                <w:kern w:val="2"/>
                <w:sz w:val="16"/>
                <w:szCs w:val="16"/>
              </w:rPr>
            </w:pPr>
            <w:r w:rsidRPr="00FC5566">
              <w:rPr>
                <w:rFonts w:eastAsia="Aptos"/>
                <w:kern w:val="2"/>
                <w:sz w:val="16"/>
                <w:szCs w:val="16"/>
              </w:rPr>
              <w:t>Amend</w:t>
            </w:r>
          </w:p>
        </w:tc>
        <w:tc>
          <w:tcPr>
            <w:tcW w:w="2415" w:type="dxa"/>
            <w:gridSpan w:val="2"/>
            <w:tcBorders>
              <w:top w:val="single" w:sz="4" w:space="0" w:color="auto"/>
              <w:left w:val="single" w:sz="6" w:space="0" w:color="000000"/>
              <w:bottom w:val="single" w:sz="6" w:space="0" w:color="000000"/>
              <w:right w:val="single" w:sz="6" w:space="0" w:color="000000"/>
            </w:tcBorders>
            <w:hideMark/>
          </w:tcPr>
          <w:p w14:paraId="0EE2DBE5" w14:textId="77777777" w:rsidR="00FC5566" w:rsidRPr="00FC5566" w:rsidRDefault="00FC5566" w:rsidP="00FC5566">
            <w:pPr>
              <w:ind w:left="91" w:right="58"/>
              <w:rPr>
                <w:rFonts w:eastAsia="Aptos"/>
                <w:kern w:val="2"/>
                <w:sz w:val="16"/>
                <w:szCs w:val="16"/>
              </w:rPr>
            </w:pPr>
            <w:r w:rsidRPr="00FC5566">
              <w:rPr>
                <w:rFonts w:eastAsia="Aptos"/>
                <w:kern w:val="2"/>
                <w:sz w:val="16"/>
                <w:szCs w:val="16"/>
              </w:rPr>
              <w:t>Section 1003.2, Approval.</w:t>
            </w:r>
          </w:p>
        </w:tc>
        <w:tc>
          <w:tcPr>
            <w:tcW w:w="7043" w:type="dxa"/>
            <w:gridSpan w:val="2"/>
            <w:tcBorders>
              <w:top w:val="single" w:sz="4" w:space="0" w:color="auto"/>
              <w:left w:val="single" w:sz="6" w:space="0" w:color="000000"/>
              <w:bottom w:val="single" w:sz="6" w:space="0" w:color="000000"/>
              <w:right w:val="single" w:sz="6" w:space="0" w:color="000000"/>
            </w:tcBorders>
            <w:hideMark/>
          </w:tcPr>
          <w:p w14:paraId="301A9E29"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Interceptors and separators shall be designed and installed in accordance with the manufacturer’s instructions and the requirements of this section based on the anticipated conditions of use. Wastes that do not require treatment or separation shall not be discharged into any interceptor or separator. No interceptor or separator shall be installed until its design, size, location and venting has been approved by the local jurisdictional code official. The local jurisdictional code official shall have the authority to require a grease interceptor to be serviced, repaired, or replaced with a unit sized per 1003.2.1, when it is determined that a unit is not working or being maintained properly, the unit is damaged, or the mode of operation of the facility no longer meets the anticipated conditions of use (i.e., offensive odors, sewage backups or overflows, or when it is determined that grease is bypassing the grease interceptor and causing downstream blockages or interfering with sewage treatment).</w:t>
            </w:r>
          </w:p>
        </w:tc>
      </w:tr>
      <w:tr w:rsidR="00FC5566" w:rsidRPr="00FC5566" w14:paraId="4B8ED537"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0BCEA5D5"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hideMark/>
          </w:tcPr>
          <w:p w14:paraId="11BC9255" w14:textId="77777777" w:rsidR="00FC5566" w:rsidRPr="00FC5566" w:rsidRDefault="00FC5566" w:rsidP="00FC5566">
            <w:pPr>
              <w:ind w:left="91" w:right="58"/>
              <w:rPr>
                <w:rFonts w:eastAsia="Aptos"/>
                <w:kern w:val="2"/>
                <w:sz w:val="16"/>
                <w:szCs w:val="16"/>
              </w:rPr>
            </w:pPr>
            <w:r w:rsidRPr="00FC5566">
              <w:rPr>
                <w:rFonts w:eastAsia="Aptos"/>
                <w:kern w:val="2"/>
                <w:sz w:val="16"/>
                <w:szCs w:val="16"/>
              </w:rPr>
              <w:t>Section 1003.2.1, Grease Interceptor Sizing.</w:t>
            </w:r>
          </w:p>
        </w:tc>
        <w:tc>
          <w:tcPr>
            <w:tcW w:w="7043" w:type="dxa"/>
            <w:gridSpan w:val="2"/>
            <w:tcBorders>
              <w:top w:val="nil"/>
              <w:left w:val="single" w:sz="6" w:space="0" w:color="000000"/>
              <w:bottom w:val="single" w:sz="6" w:space="0" w:color="000000"/>
              <w:right w:val="single" w:sz="6" w:space="0" w:color="000000"/>
            </w:tcBorders>
            <w:hideMark/>
          </w:tcPr>
          <w:p w14:paraId="0A4671F7"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In all instances of new construction, change of occupancy classification or use of the property, a gravity grease interceptor or hydro-mechanical grease interceptor meeting the minimum capacity as required by this Section of the Code shall be installed. The minimum required capacity (volume) of the grease interceptor shall be determined based upon the maximum number of persons served during the largest meal period. The minimum capacity shall not be less than 125 gallons below the static water level. This capacity is sufficient to hold the flow from one meal long enough to accomplish proper grease separation when serving up to 50 people during a single meal period. When over 50 people are served during a single meal period, the minimum capacity shall be increased beyond 125 gallons based upon at least an additional 2 1/2 gallons per person beginning with the 51st person served and greater.</w:t>
            </w:r>
          </w:p>
        </w:tc>
      </w:tr>
      <w:tr w:rsidR="00FC5566" w:rsidRPr="00FC5566" w14:paraId="143C85C9" w14:textId="77777777" w:rsidTr="00B247D5">
        <w:trPr>
          <w:trHeight w:val="185"/>
        </w:trPr>
        <w:tc>
          <w:tcPr>
            <w:tcW w:w="1072" w:type="dxa"/>
            <w:tcBorders>
              <w:top w:val="single" w:sz="6" w:space="0" w:color="000000"/>
              <w:left w:val="single" w:sz="6" w:space="0" w:color="000000"/>
              <w:bottom w:val="single" w:sz="6" w:space="0" w:color="000000"/>
              <w:right w:val="single" w:sz="6" w:space="0" w:color="000000"/>
            </w:tcBorders>
            <w:hideMark/>
          </w:tcPr>
          <w:p w14:paraId="41967992"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hideMark/>
          </w:tcPr>
          <w:p w14:paraId="44C2A0AB" w14:textId="77777777" w:rsidR="00FC5566" w:rsidRPr="00FC5566" w:rsidRDefault="00FC5566" w:rsidP="00FC5566">
            <w:pPr>
              <w:ind w:left="91" w:right="58"/>
              <w:rPr>
                <w:rFonts w:eastAsia="Aptos"/>
                <w:kern w:val="2"/>
                <w:sz w:val="16"/>
                <w:szCs w:val="16"/>
              </w:rPr>
            </w:pPr>
            <w:r w:rsidRPr="00FC5566">
              <w:rPr>
                <w:rFonts w:eastAsia="Aptos"/>
                <w:kern w:val="2"/>
                <w:sz w:val="16"/>
                <w:szCs w:val="16"/>
              </w:rPr>
              <w:t>Exceptions</w:t>
            </w:r>
          </w:p>
        </w:tc>
        <w:tc>
          <w:tcPr>
            <w:tcW w:w="7043" w:type="dxa"/>
            <w:gridSpan w:val="2"/>
            <w:tcBorders>
              <w:top w:val="single" w:sz="6" w:space="0" w:color="000000"/>
              <w:left w:val="single" w:sz="6" w:space="0" w:color="000000"/>
              <w:bottom w:val="single" w:sz="6" w:space="0" w:color="000000"/>
              <w:right w:val="single" w:sz="6" w:space="0" w:color="000000"/>
            </w:tcBorders>
          </w:tcPr>
          <w:p w14:paraId="799A96A9" w14:textId="77777777" w:rsidR="00FC5566" w:rsidRPr="00FC5566" w:rsidRDefault="00FC5566" w:rsidP="00FC5566">
            <w:pPr>
              <w:ind w:left="91" w:right="90"/>
              <w:rPr>
                <w:rFonts w:eastAsia="Aptos"/>
                <w:b/>
                <w:bCs/>
                <w:kern w:val="2"/>
                <w:sz w:val="16"/>
                <w:szCs w:val="16"/>
              </w:rPr>
            </w:pPr>
            <w:r w:rsidRPr="00FC5566">
              <w:rPr>
                <w:rFonts w:eastAsia="Aptos"/>
                <w:b/>
                <w:bCs/>
                <w:kern w:val="2"/>
                <w:sz w:val="16"/>
                <w:szCs w:val="16"/>
              </w:rPr>
              <w:t>Exceptions:</w:t>
            </w:r>
          </w:p>
          <w:p w14:paraId="3A92C9BB"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(a.) At the discretion of the local jurisdictional code official, a smaller, point of use type hydro-mechanical grease interceptor or automatic grease removal device may be permissible when:</w:t>
            </w:r>
          </w:p>
          <w:p w14:paraId="2C51D9FC"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1. A concrete slab would have to be broken at an existing building or facility for the proper installation of a grease interceptor; or</w:t>
            </w:r>
          </w:p>
          <w:p w14:paraId="5B246439"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2. An outside, unpaved area surrounding an existing building where a grease interceptor could be installed is available; however, it is determined that the area is located further than 75 feet from the plumbing fixtures that the grease interceptor would be servicing; or</w:t>
            </w:r>
          </w:p>
          <w:p w14:paraId="1E25CA15"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3. The local jurisdictional code official determines that the installation is unfeasible such as when servicing a kitchen located on the upper floors of a multistoried building; or</w:t>
            </w:r>
          </w:p>
          <w:p w14:paraId="2AC64645"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4. The local jurisdictional code official determines that minimal fat, oil and grease will be produced or introduced into the sanitary drainage system based on the menu and mode of operation of the facility (i.e., snowball stands, sandwich shops, or other similar facilities with low grease production and which utilize single-service tableware and hollowware including forks, knives, spoons, plates, bowls, cups, and other serving dishes).</w:t>
            </w:r>
          </w:p>
          <w:p w14:paraId="13829937"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 xml:space="preserve">(b.) In these instances, listed under this exception, the minimum required size of the hydromechanical grease interceptor; fats, oils and greases disposal system or automatic grease removal device shall be </w:t>
            </w:r>
            <w:r w:rsidRPr="00FC5566">
              <w:rPr>
                <w:rFonts w:eastAsia="Aptos"/>
                <w:kern w:val="2"/>
                <w:sz w:val="16"/>
                <w:szCs w:val="16"/>
              </w:rPr>
              <w:lastRenderedPageBreak/>
              <w:t>determined in accordance with the requirements of Section 1003.3.4 of this code. In no case shall a grease interceptor or automatic grease removal device be installed which has an approved rate of flow of less than 20 gallons per minute.</w:t>
            </w:r>
          </w:p>
        </w:tc>
      </w:tr>
      <w:tr w:rsidR="00FC5566" w:rsidRPr="00FC5566" w14:paraId="454F94E5"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70E52956" w14:textId="77777777" w:rsidR="00FC5566" w:rsidRPr="00FC5566" w:rsidRDefault="00FC5566" w:rsidP="00FC5566">
            <w:pPr>
              <w:jc w:val="center"/>
              <w:rPr>
                <w:rFonts w:eastAsia="Aptos"/>
                <w:kern w:val="2"/>
                <w:sz w:val="16"/>
                <w:szCs w:val="16"/>
              </w:rPr>
            </w:pPr>
            <w:r w:rsidRPr="00FC5566">
              <w:rPr>
                <w:rFonts w:eastAsia="Aptos"/>
                <w:kern w:val="2"/>
                <w:sz w:val="16"/>
                <w:szCs w:val="16"/>
              </w:rPr>
              <w:lastRenderedPageBreak/>
              <w:t>Amend</w:t>
            </w:r>
          </w:p>
        </w:tc>
        <w:tc>
          <w:tcPr>
            <w:tcW w:w="2415" w:type="dxa"/>
            <w:gridSpan w:val="2"/>
            <w:tcBorders>
              <w:top w:val="nil"/>
              <w:left w:val="single" w:sz="6" w:space="0" w:color="000000"/>
              <w:bottom w:val="single" w:sz="6" w:space="0" w:color="000000"/>
              <w:right w:val="single" w:sz="6" w:space="0" w:color="000000"/>
            </w:tcBorders>
            <w:hideMark/>
          </w:tcPr>
          <w:p w14:paraId="226FC6B9" w14:textId="77777777" w:rsidR="00FC5566" w:rsidRPr="00FC5566" w:rsidRDefault="00FC5566" w:rsidP="00FC5566">
            <w:pPr>
              <w:ind w:left="91" w:right="58"/>
              <w:rPr>
                <w:rFonts w:eastAsia="Aptos"/>
                <w:kern w:val="2"/>
                <w:sz w:val="16"/>
                <w:szCs w:val="16"/>
              </w:rPr>
            </w:pPr>
            <w:r w:rsidRPr="00FC5566">
              <w:rPr>
                <w:rFonts w:eastAsia="Aptos"/>
                <w:kern w:val="2"/>
                <w:sz w:val="16"/>
                <w:szCs w:val="16"/>
              </w:rPr>
              <w:t>Section 1003.3.7, Gravity Grease Interceptors/Grease Traps.</w:t>
            </w:r>
          </w:p>
        </w:tc>
        <w:tc>
          <w:tcPr>
            <w:tcW w:w="7043" w:type="dxa"/>
            <w:gridSpan w:val="2"/>
            <w:tcBorders>
              <w:top w:val="nil"/>
              <w:left w:val="single" w:sz="6" w:space="0" w:color="000000"/>
              <w:bottom w:val="single" w:sz="6" w:space="0" w:color="000000"/>
              <w:right w:val="single" w:sz="6" w:space="0" w:color="000000"/>
            </w:tcBorders>
            <w:hideMark/>
          </w:tcPr>
          <w:p w14:paraId="35277210" w14:textId="77777777" w:rsidR="00FC5566" w:rsidRPr="00FC5566" w:rsidRDefault="00FC5566" w:rsidP="00FC5566">
            <w:pPr>
              <w:tabs>
                <w:tab w:val="left" w:pos="7038"/>
              </w:tabs>
              <w:ind w:left="91"/>
              <w:rPr>
                <w:rFonts w:eastAsia="Aptos"/>
                <w:kern w:val="2"/>
                <w:sz w:val="16"/>
                <w:szCs w:val="16"/>
              </w:rPr>
            </w:pPr>
            <w:r w:rsidRPr="00FC5566">
              <w:rPr>
                <w:rFonts w:eastAsia="Aptos"/>
                <w:kern w:val="2"/>
                <w:sz w:val="16"/>
                <w:szCs w:val="16"/>
              </w:rPr>
              <w:t>Gravity grease interceptors shall comply with the requirements of Sections 1003.3.47.1 through 1003.3.47.8 and shall be sized in accordance with Section 1003.2.1 of this code.</w:t>
            </w:r>
          </w:p>
        </w:tc>
      </w:tr>
      <w:tr w:rsidR="00FC5566" w:rsidRPr="00FC5566" w14:paraId="47F6F7D3"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1910012A"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hideMark/>
          </w:tcPr>
          <w:p w14:paraId="16097849" w14:textId="77777777" w:rsidR="00FC5566" w:rsidRPr="00FC5566" w:rsidRDefault="00FC5566" w:rsidP="00FC5566">
            <w:pPr>
              <w:ind w:left="91" w:right="58"/>
              <w:rPr>
                <w:rFonts w:eastAsia="Aptos"/>
                <w:kern w:val="2"/>
                <w:sz w:val="16"/>
                <w:szCs w:val="16"/>
              </w:rPr>
            </w:pPr>
            <w:r w:rsidRPr="00FC5566">
              <w:rPr>
                <w:rFonts w:eastAsia="Aptos"/>
                <w:kern w:val="2"/>
                <w:sz w:val="16"/>
                <w:szCs w:val="16"/>
              </w:rPr>
              <w:t>Section 1003.3.7.1, Indoor Installations.</w:t>
            </w:r>
          </w:p>
        </w:tc>
        <w:tc>
          <w:tcPr>
            <w:tcW w:w="7043" w:type="dxa"/>
            <w:gridSpan w:val="2"/>
            <w:tcBorders>
              <w:top w:val="nil"/>
              <w:left w:val="single" w:sz="6" w:space="0" w:color="000000"/>
              <w:bottom w:val="single" w:sz="6" w:space="0" w:color="000000"/>
              <w:right w:val="single" w:sz="6" w:space="0" w:color="000000"/>
            </w:tcBorders>
            <w:hideMark/>
          </w:tcPr>
          <w:p w14:paraId="04583BB3"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If a gravity grease interceptor must be installed within an enclosed building, any access covers shall be gasketed to prevent the intrusion of odors into the building.</w:t>
            </w:r>
          </w:p>
        </w:tc>
      </w:tr>
      <w:tr w:rsidR="00FC5566" w:rsidRPr="00FC5566" w14:paraId="13D3B875"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688E4386"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hideMark/>
          </w:tcPr>
          <w:p w14:paraId="34C15EC5"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Section 1003.3.7.2, Distance.</w:t>
            </w:r>
          </w:p>
        </w:tc>
        <w:tc>
          <w:tcPr>
            <w:tcW w:w="7043" w:type="dxa"/>
            <w:gridSpan w:val="2"/>
            <w:tcBorders>
              <w:top w:val="nil"/>
              <w:left w:val="single" w:sz="6" w:space="0" w:color="000000"/>
              <w:bottom w:val="single" w:sz="6" w:space="0" w:color="000000"/>
              <w:right w:val="single" w:sz="6" w:space="0" w:color="000000"/>
            </w:tcBorders>
            <w:hideMark/>
          </w:tcPr>
          <w:p w14:paraId="795D8567"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The grease interceptor shall be placed as close to the plumbing fixture(s) discharging greasy waste as possible, but preferably on the outside of the building when feasible.</w:t>
            </w:r>
          </w:p>
        </w:tc>
      </w:tr>
      <w:tr w:rsidR="00FC5566" w:rsidRPr="00FC5566" w14:paraId="023176B2"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3C5813AE"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hideMark/>
          </w:tcPr>
          <w:p w14:paraId="19F7D660"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Section 1003.3.7.3, Outlet Pipe.</w:t>
            </w:r>
          </w:p>
        </w:tc>
        <w:tc>
          <w:tcPr>
            <w:tcW w:w="7043" w:type="dxa"/>
            <w:gridSpan w:val="2"/>
            <w:tcBorders>
              <w:top w:val="nil"/>
              <w:left w:val="single" w:sz="6" w:space="0" w:color="000000"/>
              <w:bottom w:val="single" w:sz="6" w:space="0" w:color="000000"/>
              <w:right w:val="single" w:sz="6" w:space="0" w:color="000000"/>
            </w:tcBorders>
            <w:hideMark/>
          </w:tcPr>
          <w:p w14:paraId="53E7E462"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The minimum diameter of the outlet pipe shall not be less than 4 inches. The invert of the gravity grease interceptor outlet opening (i.e., lowest portion of the outlet pipe where it draws waste near the bottom of the grease interceptor), shall be located at a maximum of 6 inches and a minimum of 4 inches from the floor of the grease interceptor. This requirement also applies to any intermediate outlets in multi-compartment gravity grease interceptors.</w:t>
            </w:r>
          </w:p>
        </w:tc>
      </w:tr>
      <w:tr w:rsidR="00FC5566" w:rsidRPr="00FC5566" w14:paraId="03080A9B" w14:textId="77777777" w:rsidTr="00B247D5">
        <w:trPr>
          <w:trHeight w:val="185"/>
        </w:trPr>
        <w:tc>
          <w:tcPr>
            <w:tcW w:w="1072" w:type="dxa"/>
            <w:tcBorders>
              <w:top w:val="nil"/>
              <w:left w:val="single" w:sz="6" w:space="0" w:color="000000"/>
              <w:bottom w:val="single" w:sz="4" w:space="0" w:color="auto"/>
              <w:right w:val="single" w:sz="6" w:space="0" w:color="000000"/>
            </w:tcBorders>
            <w:hideMark/>
          </w:tcPr>
          <w:p w14:paraId="3EA33E24"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nil"/>
              <w:left w:val="single" w:sz="6" w:space="0" w:color="000000"/>
              <w:bottom w:val="single" w:sz="4" w:space="0" w:color="auto"/>
              <w:right w:val="single" w:sz="6" w:space="0" w:color="000000"/>
            </w:tcBorders>
            <w:hideMark/>
          </w:tcPr>
          <w:p w14:paraId="1793BCC1"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Section 1003.3.7.4, Air Space.</w:t>
            </w:r>
          </w:p>
        </w:tc>
        <w:tc>
          <w:tcPr>
            <w:tcW w:w="7043" w:type="dxa"/>
            <w:gridSpan w:val="2"/>
            <w:tcBorders>
              <w:top w:val="nil"/>
              <w:left w:val="single" w:sz="6" w:space="0" w:color="000000"/>
              <w:bottom w:val="single" w:sz="4" w:space="0" w:color="auto"/>
              <w:right w:val="single" w:sz="6" w:space="0" w:color="000000"/>
            </w:tcBorders>
            <w:hideMark/>
          </w:tcPr>
          <w:p w14:paraId="19BD0225"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A minimum of one foot of air space shall be provided above the static water level.</w:t>
            </w:r>
          </w:p>
        </w:tc>
      </w:tr>
      <w:tr w:rsidR="00FC5566" w:rsidRPr="00FC5566" w14:paraId="099616F0" w14:textId="77777777" w:rsidTr="00B247D5">
        <w:trPr>
          <w:trHeight w:val="185"/>
        </w:trPr>
        <w:tc>
          <w:tcPr>
            <w:tcW w:w="1072" w:type="dxa"/>
            <w:tcBorders>
              <w:top w:val="single" w:sz="4" w:space="0" w:color="auto"/>
              <w:left w:val="single" w:sz="4" w:space="0" w:color="auto"/>
              <w:bottom w:val="single" w:sz="4" w:space="0" w:color="auto"/>
              <w:right w:val="single" w:sz="4" w:space="0" w:color="auto"/>
            </w:tcBorders>
            <w:hideMark/>
          </w:tcPr>
          <w:p w14:paraId="668B8285"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single" w:sz="4" w:space="0" w:color="auto"/>
              <w:left w:val="single" w:sz="4" w:space="0" w:color="auto"/>
              <w:bottom w:val="single" w:sz="4" w:space="0" w:color="auto"/>
              <w:right w:val="single" w:sz="4" w:space="0" w:color="auto"/>
            </w:tcBorders>
            <w:hideMark/>
          </w:tcPr>
          <w:p w14:paraId="111B1A96"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Section 1003.3.7.5, Venting.</w:t>
            </w:r>
          </w:p>
        </w:tc>
        <w:tc>
          <w:tcPr>
            <w:tcW w:w="7043" w:type="dxa"/>
            <w:gridSpan w:val="2"/>
            <w:tcBorders>
              <w:top w:val="single" w:sz="4" w:space="0" w:color="auto"/>
              <w:left w:val="single" w:sz="4" w:space="0" w:color="auto"/>
              <w:bottom w:val="single" w:sz="4" w:space="0" w:color="auto"/>
              <w:right w:val="single" w:sz="4" w:space="0" w:color="auto"/>
            </w:tcBorders>
            <w:hideMark/>
          </w:tcPr>
          <w:p w14:paraId="57D7B70B"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A gravity grease interceptor outlet shall be properly vented in accordance with this section to prevent it from siphoning itself out. Any internally vented outlet line shall have the vent terminal extended to within 2 inches of the bottom of the access cover to prevent grease from escaping the gravity grease interceptor through the open vent terminal. For those gravity grease interceptors having a gasketed cover, the gravity grease interceptor outlet line shall not be allowed to be internally vented. In this case, the outlet line itself shall be vented with a minimum 2-inch vent pipe installed in accordance with Chapter 9 of this code.</w:t>
            </w:r>
          </w:p>
        </w:tc>
      </w:tr>
      <w:tr w:rsidR="00FC5566" w:rsidRPr="00FC5566" w14:paraId="570DACDB" w14:textId="77777777" w:rsidTr="00B247D5">
        <w:trPr>
          <w:trHeight w:val="185"/>
        </w:trPr>
        <w:tc>
          <w:tcPr>
            <w:tcW w:w="1072" w:type="dxa"/>
            <w:tcBorders>
              <w:top w:val="single" w:sz="4" w:space="0" w:color="auto"/>
              <w:left w:val="single" w:sz="6" w:space="0" w:color="000000"/>
              <w:bottom w:val="single" w:sz="4" w:space="0" w:color="auto"/>
              <w:right w:val="single" w:sz="6" w:space="0" w:color="000000"/>
            </w:tcBorders>
            <w:hideMark/>
          </w:tcPr>
          <w:p w14:paraId="5DFAA4EA"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single" w:sz="4" w:space="0" w:color="auto"/>
              <w:left w:val="single" w:sz="6" w:space="0" w:color="000000"/>
              <w:bottom w:val="single" w:sz="4" w:space="0" w:color="auto"/>
              <w:right w:val="single" w:sz="6" w:space="0" w:color="000000"/>
            </w:tcBorders>
            <w:hideMark/>
          </w:tcPr>
          <w:p w14:paraId="739599E5"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Section 1003.3.7.6, Water Seal.</w:t>
            </w:r>
          </w:p>
        </w:tc>
        <w:tc>
          <w:tcPr>
            <w:tcW w:w="7043" w:type="dxa"/>
            <w:gridSpan w:val="2"/>
            <w:tcBorders>
              <w:top w:val="single" w:sz="4" w:space="0" w:color="auto"/>
              <w:left w:val="single" w:sz="6" w:space="0" w:color="000000"/>
              <w:bottom w:val="single" w:sz="4" w:space="0" w:color="auto"/>
              <w:right w:val="single" w:sz="6" w:space="0" w:color="000000"/>
            </w:tcBorders>
            <w:hideMark/>
          </w:tcPr>
          <w:p w14:paraId="4D3DCDD1"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On unbaffled single compartment gravity grease interceptors, a 90 degree ell shall be used on the inlet and shall terminate 6 inches below the static water level. On baffled single compartment gravity grease interceptors, a baffle wall shall be placed between the inlet and outlet. The inlet shall discharge into the gravity grease interceptor at a level at least 6 inches below the top of the baffle wall.</w:t>
            </w:r>
          </w:p>
        </w:tc>
      </w:tr>
      <w:tr w:rsidR="00FC5566" w:rsidRPr="00FC5566" w14:paraId="561D8A90" w14:textId="77777777" w:rsidTr="00B247D5">
        <w:trPr>
          <w:trHeight w:val="185"/>
        </w:trPr>
        <w:tc>
          <w:tcPr>
            <w:tcW w:w="1072" w:type="dxa"/>
            <w:tcBorders>
              <w:top w:val="single" w:sz="4" w:space="0" w:color="auto"/>
              <w:left w:val="single" w:sz="4" w:space="0" w:color="auto"/>
              <w:bottom w:val="single" w:sz="4" w:space="0" w:color="auto"/>
              <w:right w:val="single" w:sz="4" w:space="0" w:color="auto"/>
            </w:tcBorders>
            <w:hideMark/>
          </w:tcPr>
          <w:p w14:paraId="42AD36E8"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single" w:sz="4" w:space="0" w:color="auto"/>
              <w:left w:val="single" w:sz="4" w:space="0" w:color="auto"/>
              <w:bottom w:val="single" w:sz="4" w:space="0" w:color="auto"/>
              <w:right w:val="single" w:sz="4" w:space="0" w:color="auto"/>
            </w:tcBorders>
            <w:hideMark/>
          </w:tcPr>
          <w:p w14:paraId="0A204AF6"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Section 1003.3.7.7, Minimum Horizontal Distance.</w:t>
            </w:r>
          </w:p>
        </w:tc>
        <w:tc>
          <w:tcPr>
            <w:tcW w:w="7043" w:type="dxa"/>
            <w:gridSpan w:val="2"/>
            <w:tcBorders>
              <w:top w:val="single" w:sz="4" w:space="0" w:color="auto"/>
              <w:left w:val="single" w:sz="4" w:space="0" w:color="auto"/>
              <w:bottom w:val="single" w:sz="4" w:space="0" w:color="auto"/>
              <w:right w:val="single" w:sz="4" w:space="0" w:color="auto"/>
            </w:tcBorders>
            <w:hideMark/>
          </w:tcPr>
          <w:p w14:paraId="13E86954"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The minimum horizontal distance between the inlet and outlet piping in the gravity grease interceptor shall be 24 inches.</w:t>
            </w:r>
          </w:p>
        </w:tc>
      </w:tr>
      <w:tr w:rsidR="00FC5566" w:rsidRPr="00FC5566" w14:paraId="7BF9B5DA" w14:textId="77777777" w:rsidTr="00B247D5">
        <w:trPr>
          <w:trHeight w:val="185"/>
        </w:trPr>
        <w:tc>
          <w:tcPr>
            <w:tcW w:w="1072" w:type="dxa"/>
            <w:tcBorders>
              <w:top w:val="single" w:sz="4" w:space="0" w:color="auto"/>
              <w:left w:val="single" w:sz="6" w:space="0" w:color="000000"/>
              <w:bottom w:val="single" w:sz="6" w:space="0" w:color="000000"/>
              <w:right w:val="single" w:sz="6" w:space="0" w:color="000000"/>
            </w:tcBorders>
            <w:hideMark/>
          </w:tcPr>
          <w:p w14:paraId="4659A85A"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single" w:sz="4" w:space="0" w:color="auto"/>
              <w:left w:val="single" w:sz="6" w:space="0" w:color="000000"/>
              <w:bottom w:val="single" w:sz="6" w:space="0" w:color="000000"/>
              <w:right w:val="single" w:sz="6" w:space="0" w:color="000000"/>
            </w:tcBorders>
            <w:hideMark/>
          </w:tcPr>
          <w:p w14:paraId="789C7010"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Section 1003.3.7.8, Access/Covers.</w:t>
            </w:r>
          </w:p>
        </w:tc>
        <w:tc>
          <w:tcPr>
            <w:tcW w:w="7043" w:type="dxa"/>
            <w:gridSpan w:val="2"/>
            <w:tcBorders>
              <w:top w:val="single" w:sz="4" w:space="0" w:color="auto"/>
              <w:left w:val="single" w:sz="6" w:space="0" w:color="000000"/>
              <w:bottom w:val="single" w:sz="6" w:space="0" w:color="000000"/>
              <w:right w:val="single" w:sz="6" w:space="0" w:color="000000"/>
            </w:tcBorders>
            <w:hideMark/>
          </w:tcPr>
          <w:p w14:paraId="2484212E"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Access from the top of the gravity grease interceptor shall be provided by an easily removable cover above an access opening for proper maintenance. Additional access opening/covers shall be provided as necessary to provide accessibility to each compartment in multi-compartment or multi-baffled arrangements as well as access to both the inlet and outlet. Access opening covers shall be above or at grade (G) to provide ready accessibility. Each access cover shall be designed so that it cannot slide, rotate, or flip when properly installed in order that the opening is not unintentionally exposed. Especially for lightweight covers, mechanical fasteners are recommended to augment the safety of and ensure positive closure of the cover.</w:t>
            </w:r>
          </w:p>
        </w:tc>
      </w:tr>
      <w:tr w:rsidR="00FC5566" w:rsidRPr="00FC5566" w14:paraId="5862A5CC"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35C26BB9" w14:textId="77777777" w:rsidR="00FC5566" w:rsidRPr="00FC5566" w:rsidRDefault="00FC5566" w:rsidP="00FC5566">
            <w:pPr>
              <w:jc w:val="center"/>
              <w:rPr>
                <w:rFonts w:eastAsia="Aptos"/>
                <w:kern w:val="2"/>
                <w:sz w:val="16"/>
                <w:szCs w:val="16"/>
              </w:rPr>
            </w:pPr>
            <w:r w:rsidRPr="00FC5566">
              <w:rPr>
                <w:rFonts w:eastAsia="Aptos"/>
                <w:kern w:val="2"/>
                <w:sz w:val="16"/>
                <w:szCs w:val="16"/>
              </w:rPr>
              <w:t>Amend</w:t>
            </w:r>
          </w:p>
        </w:tc>
        <w:tc>
          <w:tcPr>
            <w:tcW w:w="2415" w:type="dxa"/>
            <w:gridSpan w:val="2"/>
            <w:tcBorders>
              <w:top w:val="nil"/>
              <w:left w:val="single" w:sz="6" w:space="0" w:color="000000"/>
              <w:bottom w:val="single" w:sz="6" w:space="0" w:color="000000"/>
              <w:right w:val="single" w:sz="6" w:space="0" w:color="000000"/>
            </w:tcBorders>
            <w:hideMark/>
          </w:tcPr>
          <w:p w14:paraId="7EAB7809"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Section 1003.10, Access and Maintenance of Interceptors and</w:t>
            </w:r>
          </w:p>
          <w:p w14:paraId="1328FDB0"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Separators.</w:t>
            </w:r>
          </w:p>
        </w:tc>
        <w:tc>
          <w:tcPr>
            <w:tcW w:w="7043" w:type="dxa"/>
            <w:gridSpan w:val="2"/>
            <w:tcBorders>
              <w:top w:val="nil"/>
              <w:left w:val="single" w:sz="6" w:space="0" w:color="000000"/>
              <w:bottom w:val="single" w:sz="6" w:space="0" w:color="000000"/>
              <w:right w:val="single" w:sz="6" w:space="0" w:color="000000"/>
            </w:tcBorders>
            <w:hideMark/>
          </w:tcPr>
          <w:p w14:paraId="26990BB3"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Access shall be provided to each interceptor and separator for service and maintenance. A two-way cleanout shall be provided on the discharge waste line immediately downstream of all interceptors and separators. Interceptors and separators shall be maintained by periodic removal of accumulated grease, scum, oil, or other floating substances and solids deposited in the interceptor or separator.</w:t>
            </w:r>
          </w:p>
        </w:tc>
      </w:tr>
      <w:tr w:rsidR="00FC5566" w:rsidRPr="00FC5566" w14:paraId="6D74EE1B"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5B7F5FCB" w14:textId="77777777" w:rsidR="00FC5566" w:rsidRPr="00FC5566" w:rsidRDefault="00FC5566" w:rsidP="00FC5566">
            <w:pPr>
              <w:jc w:val="center"/>
              <w:rPr>
                <w:rFonts w:eastAsia="Aptos"/>
                <w:kern w:val="2"/>
                <w:sz w:val="16"/>
                <w:szCs w:val="16"/>
              </w:rPr>
            </w:pPr>
            <w:r w:rsidRPr="00FC5566">
              <w:rPr>
                <w:rFonts w:eastAsia="Aptos"/>
                <w:kern w:val="2"/>
                <w:sz w:val="16"/>
                <w:szCs w:val="16"/>
              </w:rPr>
              <w:t>Amend</w:t>
            </w:r>
          </w:p>
        </w:tc>
        <w:tc>
          <w:tcPr>
            <w:tcW w:w="2415" w:type="dxa"/>
            <w:gridSpan w:val="2"/>
            <w:tcBorders>
              <w:top w:val="nil"/>
              <w:left w:val="single" w:sz="6" w:space="0" w:color="000000"/>
              <w:bottom w:val="single" w:sz="6" w:space="0" w:color="000000"/>
              <w:right w:val="single" w:sz="6" w:space="0" w:color="000000"/>
            </w:tcBorders>
            <w:hideMark/>
          </w:tcPr>
          <w:p w14:paraId="408AE309"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Chapter 11, Storm</w:t>
            </w:r>
          </w:p>
          <w:p w14:paraId="2B34A683"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Drainage.</w:t>
            </w:r>
          </w:p>
        </w:tc>
        <w:tc>
          <w:tcPr>
            <w:tcW w:w="7043" w:type="dxa"/>
            <w:gridSpan w:val="2"/>
            <w:tcBorders>
              <w:top w:val="nil"/>
              <w:left w:val="single" w:sz="6" w:space="0" w:color="000000"/>
              <w:bottom w:val="single" w:sz="6" w:space="0" w:color="000000"/>
              <w:right w:val="single" w:sz="6" w:space="0" w:color="000000"/>
            </w:tcBorders>
          </w:tcPr>
          <w:p w14:paraId="1DE4CC0E" w14:textId="77777777" w:rsidR="00FC5566" w:rsidRPr="00FC5566" w:rsidRDefault="00FC5566" w:rsidP="00FC5566">
            <w:pPr>
              <w:ind w:left="91" w:right="90"/>
              <w:rPr>
                <w:rFonts w:eastAsia="Aptos"/>
                <w:kern w:val="2"/>
                <w:sz w:val="16"/>
                <w:szCs w:val="16"/>
              </w:rPr>
            </w:pPr>
          </w:p>
        </w:tc>
      </w:tr>
      <w:tr w:rsidR="00FC5566" w:rsidRPr="00FC5566" w14:paraId="4AD65D91"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39DF646A" w14:textId="77777777" w:rsidR="00FC5566" w:rsidRPr="00FC5566" w:rsidRDefault="00FC5566" w:rsidP="00FC5566">
            <w:pPr>
              <w:jc w:val="center"/>
              <w:rPr>
                <w:rFonts w:eastAsia="Aptos"/>
                <w:kern w:val="2"/>
                <w:sz w:val="16"/>
                <w:szCs w:val="16"/>
              </w:rPr>
            </w:pPr>
            <w:r w:rsidRPr="00FC5566">
              <w:rPr>
                <w:rFonts w:eastAsia="Aptos"/>
                <w:kern w:val="2"/>
                <w:sz w:val="16"/>
                <w:szCs w:val="16"/>
              </w:rPr>
              <w:t>Amend</w:t>
            </w:r>
          </w:p>
        </w:tc>
        <w:tc>
          <w:tcPr>
            <w:tcW w:w="2415" w:type="dxa"/>
            <w:gridSpan w:val="2"/>
            <w:tcBorders>
              <w:top w:val="nil"/>
              <w:left w:val="single" w:sz="6" w:space="0" w:color="000000"/>
              <w:bottom w:val="single" w:sz="6" w:space="0" w:color="000000"/>
              <w:right w:val="single" w:sz="6" w:space="0" w:color="000000"/>
            </w:tcBorders>
            <w:hideMark/>
          </w:tcPr>
          <w:p w14:paraId="4A1C11D8"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Section 1101.3, Prohibited Drainage.</w:t>
            </w:r>
          </w:p>
        </w:tc>
        <w:tc>
          <w:tcPr>
            <w:tcW w:w="7043" w:type="dxa"/>
            <w:gridSpan w:val="2"/>
            <w:tcBorders>
              <w:top w:val="nil"/>
              <w:left w:val="single" w:sz="6" w:space="0" w:color="000000"/>
              <w:bottom w:val="single" w:sz="6" w:space="0" w:color="000000"/>
              <w:right w:val="single" w:sz="6" w:space="0" w:color="000000"/>
            </w:tcBorders>
            <w:hideMark/>
          </w:tcPr>
          <w:p w14:paraId="31E5756B"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Storm water shall not be drained into sewers intended for sewage only, unless determined otherwise by LAC Title 51 for rainwater runoff at dumpster pads.</w:t>
            </w:r>
          </w:p>
        </w:tc>
      </w:tr>
      <w:tr w:rsidR="00FC5566" w:rsidRPr="00FC5566" w14:paraId="62028C07"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1CD05965" w14:textId="77777777" w:rsidR="00FC5566" w:rsidRPr="00FC5566" w:rsidRDefault="00FC5566" w:rsidP="00FC5566">
            <w:pPr>
              <w:jc w:val="center"/>
              <w:rPr>
                <w:rFonts w:eastAsia="Aptos"/>
                <w:kern w:val="2"/>
                <w:sz w:val="16"/>
                <w:szCs w:val="16"/>
              </w:rPr>
            </w:pPr>
            <w:r w:rsidRPr="00FC5566">
              <w:rPr>
                <w:rFonts w:eastAsia="Aptos"/>
                <w:kern w:val="2"/>
                <w:sz w:val="16"/>
                <w:szCs w:val="16"/>
              </w:rPr>
              <w:t>Amend</w:t>
            </w:r>
          </w:p>
        </w:tc>
        <w:tc>
          <w:tcPr>
            <w:tcW w:w="2415" w:type="dxa"/>
            <w:gridSpan w:val="2"/>
            <w:tcBorders>
              <w:top w:val="nil"/>
              <w:left w:val="single" w:sz="6" w:space="0" w:color="000000"/>
              <w:bottom w:val="single" w:sz="6" w:space="0" w:color="000000"/>
              <w:right w:val="single" w:sz="6" w:space="0" w:color="000000"/>
            </w:tcBorders>
            <w:hideMark/>
          </w:tcPr>
          <w:p w14:paraId="000249BE"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Chapter 13, Gray Water</w:t>
            </w:r>
          </w:p>
          <w:p w14:paraId="72D3AD86"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Recycling Systems.</w:t>
            </w:r>
          </w:p>
        </w:tc>
        <w:tc>
          <w:tcPr>
            <w:tcW w:w="7043" w:type="dxa"/>
            <w:gridSpan w:val="2"/>
            <w:tcBorders>
              <w:top w:val="nil"/>
              <w:left w:val="single" w:sz="6" w:space="0" w:color="000000"/>
              <w:bottom w:val="single" w:sz="6" w:space="0" w:color="000000"/>
              <w:right w:val="single" w:sz="6" w:space="0" w:color="000000"/>
            </w:tcBorders>
          </w:tcPr>
          <w:p w14:paraId="3DB4F407" w14:textId="77777777" w:rsidR="00FC5566" w:rsidRPr="00FC5566" w:rsidRDefault="00FC5566" w:rsidP="00FC5566">
            <w:pPr>
              <w:ind w:left="91" w:right="90"/>
              <w:rPr>
                <w:rFonts w:eastAsia="Aptos"/>
                <w:kern w:val="2"/>
                <w:sz w:val="16"/>
                <w:szCs w:val="16"/>
              </w:rPr>
            </w:pPr>
          </w:p>
        </w:tc>
      </w:tr>
      <w:tr w:rsidR="00FC5566" w:rsidRPr="00FC5566" w14:paraId="692738D2"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16C2E06E" w14:textId="77777777" w:rsidR="00FC5566" w:rsidRPr="00FC5566" w:rsidRDefault="00FC5566" w:rsidP="00FC5566">
            <w:pPr>
              <w:jc w:val="center"/>
              <w:rPr>
                <w:rFonts w:eastAsia="Aptos"/>
                <w:kern w:val="2"/>
                <w:sz w:val="16"/>
                <w:szCs w:val="16"/>
              </w:rPr>
            </w:pPr>
            <w:r w:rsidRPr="00FC5566">
              <w:rPr>
                <w:rFonts w:eastAsia="Aptos"/>
                <w:kern w:val="2"/>
                <w:sz w:val="16"/>
                <w:szCs w:val="16"/>
              </w:rPr>
              <w:t>Amend</w:t>
            </w:r>
          </w:p>
        </w:tc>
        <w:tc>
          <w:tcPr>
            <w:tcW w:w="2415" w:type="dxa"/>
            <w:gridSpan w:val="2"/>
            <w:tcBorders>
              <w:top w:val="nil"/>
              <w:left w:val="single" w:sz="6" w:space="0" w:color="000000"/>
              <w:bottom w:val="single" w:sz="6" w:space="0" w:color="000000"/>
              <w:right w:val="single" w:sz="6" w:space="0" w:color="000000"/>
            </w:tcBorders>
            <w:hideMark/>
          </w:tcPr>
          <w:p w14:paraId="4D28A76A"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Section 1301.4, Permits.</w:t>
            </w:r>
          </w:p>
        </w:tc>
        <w:tc>
          <w:tcPr>
            <w:tcW w:w="7043" w:type="dxa"/>
            <w:gridSpan w:val="2"/>
            <w:tcBorders>
              <w:top w:val="nil"/>
              <w:left w:val="single" w:sz="6" w:space="0" w:color="000000"/>
              <w:bottom w:val="single" w:sz="6" w:space="0" w:color="000000"/>
              <w:right w:val="single" w:sz="6" w:space="0" w:color="000000"/>
            </w:tcBorders>
            <w:hideMark/>
          </w:tcPr>
          <w:p w14:paraId="2BAB63FA"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Permits shall be required for the construction, installation, alteration and repair of nonpotable water systems. Construction documents, engineering calculations, diagrams and other such data pertaining to the nonpotable water system shall be submitted with each permit application. Such plans and specifications shall be appropriately sealed and signed by a Louisiana registered professional engineer.</w:t>
            </w:r>
          </w:p>
        </w:tc>
      </w:tr>
      <w:tr w:rsidR="00FC5566" w:rsidRPr="00FC5566" w14:paraId="48743B9C" w14:textId="77777777" w:rsidTr="00B247D5">
        <w:trPr>
          <w:trHeight w:val="274"/>
        </w:trPr>
        <w:tc>
          <w:tcPr>
            <w:tcW w:w="1072" w:type="dxa"/>
            <w:tcBorders>
              <w:top w:val="nil"/>
              <w:left w:val="single" w:sz="6" w:space="0" w:color="000000"/>
              <w:bottom w:val="single" w:sz="6" w:space="0" w:color="000000"/>
              <w:right w:val="single" w:sz="6" w:space="0" w:color="000000"/>
            </w:tcBorders>
            <w:hideMark/>
          </w:tcPr>
          <w:p w14:paraId="20BBC9AD" w14:textId="77777777" w:rsidR="00FC5566" w:rsidRPr="00FC5566" w:rsidRDefault="00FC5566" w:rsidP="00FC5566">
            <w:pPr>
              <w:jc w:val="center"/>
              <w:rPr>
                <w:rFonts w:eastAsia="Aptos"/>
                <w:kern w:val="2"/>
                <w:sz w:val="16"/>
                <w:szCs w:val="16"/>
              </w:rPr>
            </w:pPr>
            <w:r w:rsidRPr="00FC5566">
              <w:rPr>
                <w:rFonts w:eastAsia="Aptos"/>
                <w:kern w:val="2"/>
                <w:sz w:val="16"/>
                <w:szCs w:val="16"/>
              </w:rPr>
              <w:t>Amend</w:t>
            </w:r>
          </w:p>
        </w:tc>
        <w:tc>
          <w:tcPr>
            <w:tcW w:w="2415" w:type="dxa"/>
            <w:gridSpan w:val="2"/>
            <w:tcBorders>
              <w:top w:val="nil"/>
              <w:left w:val="single" w:sz="6" w:space="0" w:color="000000"/>
              <w:bottom w:val="single" w:sz="6" w:space="0" w:color="000000"/>
              <w:right w:val="single" w:sz="6" w:space="0" w:color="000000"/>
            </w:tcBorders>
            <w:hideMark/>
          </w:tcPr>
          <w:p w14:paraId="5F34AF36"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Chapter 15, Referenced Standards.</w:t>
            </w:r>
          </w:p>
        </w:tc>
        <w:tc>
          <w:tcPr>
            <w:tcW w:w="7043" w:type="dxa"/>
            <w:gridSpan w:val="2"/>
            <w:tcBorders>
              <w:top w:val="nil"/>
              <w:left w:val="single" w:sz="6" w:space="0" w:color="000000"/>
              <w:bottom w:val="single" w:sz="6" w:space="0" w:color="000000"/>
              <w:right w:val="single" w:sz="6" w:space="0" w:color="000000"/>
            </w:tcBorders>
          </w:tcPr>
          <w:p w14:paraId="0332A1C2" w14:textId="77777777" w:rsidR="00FC5566" w:rsidRPr="00FC5566" w:rsidRDefault="00FC5566" w:rsidP="00FC5566">
            <w:pPr>
              <w:ind w:left="91" w:right="90"/>
              <w:rPr>
                <w:rFonts w:eastAsia="Aptos"/>
                <w:kern w:val="2"/>
                <w:sz w:val="16"/>
                <w:szCs w:val="16"/>
              </w:rPr>
            </w:pPr>
          </w:p>
        </w:tc>
      </w:tr>
      <w:tr w:rsidR="00FC5566" w:rsidRPr="00FC5566" w14:paraId="7B8DAE2B"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2E1FA8FD" w14:textId="77777777" w:rsidR="00FC5566" w:rsidRPr="00FC5566" w:rsidRDefault="00FC5566" w:rsidP="00FC5566">
            <w:pPr>
              <w:jc w:val="center"/>
              <w:rPr>
                <w:rFonts w:eastAsia="Aptos"/>
                <w:kern w:val="2"/>
                <w:sz w:val="16"/>
                <w:szCs w:val="16"/>
              </w:rPr>
            </w:pPr>
            <w:r w:rsidRPr="00FC5566">
              <w:rPr>
                <w:rFonts w:eastAsia="Aptos"/>
                <w:kern w:val="2"/>
                <w:sz w:val="16"/>
                <w:szCs w:val="16"/>
              </w:rPr>
              <w:t>Amend</w:t>
            </w:r>
          </w:p>
        </w:tc>
        <w:tc>
          <w:tcPr>
            <w:tcW w:w="2415" w:type="dxa"/>
            <w:gridSpan w:val="2"/>
            <w:tcBorders>
              <w:top w:val="nil"/>
              <w:left w:val="single" w:sz="6" w:space="0" w:color="000000"/>
              <w:bottom w:val="single" w:sz="6" w:space="0" w:color="000000"/>
              <w:right w:val="single" w:sz="6" w:space="0" w:color="000000"/>
            </w:tcBorders>
            <w:hideMark/>
          </w:tcPr>
          <w:p w14:paraId="0FA2D02C"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CSA Referenced Standard.</w:t>
            </w:r>
          </w:p>
        </w:tc>
        <w:tc>
          <w:tcPr>
            <w:tcW w:w="7043" w:type="dxa"/>
            <w:gridSpan w:val="2"/>
            <w:tcBorders>
              <w:top w:val="nil"/>
              <w:left w:val="single" w:sz="6" w:space="0" w:color="000000"/>
              <w:bottom w:val="single" w:sz="6" w:space="0" w:color="000000"/>
              <w:right w:val="single" w:sz="6" w:space="0" w:color="000000"/>
            </w:tcBorders>
            <w:hideMark/>
          </w:tcPr>
          <w:p w14:paraId="7418EECA"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B64.10-94 Manual for the Selection, Installation, Maintenance and Field Testing of Backflow Prevention Devices (not including Part 6 (Maintenance and Field Testing) Section 608.16 and Section 618.2</w:t>
            </w:r>
          </w:p>
        </w:tc>
      </w:tr>
      <w:tr w:rsidR="00FC5566" w:rsidRPr="00FC5566" w14:paraId="1F13A100" w14:textId="77777777" w:rsidTr="00B247D5">
        <w:trPr>
          <w:trHeight w:val="185"/>
        </w:trPr>
        <w:tc>
          <w:tcPr>
            <w:tcW w:w="1072" w:type="dxa"/>
            <w:tcBorders>
              <w:top w:val="nil"/>
              <w:left w:val="single" w:sz="6" w:space="0" w:color="000000"/>
              <w:bottom w:val="single" w:sz="6" w:space="0" w:color="000000"/>
              <w:right w:val="single" w:sz="6" w:space="0" w:color="000000"/>
            </w:tcBorders>
          </w:tcPr>
          <w:p w14:paraId="055FB251"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tcPr>
          <w:p w14:paraId="4348894B"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Louisiana Administrative Code Title 51 – Public Health-Sanitary Code</w:t>
            </w:r>
          </w:p>
        </w:tc>
        <w:tc>
          <w:tcPr>
            <w:tcW w:w="7043" w:type="dxa"/>
            <w:gridSpan w:val="2"/>
            <w:tcBorders>
              <w:top w:val="nil"/>
              <w:left w:val="single" w:sz="6" w:space="0" w:color="000000"/>
              <w:bottom w:val="single" w:sz="6" w:space="0" w:color="000000"/>
              <w:right w:val="single" w:sz="6" w:space="0" w:color="000000"/>
            </w:tcBorders>
          </w:tcPr>
          <w:p w14:paraId="50C7E11B" w14:textId="77777777" w:rsidR="00FC5566" w:rsidRPr="00FC5566" w:rsidRDefault="00FC5566" w:rsidP="00FC5566">
            <w:pPr>
              <w:ind w:left="91" w:right="90"/>
              <w:rPr>
                <w:rFonts w:eastAsia="Aptos"/>
                <w:kern w:val="2"/>
                <w:sz w:val="16"/>
                <w:szCs w:val="16"/>
              </w:rPr>
            </w:pPr>
          </w:p>
        </w:tc>
      </w:tr>
      <w:tr w:rsidR="00FC5566" w:rsidRPr="00FC5566" w14:paraId="0BBA601B" w14:textId="77777777" w:rsidTr="00B247D5">
        <w:trPr>
          <w:trHeight w:val="185"/>
        </w:trPr>
        <w:tc>
          <w:tcPr>
            <w:tcW w:w="1072" w:type="dxa"/>
            <w:tcBorders>
              <w:top w:val="single" w:sz="6" w:space="0" w:color="000000"/>
              <w:left w:val="single" w:sz="6" w:space="0" w:color="000000"/>
              <w:bottom w:val="single" w:sz="6" w:space="0" w:color="000000"/>
              <w:right w:val="single" w:sz="6" w:space="0" w:color="000000"/>
            </w:tcBorders>
          </w:tcPr>
          <w:p w14:paraId="4F144ED2"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5920B59D"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Louisiana Administrative Code Title 56 – Public Works</w:t>
            </w:r>
          </w:p>
        </w:tc>
        <w:tc>
          <w:tcPr>
            <w:tcW w:w="7043" w:type="dxa"/>
            <w:gridSpan w:val="2"/>
            <w:tcBorders>
              <w:top w:val="single" w:sz="6" w:space="0" w:color="000000"/>
              <w:left w:val="single" w:sz="6" w:space="0" w:color="000000"/>
              <w:bottom w:val="single" w:sz="6" w:space="0" w:color="000000"/>
              <w:right w:val="single" w:sz="6" w:space="0" w:color="000000"/>
            </w:tcBorders>
          </w:tcPr>
          <w:p w14:paraId="56E43461" w14:textId="77777777" w:rsidR="00FC5566" w:rsidRPr="00FC5566" w:rsidRDefault="00FC5566" w:rsidP="00FC5566">
            <w:pPr>
              <w:ind w:left="91" w:right="90"/>
              <w:rPr>
                <w:rFonts w:eastAsia="Aptos"/>
                <w:kern w:val="2"/>
                <w:sz w:val="16"/>
                <w:szCs w:val="16"/>
              </w:rPr>
            </w:pPr>
          </w:p>
        </w:tc>
      </w:tr>
      <w:tr w:rsidR="00FC5566" w:rsidRPr="00FC5566" w14:paraId="185A5F46"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0805B0BF"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hideMark/>
          </w:tcPr>
          <w:p w14:paraId="5D5A470F"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Chapter 16, Travel Trailer and Mobile/Manufactured Home Parks.</w:t>
            </w:r>
          </w:p>
        </w:tc>
        <w:tc>
          <w:tcPr>
            <w:tcW w:w="7043" w:type="dxa"/>
            <w:gridSpan w:val="2"/>
            <w:tcBorders>
              <w:top w:val="nil"/>
              <w:left w:val="single" w:sz="6" w:space="0" w:color="000000"/>
              <w:bottom w:val="single" w:sz="6" w:space="0" w:color="000000"/>
              <w:right w:val="single" w:sz="6" w:space="0" w:color="000000"/>
            </w:tcBorders>
          </w:tcPr>
          <w:p w14:paraId="6B64E2B6" w14:textId="77777777" w:rsidR="00FC5566" w:rsidRPr="00FC5566" w:rsidRDefault="00FC5566" w:rsidP="00FC5566">
            <w:pPr>
              <w:ind w:left="91" w:right="90"/>
              <w:rPr>
                <w:rFonts w:eastAsia="Aptos"/>
                <w:kern w:val="2"/>
                <w:sz w:val="16"/>
                <w:szCs w:val="16"/>
              </w:rPr>
            </w:pPr>
          </w:p>
        </w:tc>
      </w:tr>
      <w:tr w:rsidR="00FC5566" w:rsidRPr="00FC5566" w14:paraId="689E78AE" w14:textId="77777777" w:rsidTr="00B247D5">
        <w:trPr>
          <w:trHeight w:val="274"/>
        </w:trPr>
        <w:tc>
          <w:tcPr>
            <w:tcW w:w="1072" w:type="dxa"/>
            <w:tcBorders>
              <w:top w:val="nil"/>
              <w:left w:val="single" w:sz="6" w:space="0" w:color="000000"/>
              <w:bottom w:val="single" w:sz="6" w:space="0" w:color="000000"/>
              <w:right w:val="single" w:sz="6" w:space="0" w:color="000000"/>
            </w:tcBorders>
          </w:tcPr>
          <w:p w14:paraId="5E05BD58"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tcPr>
          <w:p w14:paraId="1D3DCCA9" w14:textId="77777777" w:rsidR="00FC5566" w:rsidRPr="00FC5566" w:rsidRDefault="00FC5566" w:rsidP="00FC5566">
            <w:pPr>
              <w:tabs>
                <w:tab w:val="left" w:pos="944"/>
              </w:tabs>
              <w:ind w:left="91" w:right="58"/>
              <w:rPr>
                <w:rFonts w:eastAsia="Aptos"/>
                <w:i/>
                <w:iCs/>
                <w:kern w:val="2"/>
                <w:sz w:val="16"/>
                <w:szCs w:val="16"/>
              </w:rPr>
            </w:pPr>
            <w:r w:rsidRPr="00FC5566">
              <w:rPr>
                <w:rFonts w:eastAsia="Aptos"/>
                <w:kern w:val="2"/>
                <w:sz w:val="16"/>
                <w:szCs w:val="16"/>
              </w:rPr>
              <w:t>Definitions</w:t>
            </w:r>
          </w:p>
        </w:tc>
        <w:tc>
          <w:tcPr>
            <w:tcW w:w="7043" w:type="dxa"/>
            <w:gridSpan w:val="2"/>
            <w:tcBorders>
              <w:top w:val="nil"/>
              <w:left w:val="single" w:sz="6" w:space="0" w:color="000000"/>
              <w:bottom w:val="single" w:sz="6" w:space="0" w:color="000000"/>
              <w:right w:val="single" w:sz="6" w:space="0" w:color="000000"/>
            </w:tcBorders>
          </w:tcPr>
          <w:p w14:paraId="66E13440" w14:textId="77777777" w:rsidR="00FC5566" w:rsidRPr="00FC5566" w:rsidRDefault="00FC5566" w:rsidP="00FC5566">
            <w:pPr>
              <w:ind w:left="91" w:right="90"/>
              <w:rPr>
                <w:rFonts w:eastAsia="Aptos"/>
                <w:kern w:val="2"/>
                <w:sz w:val="16"/>
                <w:szCs w:val="16"/>
              </w:rPr>
            </w:pPr>
          </w:p>
        </w:tc>
      </w:tr>
      <w:tr w:rsidR="00FC5566" w:rsidRPr="00FC5566" w14:paraId="60A3A3D2" w14:textId="77777777" w:rsidTr="00B247D5">
        <w:trPr>
          <w:trHeight w:val="274"/>
        </w:trPr>
        <w:tc>
          <w:tcPr>
            <w:tcW w:w="1072" w:type="dxa"/>
            <w:tcBorders>
              <w:top w:val="nil"/>
              <w:left w:val="single" w:sz="6" w:space="0" w:color="000000"/>
              <w:bottom w:val="single" w:sz="6" w:space="0" w:color="000000"/>
              <w:right w:val="single" w:sz="6" w:space="0" w:color="000000"/>
            </w:tcBorders>
            <w:hideMark/>
          </w:tcPr>
          <w:p w14:paraId="2288879A"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hideMark/>
          </w:tcPr>
          <w:p w14:paraId="6AC6D0FF" w14:textId="77777777" w:rsidR="00FC5566" w:rsidRPr="00FC5566" w:rsidRDefault="00FC5566" w:rsidP="00FC5566">
            <w:pPr>
              <w:tabs>
                <w:tab w:val="left" w:pos="944"/>
              </w:tabs>
              <w:ind w:left="91" w:right="58"/>
              <w:rPr>
                <w:rFonts w:eastAsia="Aptos"/>
                <w:i/>
                <w:iCs/>
                <w:kern w:val="2"/>
                <w:sz w:val="16"/>
                <w:szCs w:val="16"/>
              </w:rPr>
            </w:pPr>
            <w:r w:rsidRPr="00FC5566">
              <w:rPr>
                <w:rFonts w:eastAsia="Aptos"/>
                <w:i/>
                <w:iCs/>
                <w:kern w:val="2"/>
                <w:sz w:val="16"/>
                <w:szCs w:val="16"/>
              </w:rPr>
              <w:t>Dependent Travel Trailer</w:t>
            </w:r>
          </w:p>
        </w:tc>
        <w:tc>
          <w:tcPr>
            <w:tcW w:w="7043" w:type="dxa"/>
            <w:gridSpan w:val="2"/>
            <w:tcBorders>
              <w:top w:val="nil"/>
              <w:left w:val="single" w:sz="6" w:space="0" w:color="000000"/>
              <w:bottom w:val="single" w:sz="6" w:space="0" w:color="000000"/>
              <w:right w:val="single" w:sz="6" w:space="0" w:color="000000"/>
            </w:tcBorders>
            <w:hideMark/>
          </w:tcPr>
          <w:p w14:paraId="684CAD5C"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Dependent Travel Trailer. A travel trailer not equipped with a water closet.</w:t>
            </w:r>
          </w:p>
        </w:tc>
      </w:tr>
      <w:tr w:rsidR="00FC5566" w:rsidRPr="00FC5566" w14:paraId="6A67F4B0"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00D0A3BB"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hideMark/>
          </w:tcPr>
          <w:p w14:paraId="5F25FABF" w14:textId="77777777" w:rsidR="00FC5566" w:rsidRPr="00FC5566" w:rsidRDefault="00FC5566" w:rsidP="00FC5566">
            <w:pPr>
              <w:tabs>
                <w:tab w:val="left" w:pos="944"/>
              </w:tabs>
              <w:ind w:left="91" w:right="58"/>
              <w:rPr>
                <w:rFonts w:eastAsia="Aptos"/>
                <w:i/>
                <w:iCs/>
                <w:kern w:val="2"/>
                <w:sz w:val="16"/>
                <w:szCs w:val="16"/>
              </w:rPr>
            </w:pPr>
            <w:r w:rsidRPr="00FC5566">
              <w:rPr>
                <w:rFonts w:eastAsia="Aptos"/>
                <w:i/>
                <w:iCs/>
                <w:kern w:val="2"/>
                <w:sz w:val="16"/>
                <w:szCs w:val="16"/>
              </w:rPr>
              <w:t>Drain Hose</w:t>
            </w:r>
          </w:p>
        </w:tc>
        <w:tc>
          <w:tcPr>
            <w:tcW w:w="7043" w:type="dxa"/>
            <w:gridSpan w:val="2"/>
            <w:tcBorders>
              <w:top w:val="nil"/>
              <w:left w:val="single" w:sz="6" w:space="0" w:color="000000"/>
              <w:bottom w:val="single" w:sz="6" w:space="0" w:color="000000"/>
              <w:right w:val="single" w:sz="6" w:space="0" w:color="000000"/>
            </w:tcBorders>
            <w:hideMark/>
          </w:tcPr>
          <w:p w14:paraId="4F116BF8"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Drain Hose. The approved type hose, flexible and easily detachable, used for connecting the drain outlet on a travel trailer to a sewer inlet connection.</w:t>
            </w:r>
          </w:p>
        </w:tc>
      </w:tr>
      <w:tr w:rsidR="00FC5566" w:rsidRPr="00FC5566" w14:paraId="2BBA1F46" w14:textId="77777777" w:rsidTr="00B247D5">
        <w:trPr>
          <w:trHeight w:val="274"/>
        </w:trPr>
        <w:tc>
          <w:tcPr>
            <w:tcW w:w="1072" w:type="dxa"/>
            <w:tcBorders>
              <w:top w:val="nil"/>
              <w:left w:val="single" w:sz="6" w:space="0" w:color="000000"/>
              <w:bottom w:val="single" w:sz="6" w:space="0" w:color="000000"/>
              <w:right w:val="single" w:sz="6" w:space="0" w:color="000000"/>
            </w:tcBorders>
            <w:hideMark/>
          </w:tcPr>
          <w:p w14:paraId="3122FDD9"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hideMark/>
          </w:tcPr>
          <w:p w14:paraId="2671359D" w14:textId="77777777" w:rsidR="00FC5566" w:rsidRPr="00FC5566" w:rsidRDefault="00FC5566" w:rsidP="00FC5566">
            <w:pPr>
              <w:tabs>
                <w:tab w:val="left" w:pos="944"/>
              </w:tabs>
              <w:ind w:left="91" w:right="58"/>
              <w:rPr>
                <w:rFonts w:eastAsia="Aptos"/>
                <w:i/>
                <w:iCs/>
                <w:kern w:val="2"/>
                <w:sz w:val="16"/>
                <w:szCs w:val="16"/>
              </w:rPr>
            </w:pPr>
            <w:r w:rsidRPr="00FC5566">
              <w:rPr>
                <w:rFonts w:eastAsia="Aptos"/>
                <w:i/>
                <w:iCs/>
                <w:kern w:val="2"/>
                <w:sz w:val="16"/>
                <w:szCs w:val="16"/>
              </w:rPr>
              <w:t>Drain Outlet</w:t>
            </w:r>
          </w:p>
        </w:tc>
        <w:tc>
          <w:tcPr>
            <w:tcW w:w="7043" w:type="dxa"/>
            <w:gridSpan w:val="2"/>
            <w:tcBorders>
              <w:top w:val="nil"/>
              <w:left w:val="single" w:sz="6" w:space="0" w:color="000000"/>
              <w:bottom w:val="single" w:sz="6" w:space="0" w:color="000000"/>
              <w:right w:val="single" w:sz="6" w:space="0" w:color="000000"/>
            </w:tcBorders>
            <w:hideMark/>
          </w:tcPr>
          <w:p w14:paraId="6022A252"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Drain Outlet. The lowest end of the main drain of a travel trailer itself to which a drain hose is connected.</w:t>
            </w:r>
          </w:p>
        </w:tc>
      </w:tr>
      <w:tr w:rsidR="00FC5566" w:rsidRPr="00FC5566" w14:paraId="64F1E2D1" w14:textId="77777777" w:rsidTr="00B247D5">
        <w:trPr>
          <w:trHeight w:val="274"/>
        </w:trPr>
        <w:tc>
          <w:tcPr>
            <w:tcW w:w="1072" w:type="dxa"/>
            <w:tcBorders>
              <w:top w:val="nil"/>
              <w:left w:val="single" w:sz="6" w:space="0" w:color="000000"/>
              <w:bottom w:val="single" w:sz="6" w:space="0" w:color="000000"/>
              <w:right w:val="single" w:sz="6" w:space="0" w:color="000000"/>
            </w:tcBorders>
            <w:hideMark/>
          </w:tcPr>
          <w:p w14:paraId="1E4E8118"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hideMark/>
          </w:tcPr>
          <w:p w14:paraId="44BB4631" w14:textId="77777777" w:rsidR="00FC5566" w:rsidRPr="00FC5566" w:rsidRDefault="00FC5566" w:rsidP="00FC5566">
            <w:pPr>
              <w:tabs>
                <w:tab w:val="left" w:pos="944"/>
              </w:tabs>
              <w:ind w:left="91" w:right="58"/>
              <w:rPr>
                <w:rFonts w:eastAsia="Aptos"/>
                <w:i/>
                <w:iCs/>
                <w:kern w:val="2"/>
                <w:sz w:val="16"/>
                <w:szCs w:val="16"/>
              </w:rPr>
            </w:pPr>
            <w:r w:rsidRPr="00FC5566">
              <w:rPr>
                <w:rFonts w:eastAsia="Aptos"/>
                <w:i/>
                <w:iCs/>
                <w:kern w:val="2"/>
                <w:sz w:val="16"/>
                <w:szCs w:val="16"/>
              </w:rPr>
              <w:t>Independent Travel Trailer</w:t>
            </w:r>
          </w:p>
        </w:tc>
        <w:tc>
          <w:tcPr>
            <w:tcW w:w="7043" w:type="dxa"/>
            <w:gridSpan w:val="2"/>
            <w:tcBorders>
              <w:top w:val="nil"/>
              <w:left w:val="single" w:sz="6" w:space="0" w:color="000000"/>
              <w:bottom w:val="single" w:sz="6" w:space="0" w:color="000000"/>
              <w:right w:val="single" w:sz="6" w:space="0" w:color="000000"/>
            </w:tcBorders>
            <w:hideMark/>
          </w:tcPr>
          <w:p w14:paraId="5F80A2C9"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Independent Travel Trailer. A travel trailer equipped with a water closet and a bath or shower.</w:t>
            </w:r>
          </w:p>
        </w:tc>
      </w:tr>
      <w:tr w:rsidR="00FC5566" w:rsidRPr="00FC5566" w14:paraId="42EB29FA"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2E97580C"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hideMark/>
          </w:tcPr>
          <w:p w14:paraId="7F19A251" w14:textId="77777777" w:rsidR="00FC5566" w:rsidRPr="00FC5566" w:rsidRDefault="00FC5566" w:rsidP="00FC5566">
            <w:pPr>
              <w:tabs>
                <w:tab w:val="left" w:pos="944"/>
              </w:tabs>
              <w:ind w:left="91" w:right="58"/>
              <w:rPr>
                <w:rFonts w:eastAsia="Aptos"/>
                <w:i/>
                <w:iCs/>
                <w:kern w:val="2"/>
                <w:sz w:val="16"/>
                <w:szCs w:val="16"/>
              </w:rPr>
            </w:pPr>
            <w:r w:rsidRPr="00FC5566">
              <w:rPr>
                <w:rFonts w:eastAsia="Aptos"/>
                <w:i/>
                <w:iCs/>
                <w:kern w:val="2"/>
                <w:sz w:val="16"/>
                <w:szCs w:val="16"/>
              </w:rPr>
              <w:t>Inlet Coupling</w:t>
            </w:r>
          </w:p>
        </w:tc>
        <w:tc>
          <w:tcPr>
            <w:tcW w:w="7043" w:type="dxa"/>
            <w:gridSpan w:val="2"/>
            <w:tcBorders>
              <w:top w:val="nil"/>
              <w:left w:val="single" w:sz="6" w:space="0" w:color="000000"/>
              <w:bottom w:val="single" w:sz="6" w:space="0" w:color="000000"/>
              <w:right w:val="single" w:sz="6" w:space="0" w:color="000000"/>
            </w:tcBorders>
            <w:hideMark/>
          </w:tcPr>
          <w:p w14:paraId="1574F517"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Inlet Coupling. The terminal end of the branch water line to which the mobile/manufactured home or travel trailer’s water service connection is made. It may be a swivel fitting or threaded pipe end.</w:t>
            </w:r>
          </w:p>
        </w:tc>
      </w:tr>
      <w:tr w:rsidR="00FC5566" w:rsidRPr="00FC5566" w14:paraId="32720B17" w14:textId="77777777" w:rsidTr="00B247D5">
        <w:trPr>
          <w:trHeight w:val="185"/>
        </w:trPr>
        <w:tc>
          <w:tcPr>
            <w:tcW w:w="1072" w:type="dxa"/>
            <w:tcBorders>
              <w:top w:val="nil"/>
              <w:left w:val="single" w:sz="6" w:space="0" w:color="000000"/>
              <w:bottom w:val="single" w:sz="4" w:space="0" w:color="auto"/>
              <w:right w:val="single" w:sz="6" w:space="0" w:color="000000"/>
            </w:tcBorders>
            <w:hideMark/>
          </w:tcPr>
          <w:p w14:paraId="52B6459E"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nil"/>
              <w:left w:val="single" w:sz="6" w:space="0" w:color="000000"/>
              <w:bottom w:val="single" w:sz="4" w:space="0" w:color="auto"/>
              <w:right w:val="single" w:sz="6" w:space="0" w:color="000000"/>
            </w:tcBorders>
            <w:hideMark/>
          </w:tcPr>
          <w:p w14:paraId="3599AA85" w14:textId="77777777" w:rsidR="00FC5566" w:rsidRPr="00FC5566" w:rsidRDefault="00FC5566" w:rsidP="00FC5566">
            <w:pPr>
              <w:tabs>
                <w:tab w:val="left" w:pos="944"/>
              </w:tabs>
              <w:ind w:left="91" w:right="58"/>
              <w:rPr>
                <w:rFonts w:eastAsia="Aptos"/>
                <w:i/>
                <w:iCs/>
                <w:kern w:val="2"/>
                <w:sz w:val="16"/>
                <w:szCs w:val="16"/>
              </w:rPr>
            </w:pPr>
            <w:r w:rsidRPr="00FC5566">
              <w:rPr>
                <w:rFonts w:eastAsia="Aptos"/>
                <w:i/>
                <w:iCs/>
                <w:kern w:val="2"/>
                <w:sz w:val="16"/>
                <w:szCs w:val="16"/>
              </w:rPr>
              <w:t>Intermediate Waste Holding Tank</w:t>
            </w:r>
          </w:p>
        </w:tc>
        <w:tc>
          <w:tcPr>
            <w:tcW w:w="7043" w:type="dxa"/>
            <w:gridSpan w:val="2"/>
            <w:tcBorders>
              <w:top w:val="nil"/>
              <w:left w:val="single" w:sz="6" w:space="0" w:color="000000"/>
              <w:bottom w:val="single" w:sz="4" w:space="0" w:color="auto"/>
              <w:right w:val="single" w:sz="6" w:space="0" w:color="000000"/>
            </w:tcBorders>
            <w:hideMark/>
          </w:tcPr>
          <w:p w14:paraId="632F8E46"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Intermediate Waste Holding Tank. (travel trailers only)—an enclosed tank for the temporary retention of water-borne waste.</w:t>
            </w:r>
          </w:p>
        </w:tc>
      </w:tr>
      <w:tr w:rsidR="00FC5566" w:rsidRPr="00FC5566" w14:paraId="36FC9BE4" w14:textId="77777777" w:rsidTr="00B247D5">
        <w:trPr>
          <w:trHeight w:val="185"/>
        </w:trPr>
        <w:tc>
          <w:tcPr>
            <w:tcW w:w="1072" w:type="dxa"/>
            <w:tcBorders>
              <w:top w:val="single" w:sz="4" w:space="0" w:color="auto"/>
              <w:left w:val="single" w:sz="4" w:space="0" w:color="auto"/>
              <w:bottom w:val="single" w:sz="4" w:space="0" w:color="auto"/>
              <w:right w:val="single" w:sz="4" w:space="0" w:color="auto"/>
            </w:tcBorders>
            <w:hideMark/>
          </w:tcPr>
          <w:p w14:paraId="5C204E44"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single" w:sz="4" w:space="0" w:color="auto"/>
              <w:left w:val="single" w:sz="4" w:space="0" w:color="auto"/>
              <w:bottom w:val="single" w:sz="4" w:space="0" w:color="auto"/>
              <w:right w:val="single" w:sz="4" w:space="0" w:color="auto"/>
            </w:tcBorders>
            <w:hideMark/>
          </w:tcPr>
          <w:p w14:paraId="5E676988" w14:textId="77777777" w:rsidR="00FC5566" w:rsidRPr="00FC5566" w:rsidRDefault="00FC5566" w:rsidP="00FC5566">
            <w:pPr>
              <w:tabs>
                <w:tab w:val="left" w:pos="944"/>
              </w:tabs>
              <w:ind w:left="91" w:right="58"/>
              <w:rPr>
                <w:rFonts w:eastAsia="Aptos"/>
                <w:i/>
                <w:iCs/>
                <w:kern w:val="2"/>
                <w:sz w:val="16"/>
                <w:szCs w:val="16"/>
              </w:rPr>
            </w:pPr>
            <w:r w:rsidRPr="00FC5566">
              <w:rPr>
                <w:rFonts w:eastAsia="Aptos"/>
                <w:i/>
                <w:iCs/>
                <w:kern w:val="2"/>
                <w:sz w:val="16"/>
                <w:szCs w:val="16"/>
              </w:rPr>
              <w:t>Mobile/Manufactured Home</w:t>
            </w:r>
          </w:p>
        </w:tc>
        <w:tc>
          <w:tcPr>
            <w:tcW w:w="7043" w:type="dxa"/>
            <w:gridSpan w:val="2"/>
            <w:tcBorders>
              <w:top w:val="single" w:sz="4" w:space="0" w:color="auto"/>
              <w:left w:val="single" w:sz="4" w:space="0" w:color="auto"/>
              <w:bottom w:val="single" w:sz="4" w:space="0" w:color="auto"/>
              <w:right w:val="single" w:sz="4" w:space="0" w:color="auto"/>
            </w:tcBorders>
            <w:hideMark/>
          </w:tcPr>
          <w:p w14:paraId="404876A6"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 xml:space="preserve">Mobile/Manufactured Home. A prefabricated home built on a permanent chassis which can be transported in one or more sections and is typically used as a permanent dwelling. Manufactured homes built since </w:t>
            </w:r>
            <w:r w:rsidRPr="00FC5566">
              <w:rPr>
                <w:rFonts w:eastAsia="Aptos"/>
                <w:kern w:val="2"/>
                <w:sz w:val="16"/>
                <w:szCs w:val="16"/>
              </w:rPr>
              <w:lastRenderedPageBreak/>
              <w:t>1976 are built to the Manufactured Home Construction and Safety Standards (HUD Code) and display a HUD certification label on the exterior of each transportable section.</w:t>
            </w:r>
          </w:p>
        </w:tc>
      </w:tr>
      <w:tr w:rsidR="00FC5566" w:rsidRPr="00FC5566" w14:paraId="004D785C" w14:textId="77777777" w:rsidTr="00B247D5">
        <w:trPr>
          <w:trHeight w:val="185"/>
        </w:trPr>
        <w:tc>
          <w:tcPr>
            <w:tcW w:w="1072" w:type="dxa"/>
            <w:tcBorders>
              <w:top w:val="single" w:sz="4" w:space="0" w:color="auto"/>
              <w:left w:val="single" w:sz="4" w:space="0" w:color="auto"/>
              <w:bottom w:val="single" w:sz="4" w:space="0" w:color="auto"/>
              <w:right w:val="single" w:sz="4" w:space="0" w:color="auto"/>
            </w:tcBorders>
            <w:hideMark/>
          </w:tcPr>
          <w:p w14:paraId="13F54EA6" w14:textId="77777777" w:rsidR="00FC5566" w:rsidRPr="00FC5566" w:rsidRDefault="00FC5566" w:rsidP="00FC5566">
            <w:pPr>
              <w:jc w:val="center"/>
              <w:rPr>
                <w:rFonts w:eastAsia="Aptos"/>
                <w:kern w:val="2"/>
                <w:sz w:val="16"/>
                <w:szCs w:val="16"/>
              </w:rPr>
            </w:pPr>
            <w:r w:rsidRPr="00FC5566">
              <w:rPr>
                <w:rFonts w:eastAsia="Aptos"/>
                <w:kern w:val="2"/>
                <w:sz w:val="16"/>
                <w:szCs w:val="16"/>
              </w:rPr>
              <w:lastRenderedPageBreak/>
              <w:t>Adopt</w:t>
            </w:r>
          </w:p>
        </w:tc>
        <w:tc>
          <w:tcPr>
            <w:tcW w:w="2415" w:type="dxa"/>
            <w:gridSpan w:val="2"/>
            <w:tcBorders>
              <w:top w:val="single" w:sz="4" w:space="0" w:color="auto"/>
              <w:left w:val="single" w:sz="4" w:space="0" w:color="auto"/>
              <w:bottom w:val="single" w:sz="4" w:space="0" w:color="auto"/>
              <w:right w:val="single" w:sz="4" w:space="0" w:color="auto"/>
            </w:tcBorders>
            <w:hideMark/>
          </w:tcPr>
          <w:p w14:paraId="44D70175" w14:textId="77777777" w:rsidR="00FC5566" w:rsidRPr="00FC5566" w:rsidRDefault="00FC5566" w:rsidP="00FC5566">
            <w:pPr>
              <w:tabs>
                <w:tab w:val="left" w:pos="944"/>
              </w:tabs>
              <w:ind w:left="91" w:right="58"/>
              <w:rPr>
                <w:rFonts w:eastAsia="Aptos"/>
                <w:i/>
                <w:iCs/>
                <w:kern w:val="2"/>
                <w:sz w:val="16"/>
                <w:szCs w:val="16"/>
              </w:rPr>
            </w:pPr>
            <w:r w:rsidRPr="00FC5566">
              <w:rPr>
                <w:rFonts w:eastAsia="Aptos"/>
                <w:i/>
                <w:iCs/>
                <w:kern w:val="2"/>
                <w:sz w:val="16"/>
                <w:szCs w:val="16"/>
              </w:rPr>
              <w:t>Park or Mobile/Manufactured Home Park or Travel Trailer Park</w:t>
            </w:r>
          </w:p>
        </w:tc>
        <w:tc>
          <w:tcPr>
            <w:tcW w:w="7043" w:type="dxa"/>
            <w:gridSpan w:val="2"/>
            <w:tcBorders>
              <w:top w:val="single" w:sz="4" w:space="0" w:color="auto"/>
              <w:left w:val="single" w:sz="4" w:space="0" w:color="auto"/>
              <w:bottom w:val="single" w:sz="4" w:space="0" w:color="auto"/>
              <w:right w:val="single" w:sz="4" w:space="0" w:color="auto"/>
            </w:tcBorders>
            <w:hideMark/>
          </w:tcPr>
          <w:p w14:paraId="075FC677"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Park or Mobile/Manufactured Home Park or Travel Trailer Park. Any lot, tract, parcel or plot of land upon which more than one travel trailer and/or mobile/manufactured homes parked for the temporary or permanent use of a person or persons for living, working or congregating.</w:t>
            </w:r>
          </w:p>
        </w:tc>
      </w:tr>
      <w:tr w:rsidR="00FC5566" w:rsidRPr="00FC5566" w14:paraId="476F74C1" w14:textId="77777777" w:rsidTr="00B247D5">
        <w:trPr>
          <w:trHeight w:val="185"/>
        </w:trPr>
        <w:tc>
          <w:tcPr>
            <w:tcW w:w="1072" w:type="dxa"/>
            <w:tcBorders>
              <w:top w:val="single" w:sz="4" w:space="0" w:color="auto"/>
              <w:left w:val="single" w:sz="6" w:space="0" w:color="000000"/>
              <w:bottom w:val="single" w:sz="6" w:space="0" w:color="000000"/>
              <w:right w:val="single" w:sz="6" w:space="0" w:color="000000"/>
            </w:tcBorders>
            <w:hideMark/>
          </w:tcPr>
          <w:p w14:paraId="370F0C95"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single" w:sz="4" w:space="0" w:color="auto"/>
              <w:left w:val="single" w:sz="6" w:space="0" w:color="000000"/>
              <w:bottom w:val="single" w:sz="6" w:space="0" w:color="000000"/>
              <w:right w:val="single" w:sz="6" w:space="0" w:color="000000"/>
            </w:tcBorders>
            <w:hideMark/>
          </w:tcPr>
          <w:p w14:paraId="57627B95" w14:textId="77777777" w:rsidR="00FC5566" w:rsidRPr="00FC5566" w:rsidRDefault="00FC5566" w:rsidP="00FC5566">
            <w:pPr>
              <w:tabs>
                <w:tab w:val="left" w:pos="944"/>
              </w:tabs>
              <w:ind w:left="91" w:right="58"/>
              <w:rPr>
                <w:rFonts w:eastAsia="Aptos"/>
                <w:i/>
                <w:iCs/>
                <w:kern w:val="2"/>
                <w:sz w:val="16"/>
                <w:szCs w:val="16"/>
              </w:rPr>
            </w:pPr>
            <w:r w:rsidRPr="00FC5566">
              <w:rPr>
                <w:rFonts w:eastAsia="Aptos"/>
                <w:i/>
                <w:iCs/>
                <w:kern w:val="2"/>
                <w:sz w:val="16"/>
                <w:szCs w:val="16"/>
              </w:rPr>
              <w:t>Park Drainage System</w:t>
            </w:r>
          </w:p>
        </w:tc>
        <w:tc>
          <w:tcPr>
            <w:tcW w:w="7043" w:type="dxa"/>
            <w:gridSpan w:val="2"/>
            <w:tcBorders>
              <w:top w:val="single" w:sz="4" w:space="0" w:color="auto"/>
              <w:left w:val="single" w:sz="6" w:space="0" w:color="000000"/>
              <w:bottom w:val="single" w:sz="6" w:space="0" w:color="000000"/>
              <w:right w:val="single" w:sz="6" w:space="0" w:color="000000"/>
            </w:tcBorders>
            <w:hideMark/>
          </w:tcPr>
          <w:p w14:paraId="782BE7FB"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Park Drainage System. The entire system of drainage piping within the park which is used to convey sewage or other wastes from the mobile/manufactured home or travel trailer drain outlet connection, beginning at its sewer inlet connection at the mobile/manufactured home or travel trailer site, to a community sewerage system, a commercial treatment facility, or an individual sewerage system.</w:t>
            </w:r>
          </w:p>
        </w:tc>
      </w:tr>
      <w:tr w:rsidR="00FC5566" w:rsidRPr="00FC5566" w14:paraId="12D2620D"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19DEF199"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hideMark/>
          </w:tcPr>
          <w:p w14:paraId="18E73A20" w14:textId="77777777" w:rsidR="00FC5566" w:rsidRPr="00FC5566" w:rsidRDefault="00FC5566" w:rsidP="00FC5566">
            <w:pPr>
              <w:tabs>
                <w:tab w:val="left" w:pos="944"/>
              </w:tabs>
              <w:ind w:left="91" w:right="58"/>
              <w:rPr>
                <w:rFonts w:eastAsia="Aptos"/>
                <w:i/>
                <w:iCs/>
                <w:kern w:val="2"/>
                <w:sz w:val="16"/>
                <w:szCs w:val="16"/>
              </w:rPr>
            </w:pPr>
            <w:r w:rsidRPr="00FC5566">
              <w:rPr>
                <w:rFonts w:eastAsia="Aptos"/>
                <w:i/>
                <w:iCs/>
                <w:kern w:val="2"/>
                <w:sz w:val="16"/>
                <w:szCs w:val="16"/>
              </w:rPr>
              <w:t>Park Water Distribution System</w:t>
            </w:r>
          </w:p>
        </w:tc>
        <w:tc>
          <w:tcPr>
            <w:tcW w:w="7043" w:type="dxa"/>
            <w:gridSpan w:val="2"/>
            <w:tcBorders>
              <w:top w:val="nil"/>
              <w:left w:val="single" w:sz="6" w:space="0" w:color="000000"/>
              <w:bottom w:val="single" w:sz="6" w:space="0" w:color="000000"/>
              <w:right w:val="single" w:sz="6" w:space="0" w:color="000000"/>
            </w:tcBorders>
            <w:hideMark/>
          </w:tcPr>
          <w:p w14:paraId="79AD924C"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Park Water Distribution System. All of the water distribution piping within the park, extending from the water supply system or other source of supply to, but not including, the mobile/manufactured home or travel trailer’s water service connection, and including branch service lines, fixture devices, service buildings and appurtenances thereto.</w:t>
            </w:r>
          </w:p>
        </w:tc>
      </w:tr>
      <w:tr w:rsidR="00FC5566" w:rsidRPr="00FC5566" w14:paraId="404330FC"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2C084AB1"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hideMark/>
          </w:tcPr>
          <w:p w14:paraId="55262418" w14:textId="77777777" w:rsidR="00FC5566" w:rsidRPr="00FC5566" w:rsidRDefault="00FC5566" w:rsidP="00FC5566">
            <w:pPr>
              <w:tabs>
                <w:tab w:val="left" w:pos="944"/>
              </w:tabs>
              <w:ind w:left="91" w:right="58"/>
              <w:rPr>
                <w:rFonts w:eastAsia="Aptos"/>
                <w:i/>
                <w:iCs/>
                <w:kern w:val="2"/>
                <w:sz w:val="16"/>
                <w:szCs w:val="16"/>
              </w:rPr>
            </w:pPr>
            <w:r w:rsidRPr="00FC5566">
              <w:rPr>
                <w:rFonts w:eastAsia="Aptos"/>
                <w:i/>
                <w:iCs/>
                <w:kern w:val="2"/>
                <w:sz w:val="16"/>
                <w:szCs w:val="16"/>
              </w:rPr>
              <w:t>Service Building</w:t>
            </w:r>
          </w:p>
        </w:tc>
        <w:tc>
          <w:tcPr>
            <w:tcW w:w="7043" w:type="dxa"/>
            <w:gridSpan w:val="2"/>
            <w:tcBorders>
              <w:top w:val="nil"/>
              <w:left w:val="single" w:sz="6" w:space="0" w:color="000000"/>
              <w:bottom w:val="single" w:sz="6" w:space="0" w:color="000000"/>
              <w:right w:val="single" w:sz="6" w:space="0" w:color="000000"/>
            </w:tcBorders>
            <w:hideMark/>
          </w:tcPr>
          <w:p w14:paraId="3343849C"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Service Building. A building housing toilet and bathing facilities for men and women, with laundry facilities.</w:t>
            </w:r>
          </w:p>
        </w:tc>
      </w:tr>
      <w:tr w:rsidR="00FC5566" w:rsidRPr="00FC5566" w14:paraId="53857F90"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6CBB04FE"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hideMark/>
          </w:tcPr>
          <w:p w14:paraId="5DBB6F1F" w14:textId="77777777" w:rsidR="00FC5566" w:rsidRPr="00FC5566" w:rsidRDefault="00FC5566" w:rsidP="00FC5566">
            <w:pPr>
              <w:tabs>
                <w:tab w:val="left" w:pos="944"/>
              </w:tabs>
              <w:ind w:left="91" w:right="58"/>
              <w:rPr>
                <w:rFonts w:eastAsia="Aptos"/>
                <w:i/>
                <w:iCs/>
                <w:kern w:val="2"/>
                <w:sz w:val="16"/>
                <w:szCs w:val="16"/>
              </w:rPr>
            </w:pPr>
            <w:r w:rsidRPr="00FC5566">
              <w:rPr>
                <w:rFonts w:eastAsia="Aptos"/>
                <w:i/>
                <w:iCs/>
                <w:kern w:val="2"/>
                <w:sz w:val="16"/>
                <w:szCs w:val="16"/>
              </w:rPr>
              <w:t>Sewer Inlet</w:t>
            </w:r>
          </w:p>
        </w:tc>
        <w:tc>
          <w:tcPr>
            <w:tcW w:w="7043" w:type="dxa"/>
            <w:gridSpan w:val="2"/>
            <w:tcBorders>
              <w:top w:val="nil"/>
              <w:left w:val="single" w:sz="6" w:space="0" w:color="000000"/>
              <w:bottom w:val="single" w:sz="6" w:space="0" w:color="000000"/>
              <w:right w:val="single" w:sz="6" w:space="0" w:color="000000"/>
            </w:tcBorders>
            <w:hideMark/>
          </w:tcPr>
          <w:p w14:paraId="7AA2D2FF"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Sewer Inlet. A sewer pipe connection permanently provided at the travel trailer or mobile/manufactured home site which is designed to receive sewage when a travel trailer or a mobile/manufactured home is parked on such site. It is considered the upstream terminus of the park drainage system.</w:t>
            </w:r>
          </w:p>
        </w:tc>
      </w:tr>
      <w:tr w:rsidR="00FC5566" w:rsidRPr="00FC5566" w14:paraId="4B73526F"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437BAC20"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hideMark/>
          </w:tcPr>
          <w:p w14:paraId="7A872847" w14:textId="77777777" w:rsidR="00FC5566" w:rsidRPr="00FC5566" w:rsidRDefault="00FC5566" w:rsidP="00FC5566">
            <w:pPr>
              <w:tabs>
                <w:tab w:val="left" w:pos="944"/>
              </w:tabs>
              <w:ind w:left="91" w:right="58"/>
              <w:rPr>
                <w:rFonts w:eastAsia="Aptos"/>
                <w:i/>
                <w:iCs/>
                <w:kern w:val="2"/>
                <w:sz w:val="16"/>
                <w:szCs w:val="16"/>
              </w:rPr>
            </w:pPr>
            <w:r w:rsidRPr="00FC5566">
              <w:rPr>
                <w:rFonts w:eastAsia="Aptos"/>
                <w:i/>
                <w:iCs/>
                <w:kern w:val="2"/>
                <w:sz w:val="16"/>
                <w:szCs w:val="16"/>
              </w:rPr>
              <w:t>Travel Trailer</w:t>
            </w:r>
          </w:p>
        </w:tc>
        <w:tc>
          <w:tcPr>
            <w:tcW w:w="7043" w:type="dxa"/>
            <w:gridSpan w:val="2"/>
            <w:tcBorders>
              <w:top w:val="nil"/>
              <w:left w:val="single" w:sz="6" w:space="0" w:color="000000"/>
              <w:bottom w:val="single" w:sz="6" w:space="0" w:color="000000"/>
              <w:right w:val="single" w:sz="6" w:space="0" w:color="000000"/>
            </w:tcBorders>
            <w:hideMark/>
          </w:tcPr>
          <w:p w14:paraId="2E213823"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Travel Trailer. A vehicular unit, mounted on wheels, designed to provide temporary living quarters for recreational, camping, or travel use.</w:t>
            </w:r>
          </w:p>
        </w:tc>
      </w:tr>
      <w:tr w:rsidR="00FC5566" w:rsidRPr="00FC5566" w14:paraId="6C0A224A"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222E3D40"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hideMark/>
          </w:tcPr>
          <w:p w14:paraId="62F07A51" w14:textId="77777777" w:rsidR="00FC5566" w:rsidRPr="00FC5566" w:rsidRDefault="00FC5566" w:rsidP="00FC5566">
            <w:pPr>
              <w:tabs>
                <w:tab w:val="left" w:pos="944"/>
              </w:tabs>
              <w:ind w:left="91" w:right="58"/>
              <w:rPr>
                <w:rFonts w:eastAsia="Aptos"/>
                <w:i/>
                <w:iCs/>
                <w:kern w:val="2"/>
                <w:sz w:val="16"/>
                <w:szCs w:val="16"/>
              </w:rPr>
            </w:pPr>
            <w:r w:rsidRPr="00FC5566">
              <w:rPr>
                <w:rFonts w:eastAsia="Aptos"/>
                <w:i/>
                <w:iCs/>
                <w:kern w:val="2"/>
                <w:sz w:val="16"/>
                <w:szCs w:val="16"/>
              </w:rPr>
              <w:t>Travel Trailer Sanitary Service Station</w:t>
            </w:r>
          </w:p>
        </w:tc>
        <w:tc>
          <w:tcPr>
            <w:tcW w:w="7043" w:type="dxa"/>
            <w:gridSpan w:val="2"/>
            <w:tcBorders>
              <w:top w:val="nil"/>
              <w:left w:val="single" w:sz="6" w:space="0" w:color="000000"/>
              <w:bottom w:val="single" w:sz="6" w:space="0" w:color="000000"/>
              <w:right w:val="single" w:sz="6" w:space="0" w:color="000000"/>
            </w:tcBorders>
            <w:hideMark/>
          </w:tcPr>
          <w:p w14:paraId="3E916CDD"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Travel Trailer Sanitary Service Station. A sewage inlet with cover, surrounded by a concrete apron sloped inward to the drain, and watering facilities to permit periodic wash down of the immediately adjacent area, to be used as a disposal point for the contents of intermediate waste holding tanks of travel trailers.</w:t>
            </w:r>
          </w:p>
        </w:tc>
      </w:tr>
      <w:tr w:rsidR="00FC5566" w:rsidRPr="00FC5566" w14:paraId="5A198300"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5BD26013"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hideMark/>
          </w:tcPr>
          <w:p w14:paraId="30BCA806" w14:textId="77777777" w:rsidR="00FC5566" w:rsidRPr="00FC5566" w:rsidRDefault="00FC5566" w:rsidP="00FC5566">
            <w:pPr>
              <w:tabs>
                <w:tab w:val="left" w:pos="944"/>
              </w:tabs>
              <w:ind w:left="91" w:right="58"/>
              <w:rPr>
                <w:rFonts w:eastAsia="Aptos"/>
                <w:i/>
                <w:iCs/>
                <w:kern w:val="2"/>
                <w:sz w:val="16"/>
                <w:szCs w:val="16"/>
              </w:rPr>
            </w:pPr>
            <w:r w:rsidRPr="00FC5566">
              <w:rPr>
                <w:rFonts w:eastAsia="Aptos"/>
                <w:i/>
                <w:iCs/>
                <w:kern w:val="2"/>
                <w:sz w:val="16"/>
                <w:szCs w:val="16"/>
              </w:rPr>
              <w:t>Water Service Connection</w:t>
            </w:r>
          </w:p>
        </w:tc>
        <w:tc>
          <w:tcPr>
            <w:tcW w:w="7043" w:type="dxa"/>
            <w:gridSpan w:val="2"/>
            <w:tcBorders>
              <w:top w:val="nil"/>
              <w:left w:val="single" w:sz="6" w:space="0" w:color="000000"/>
              <w:bottom w:val="single" w:sz="6" w:space="0" w:color="000000"/>
              <w:right w:val="single" w:sz="6" w:space="0" w:color="000000"/>
            </w:tcBorders>
            <w:hideMark/>
          </w:tcPr>
          <w:p w14:paraId="5086AFF7"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Water Service Connection. As used in conjunction with mobile/manufactured homes and travel trailers, the water pipe connected between the inlet coupling of the park water distribution system and the water supply fitting provided on the mobile/manufactured home or travel trailer itself.</w:t>
            </w:r>
          </w:p>
        </w:tc>
      </w:tr>
      <w:tr w:rsidR="00FC5566" w:rsidRPr="00FC5566" w14:paraId="5532E8AA" w14:textId="77777777" w:rsidTr="00B247D5">
        <w:trPr>
          <w:trHeight w:val="274"/>
        </w:trPr>
        <w:tc>
          <w:tcPr>
            <w:tcW w:w="1072" w:type="dxa"/>
            <w:tcBorders>
              <w:top w:val="nil"/>
              <w:left w:val="single" w:sz="6" w:space="0" w:color="000000"/>
              <w:bottom w:val="single" w:sz="6" w:space="0" w:color="000000"/>
              <w:right w:val="single" w:sz="6" w:space="0" w:color="000000"/>
            </w:tcBorders>
            <w:hideMark/>
          </w:tcPr>
          <w:p w14:paraId="1FC382E6"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hideMark/>
          </w:tcPr>
          <w:p w14:paraId="2A817A9D"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Section 1601, General.</w:t>
            </w:r>
          </w:p>
        </w:tc>
        <w:tc>
          <w:tcPr>
            <w:tcW w:w="7043" w:type="dxa"/>
            <w:gridSpan w:val="2"/>
            <w:tcBorders>
              <w:top w:val="nil"/>
              <w:left w:val="single" w:sz="6" w:space="0" w:color="000000"/>
              <w:bottom w:val="single" w:sz="6" w:space="0" w:color="000000"/>
              <w:right w:val="single" w:sz="6" w:space="0" w:color="000000"/>
            </w:tcBorders>
          </w:tcPr>
          <w:p w14:paraId="44499055" w14:textId="77777777" w:rsidR="00FC5566" w:rsidRPr="00FC5566" w:rsidRDefault="00FC5566" w:rsidP="00FC5566">
            <w:pPr>
              <w:ind w:left="91" w:right="90"/>
              <w:rPr>
                <w:rFonts w:eastAsia="Aptos"/>
                <w:kern w:val="2"/>
                <w:sz w:val="16"/>
                <w:szCs w:val="16"/>
              </w:rPr>
            </w:pPr>
          </w:p>
        </w:tc>
      </w:tr>
      <w:tr w:rsidR="00FC5566" w:rsidRPr="00FC5566" w14:paraId="490C9283"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1D14AF28"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hideMark/>
          </w:tcPr>
          <w:p w14:paraId="3D904C80"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Section 1601.1, Scope.</w:t>
            </w:r>
          </w:p>
        </w:tc>
        <w:tc>
          <w:tcPr>
            <w:tcW w:w="7043" w:type="dxa"/>
            <w:gridSpan w:val="2"/>
            <w:tcBorders>
              <w:top w:val="nil"/>
              <w:left w:val="single" w:sz="6" w:space="0" w:color="000000"/>
              <w:bottom w:val="single" w:sz="6" w:space="0" w:color="000000"/>
              <w:right w:val="single" w:sz="6" w:space="0" w:color="000000"/>
            </w:tcBorders>
            <w:hideMark/>
          </w:tcPr>
          <w:p w14:paraId="63D3A277"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The requirements set forth in this Chapter shall apply specifically to all new travel trailer and mobile/manufactured home parks, and to additions to existing parks as herein defined, and are to provide minimum standards for sanitation and plumbing installation within these parks, for the accommodations, use and parking of travel trailers and/or mobile/manufactured homes.</w:t>
            </w:r>
          </w:p>
        </w:tc>
      </w:tr>
      <w:tr w:rsidR="00FC5566" w:rsidRPr="00FC5566" w14:paraId="6D208BE3"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025D78EC"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hideMark/>
          </w:tcPr>
          <w:p w14:paraId="56F4943B"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Section 1601.2, Governing Provisions.</w:t>
            </w:r>
          </w:p>
        </w:tc>
        <w:tc>
          <w:tcPr>
            <w:tcW w:w="7043" w:type="dxa"/>
            <w:gridSpan w:val="2"/>
            <w:tcBorders>
              <w:top w:val="nil"/>
              <w:left w:val="single" w:sz="6" w:space="0" w:color="000000"/>
              <w:bottom w:val="single" w:sz="6" w:space="0" w:color="000000"/>
              <w:right w:val="single" w:sz="6" w:space="0" w:color="000000"/>
            </w:tcBorders>
            <w:hideMark/>
          </w:tcPr>
          <w:p w14:paraId="7FE77280"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Other general provisions of this code shall govern the installation of plumbing systems in travel trailer and mobile/manufactured home parks, except where special conditions or construction are specifically defined in this Chapter.</w:t>
            </w:r>
          </w:p>
        </w:tc>
      </w:tr>
      <w:tr w:rsidR="00FC5566" w:rsidRPr="00FC5566" w14:paraId="26B7F372"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14A3792E"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hideMark/>
          </w:tcPr>
          <w:p w14:paraId="5E6C9AF9"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Section 1601.3, Sewage Collection, Disposal, Treatment.</w:t>
            </w:r>
          </w:p>
        </w:tc>
        <w:tc>
          <w:tcPr>
            <w:tcW w:w="7043" w:type="dxa"/>
            <w:gridSpan w:val="2"/>
            <w:tcBorders>
              <w:top w:val="nil"/>
              <w:left w:val="single" w:sz="6" w:space="0" w:color="000000"/>
              <w:bottom w:val="single" w:sz="6" w:space="0" w:color="000000"/>
              <w:right w:val="single" w:sz="6" w:space="0" w:color="000000"/>
            </w:tcBorders>
            <w:hideMark/>
          </w:tcPr>
          <w:p w14:paraId="07822451"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Travel trailers or mobile/manufactured homes shall not hereafter be parked in any park unless there are provided plumbing and sanitation facilities installed and maintained in conformity with this code. Every travel trailer and mobile/manufactured home shall provide a gastight and watertight connection for sewage disposal which shall be connected to an underground sewage collection system discharging into a community sewerage system, a commercial treatment facility, or an individual sewerage system which has been approved by the state health officer.</w:t>
            </w:r>
          </w:p>
        </w:tc>
      </w:tr>
      <w:tr w:rsidR="00FC5566" w:rsidRPr="00FC5566" w14:paraId="2800CE3A"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7A0322D8"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hideMark/>
          </w:tcPr>
          <w:p w14:paraId="655CAEC7"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Section 1601.4, Travel Trailer Sanitary Service Station.</w:t>
            </w:r>
          </w:p>
        </w:tc>
        <w:tc>
          <w:tcPr>
            <w:tcW w:w="7043" w:type="dxa"/>
            <w:gridSpan w:val="2"/>
            <w:tcBorders>
              <w:top w:val="nil"/>
              <w:left w:val="single" w:sz="6" w:space="0" w:color="000000"/>
              <w:bottom w:val="single" w:sz="6" w:space="0" w:color="000000"/>
              <w:right w:val="single" w:sz="6" w:space="0" w:color="000000"/>
            </w:tcBorders>
            <w:hideMark/>
          </w:tcPr>
          <w:p w14:paraId="2FAA014E"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At least one travel trailer sanitary service station shall be provided in all travel trailer parks that accept any travel trailers having an intermediate waste holding tank. The water supply serving the sanitary service station shall be protected against backflow by a reduced pressure principle backflow prevention assembly meeting the requirements of Section 608 of this code.</w:t>
            </w:r>
          </w:p>
        </w:tc>
      </w:tr>
      <w:tr w:rsidR="00FC5566" w:rsidRPr="00FC5566" w14:paraId="3AFBFF90"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41F44616"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hideMark/>
          </w:tcPr>
          <w:p w14:paraId="53318A9D"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Section 1601.5, Materials.</w:t>
            </w:r>
          </w:p>
        </w:tc>
        <w:tc>
          <w:tcPr>
            <w:tcW w:w="7043" w:type="dxa"/>
            <w:gridSpan w:val="2"/>
            <w:tcBorders>
              <w:top w:val="nil"/>
              <w:left w:val="single" w:sz="6" w:space="0" w:color="000000"/>
              <w:bottom w:val="single" w:sz="6" w:space="0" w:color="000000"/>
              <w:right w:val="single" w:sz="6" w:space="0" w:color="000000"/>
            </w:tcBorders>
            <w:hideMark/>
          </w:tcPr>
          <w:p w14:paraId="2E9F93F6"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Unless otherwise provided for in this Chapter, all piping fixtures or devices used in the installation of drainage and water distribution systems for travel trailer parks and mobile/manufactured home parks shall conform to the quality and weights of materials prescribed by this code.</w:t>
            </w:r>
          </w:p>
        </w:tc>
      </w:tr>
      <w:tr w:rsidR="00FC5566" w:rsidRPr="00FC5566" w14:paraId="7A78350B"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7087FDD1"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hideMark/>
          </w:tcPr>
          <w:p w14:paraId="2C213835"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Section 1601.6, Installation.</w:t>
            </w:r>
          </w:p>
        </w:tc>
        <w:tc>
          <w:tcPr>
            <w:tcW w:w="7043" w:type="dxa"/>
            <w:gridSpan w:val="2"/>
            <w:tcBorders>
              <w:top w:val="nil"/>
              <w:left w:val="single" w:sz="6" w:space="0" w:color="000000"/>
              <w:bottom w:val="single" w:sz="6" w:space="0" w:color="000000"/>
              <w:right w:val="single" w:sz="6" w:space="0" w:color="000000"/>
            </w:tcBorders>
            <w:hideMark/>
          </w:tcPr>
          <w:p w14:paraId="117617B5"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Unless otherwise provided for in this Chapter, all plumbing fixtures, piping drains, appurtenances and appliances designed and used in the park drainage, water distribution system, and service connections shall be installed in conformance with the requirements of this code.</w:t>
            </w:r>
          </w:p>
        </w:tc>
      </w:tr>
      <w:tr w:rsidR="00FC5566" w:rsidRPr="00FC5566" w14:paraId="15989835"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7097F356"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hideMark/>
          </w:tcPr>
          <w:p w14:paraId="105F0C54"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Section 1601.7,</w:t>
            </w:r>
          </w:p>
          <w:p w14:paraId="29689D27"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Maintenance.</w:t>
            </w:r>
          </w:p>
        </w:tc>
        <w:tc>
          <w:tcPr>
            <w:tcW w:w="7043" w:type="dxa"/>
            <w:gridSpan w:val="2"/>
            <w:tcBorders>
              <w:top w:val="nil"/>
              <w:left w:val="single" w:sz="6" w:space="0" w:color="000000"/>
              <w:bottom w:val="single" w:sz="6" w:space="0" w:color="000000"/>
              <w:right w:val="single" w:sz="6" w:space="0" w:color="000000"/>
            </w:tcBorders>
            <w:hideMark/>
          </w:tcPr>
          <w:p w14:paraId="2D61A235"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All devices or safeguards required by this Chapter shall be maintained in good working order by the owner, operator, or lessee of the travel trailer park or his designated agent.</w:t>
            </w:r>
          </w:p>
        </w:tc>
      </w:tr>
      <w:tr w:rsidR="00FC5566" w:rsidRPr="00FC5566" w14:paraId="274F0BD3" w14:textId="77777777" w:rsidTr="00B247D5">
        <w:trPr>
          <w:trHeight w:val="274"/>
        </w:trPr>
        <w:tc>
          <w:tcPr>
            <w:tcW w:w="1072" w:type="dxa"/>
            <w:tcBorders>
              <w:top w:val="nil"/>
              <w:left w:val="single" w:sz="6" w:space="0" w:color="000000"/>
              <w:bottom w:val="single" w:sz="6" w:space="0" w:color="000000"/>
              <w:right w:val="single" w:sz="6" w:space="0" w:color="000000"/>
            </w:tcBorders>
            <w:hideMark/>
          </w:tcPr>
          <w:p w14:paraId="1A13F1A3"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hideMark/>
          </w:tcPr>
          <w:p w14:paraId="0A29BF87"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Section 1602, Service Buildings.</w:t>
            </w:r>
          </w:p>
        </w:tc>
        <w:tc>
          <w:tcPr>
            <w:tcW w:w="7043" w:type="dxa"/>
            <w:gridSpan w:val="2"/>
            <w:tcBorders>
              <w:top w:val="nil"/>
              <w:left w:val="single" w:sz="6" w:space="0" w:color="000000"/>
              <w:bottom w:val="single" w:sz="6" w:space="0" w:color="000000"/>
              <w:right w:val="single" w:sz="6" w:space="0" w:color="000000"/>
            </w:tcBorders>
          </w:tcPr>
          <w:p w14:paraId="7EA55231" w14:textId="77777777" w:rsidR="00FC5566" w:rsidRPr="00FC5566" w:rsidRDefault="00FC5566" w:rsidP="00FC5566">
            <w:pPr>
              <w:ind w:left="91" w:right="90"/>
              <w:rPr>
                <w:rFonts w:eastAsia="Aptos"/>
                <w:kern w:val="2"/>
                <w:sz w:val="16"/>
                <w:szCs w:val="16"/>
              </w:rPr>
            </w:pPr>
          </w:p>
        </w:tc>
      </w:tr>
      <w:tr w:rsidR="00FC5566" w:rsidRPr="00FC5566" w14:paraId="4090C37F"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1E857865"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hideMark/>
          </w:tcPr>
          <w:p w14:paraId="01686CE6"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Section 1602.1, Service Buildings for Independent Travel Trailers.</w:t>
            </w:r>
          </w:p>
        </w:tc>
        <w:tc>
          <w:tcPr>
            <w:tcW w:w="7043" w:type="dxa"/>
            <w:gridSpan w:val="2"/>
            <w:tcBorders>
              <w:top w:val="nil"/>
              <w:left w:val="single" w:sz="6" w:space="0" w:color="000000"/>
              <w:bottom w:val="single" w:sz="6" w:space="0" w:color="000000"/>
              <w:right w:val="single" w:sz="6" w:space="0" w:color="000000"/>
            </w:tcBorders>
            <w:hideMark/>
          </w:tcPr>
          <w:p w14:paraId="1E265B7E"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Each travel trailer park which serves only independent travel trailers shall have at least one service building to provide necessary sanitation and laundry facilities. Each mobile/manufactured home park which also serves one or more independent travel trailers (in addition to mobile/manufactured homes) shall have at least one service building to provide necessary sanitation and laundry facilities. When a service building is required under this Section, it shall have a minimum of one water closet, one lavatory, one shower or bathtub for females and one water closet, one lavatory, and one shower or bathtub for males. In addition, at least one laundry tray or clothes washing machine and one drinking fountain located in a common area shall be provided.</w:t>
            </w:r>
          </w:p>
        </w:tc>
      </w:tr>
      <w:tr w:rsidR="00FC5566" w:rsidRPr="00FC5566" w14:paraId="3E159CCD"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0CA8B27F"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hideMark/>
          </w:tcPr>
          <w:p w14:paraId="3ED47BB7"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Exceptions</w:t>
            </w:r>
          </w:p>
        </w:tc>
        <w:tc>
          <w:tcPr>
            <w:tcW w:w="7043" w:type="dxa"/>
            <w:gridSpan w:val="2"/>
            <w:tcBorders>
              <w:top w:val="nil"/>
              <w:left w:val="single" w:sz="6" w:space="0" w:color="000000"/>
              <w:bottom w:val="single" w:sz="6" w:space="0" w:color="000000"/>
              <w:right w:val="single" w:sz="6" w:space="0" w:color="000000"/>
            </w:tcBorders>
          </w:tcPr>
          <w:p w14:paraId="789B038E" w14:textId="77777777" w:rsidR="00FC5566" w:rsidRPr="00FC5566" w:rsidRDefault="00FC5566" w:rsidP="00FC5566">
            <w:pPr>
              <w:ind w:left="91" w:right="90"/>
              <w:rPr>
                <w:rFonts w:eastAsia="Aptos"/>
                <w:b/>
                <w:bCs/>
                <w:kern w:val="2"/>
                <w:sz w:val="16"/>
                <w:szCs w:val="16"/>
              </w:rPr>
            </w:pPr>
            <w:r w:rsidRPr="00FC5566">
              <w:rPr>
                <w:rFonts w:eastAsia="Aptos"/>
                <w:b/>
                <w:bCs/>
                <w:kern w:val="2"/>
                <w:sz w:val="16"/>
                <w:szCs w:val="16"/>
              </w:rPr>
              <w:t>Exceptions:</w:t>
            </w:r>
          </w:p>
          <w:p w14:paraId="6DE443E3"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1. Temporary (six months) travel trailers residing in mobile home parks and or where more than one travel trailer resides for the purpose of employment and or hardships, may be exempted by the local jurisdiction building official from section.</w:t>
            </w:r>
          </w:p>
          <w:p w14:paraId="690D4B7B" w14:textId="77777777" w:rsidR="00FC5566" w:rsidRPr="00FC5566" w:rsidRDefault="00FC5566" w:rsidP="00FC5566">
            <w:pPr>
              <w:ind w:left="109" w:right="90"/>
              <w:rPr>
                <w:rFonts w:eastAsia="Aptos"/>
                <w:kern w:val="2"/>
                <w:sz w:val="16"/>
                <w:szCs w:val="16"/>
              </w:rPr>
            </w:pPr>
            <w:r w:rsidRPr="00FC5566">
              <w:rPr>
                <w:rFonts w:eastAsia="Aptos"/>
                <w:kern w:val="2"/>
                <w:sz w:val="16"/>
                <w:szCs w:val="16"/>
              </w:rPr>
              <w:t>2. Travel trailer park which provides a sewer inlet connection (sewer hookup) at each travel trailer pad may be exempted by the local jurisdiction building official from section 1602.1.</w:t>
            </w:r>
          </w:p>
        </w:tc>
      </w:tr>
      <w:tr w:rsidR="00FC5566" w:rsidRPr="00FC5566" w14:paraId="179DC9E5" w14:textId="77777777" w:rsidTr="00B247D5">
        <w:trPr>
          <w:trHeight w:val="185"/>
        </w:trPr>
        <w:tc>
          <w:tcPr>
            <w:tcW w:w="1072" w:type="dxa"/>
            <w:tcBorders>
              <w:top w:val="single" w:sz="4" w:space="0" w:color="auto"/>
              <w:left w:val="single" w:sz="4" w:space="0" w:color="auto"/>
              <w:bottom w:val="single" w:sz="4" w:space="0" w:color="auto"/>
              <w:right w:val="single" w:sz="4" w:space="0" w:color="auto"/>
            </w:tcBorders>
            <w:hideMark/>
          </w:tcPr>
          <w:p w14:paraId="5E2D4C9F"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single" w:sz="4" w:space="0" w:color="auto"/>
              <w:left w:val="single" w:sz="4" w:space="0" w:color="auto"/>
              <w:bottom w:val="single" w:sz="4" w:space="0" w:color="auto"/>
              <w:right w:val="single" w:sz="4" w:space="0" w:color="auto"/>
            </w:tcBorders>
            <w:hideMark/>
          </w:tcPr>
          <w:p w14:paraId="0AE15C09"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Section 1602.2, Service Building for Dependent Travel Trailers.</w:t>
            </w:r>
          </w:p>
        </w:tc>
        <w:tc>
          <w:tcPr>
            <w:tcW w:w="7043" w:type="dxa"/>
            <w:gridSpan w:val="2"/>
            <w:tcBorders>
              <w:top w:val="single" w:sz="4" w:space="0" w:color="auto"/>
              <w:left w:val="single" w:sz="4" w:space="0" w:color="auto"/>
              <w:bottom w:val="single" w:sz="4" w:space="0" w:color="auto"/>
              <w:right w:val="single" w:sz="4" w:space="0" w:color="auto"/>
            </w:tcBorders>
            <w:hideMark/>
          </w:tcPr>
          <w:p w14:paraId="02948ACF"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 xml:space="preserve">The service building(s) in travel trailer or mobile/manufactured home parks that also accommodate dependent travel trailers shall have a minimum of two water closets, one lavatory, one shower or bathtub for females, and one water closet, one lavatory, one urinal, and one shower or bathtub for males. In addition, at least one laundry tray or clothes washing machine and one drinking fountain located in a common area shall be provided. The above facilities are for a maximum of ten dependent travel trailers. For every ten additional dependent travel trailers (or any fraction thereof) the following additional fixtures shall be provided: one laundry tray or clothes washing machine, one shower or bathtub for each sex, and </w:t>
            </w:r>
            <w:r w:rsidRPr="00FC5566">
              <w:rPr>
                <w:rFonts w:eastAsia="Aptos"/>
                <w:kern w:val="2"/>
                <w:sz w:val="16"/>
                <w:szCs w:val="16"/>
              </w:rPr>
              <w:lastRenderedPageBreak/>
              <w:t>one water closet for females. Also, one additional water closet for males shall be provided for every 15 additional dependent travel trailers (or any fraction thereof).</w:t>
            </w:r>
          </w:p>
        </w:tc>
      </w:tr>
      <w:tr w:rsidR="00FC5566" w:rsidRPr="00FC5566" w14:paraId="50B8F63E" w14:textId="77777777" w:rsidTr="00B247D5">
        <w:trPr>
          <w:trHeight w:val="185"/>
        </w:trPr>
        <w:tc>
          <w:tcPr>
            <w:tcW w:w="1072" w:type="dxa"/>
            <w:tcBorders>
              <w:top w:val="single" w:sz="4" w:space="0" w:color="auto"/>
              <w:left w:val="single" w:sz="4" w:space="0" w:color="auto"/>
              <w:bottom w:val="single" w:sz="4" w:space="0" w:color="auto"/>
              <w:right w:val="single" w:sz="4" w:space="0" w:color="auto"/>
            </w:tcBorders>
            <w:hideMark/>
          </w:tcPr>
          <w:p w14:paraId="1B570D7E" w14:textId="77777777" w:rsidR="00FC5566" w:rsidRPr="00FC5566" w:rsidRDefault="00FC5566" w:rsidP="00FC5566">
            <w:pPr>
              <w:jc w:val="center"/>
              <w:rPr>
                <w:rFonts w:eastAsia="Aptos"/>
                <w:kern w:val="2"/>
                <w:sz w:val="16"/>
                <w:szCs w:val="16"/>
              </w:rPr>
            </w:pPr>
            <w:r w:rsidRPr="00FC5566">
              <w:rPr>
                <w:rFonts w:eastAsia="Aptos"/>
                <w:kern w:val="2"/>
                <w:sz w:val="16"/>
                <w:szCs w:val="16"/>
              </w:rPr>
              <w:lastRenderedPageBreak/>
              <w:t>Adopt</w:t>
            </w:r>
          </w:p>
        </w:tc>
        <w:tc>
          <w:tcPr>
            <w:tcW w:w="2415" w:type="dxa"/>
            <w:gridSpan w:val="2"/>
            <w:tcBorders>
              <w:top w:val="single" w:sz="4" w:space="0" w:color="auto"/>
              <w:left w:val="single" w:sz="4" w:space="0" w:color="auto"/>
              <w:bottom w:val="single" w:sz="4" w:space="0" w:color="auto"/>
              <w:right w:val="single" w:sz="4" w:space="0" w:color="auto"/>
            </w:tcBorders>
            <w:hideMark/>
          </w:tcPr>
          <w:p w14:paraId="75AD6733"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Section 1602.3, Service</w:t>
            </w:r>
          </w:p>
          <w:p w14:paraId="185CF3DC"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Building Design Requirements.</w:t>
            </w:r>
          </w:p>
        </w:tc>
        <w:tc>
          <w:tcPr>
            <w:tcW w:w="7043" w:type="dxa"/>
            <w:gridSpan w:val="2"/>
            <w:tcBorders>
              <w:top w:val="single" w:sz="4" w:space="0" w:color="auto"/>
              <w:left w:val="single" w:sz="4" w:space="0" w:color="auto"/>
              <w:bottom w:val="single" w:sz="4" w:space="0" w:color="auto"/>
              <w:right w:val="single" w:sz="4" w:space="0" w:color="auto"/>
            </w:tcBorders>
            <w:hideMark/>
          </w:tcPr>
          <w:p w14:paraId="4103FACA"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Each service building shall conform to Sections 1602.3.1 through 1602.3.3 of this code.</w:t>
            </w:r>
          </w:p>
        </w:tc>
      </w:tr>
      <w:tr w:rsidR="00FC5566" w:rsidRPr="00FC5566" w14:paraId="48178AF5" w14:textId="77777777" w:rsidTr="00B247D5">
        <w:trPr>
          <w:trHeight w:val="185"/>
        </w:trPr>
        <w:tc>
          <w:tcPr>
            <w:tcW w:w="1072" w:type="dxa"/>
            <w:tcBorders>
              <w:top w:val="single" w:sz="4" w:space="0" w:color="auto"/>
              <w:left w:val="single" w:sz="6" w:space="0" w:color="000000"/>
              <w:bottom w:val="single" w:sz="6" w:space="0" w:color="000000"/>
              <w:right w:val="single" w:sz="6" w:space="0" w:color="000000"/>
            </w:tcBorders>
            <w:hideMark/>
          </w:tcPr>
          <w:p w14:paraId="62CB80B6"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single" w:sz="4" w:space="0" w:color="auto"/>
              <w:left w:val="single" w:sz="6" w:space="0" w:color="000000"/>
              <w:bottom w:val="single" w:sz="6" w:space="0" w:color="000000"/>
              <w:right w:val="single" w:sz="6" w:space="0" w:color="000000"/>
            </w:tcBorders>
            <w:hideMark/>
          </w:tcPr>
          <w:p w14:paraId="3415BE4E"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Section 1602.3.1, Construction.</w:t>
            </w:r>
          </w:p>
        </w:tc>
        <w:tc>
          <w:tcPr>
            <w:tcW w:w="7043" w:type="dxa"/>
            <w:gridSpan w:val="2"/>
            <w:tcBorders>
              <w:top w:val="single" w:sz="4" w:space="0" w:color="auto"/>
              <w:left w:val="single" w:sz="6" w:space="0" w:color="000000"/>
              <w:bottom w:val="single" w:sz="6" w:space="0" w:color="000000"/>
              <w:right w:val="single" w:sz="6" w:space="0" w:color="000000"/>
            </w:tcBorders>
            <w:hideMark/>
          </w:tcPr>
          <w:p w14:paraId="4132774D"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Every service building shall be of permanent construction with an interior finish of moisture resistant material which will stand frequent washing and cleaning and the building shall be well-lighted and ventilated at all times.</w:t>
            </w:r>
          </w:p>
        </w:tc>
      </w:tr>
      <w:tr w:rsidR="00FC5566" w:rsidRPr="00FC5566" w14:paraId="6203B5BA"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4A3AA581"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hideMark/>
          </w:tcPr>
          <w:p w14:paraId="46EC3129"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Section 1602.3.2, Fixture Separation.</w:t>
            </w:r>
          </w:p>
        </w:tc>
        <w:tc>
          <w:tcPr>
            <w:tcW w:w="7043" w:type="dxa"/>
            <w:gridSpan w:val="2"/>
            <w:tcBorders>
              <w:top w:val="nil"/>
              <w:left w:val="single" w:sz="6" w:space="0" w:color="000000"/>
              <w:bottom w:val="single" w:sz="6" w:space="0" w:color="000000"/>
              <w:right w:val="single" w:sz="6" w:space="0" w:color="000000"/>
            </w:tcBorders>
            <w:hideMark/>
          </w:tcPr>
          <w:p w14:paraId="6E26CFED"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The laundry tray(s) and/or clothes washing machine(s) and drinking fountain(s) shall be located in a common area. None of these fixtures shall be located within any toilet room. Each water closet, tub and/or shower shall be in separate compartments with self-closing doors on all water closet compartments. The shower stall shall be a minimum of 3 x 3 feet (914 x 914 mm) in area, with a dressing compartment.</w:t>
            </w:r>
          </w:p>
        </w:tc>
      </w:tr>
      <w:tr w:rsidR="00FC5566" w:rsidRPr="00FC5566" w14:paraId="67A3E537"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435F7983"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hideMark/>
          </w:tcPr>
          <w:p w14:paraId="40C5615E"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Section 1602.3.3, Floor Drains.</w:t>
            </w:r>
          </w:p>
        </w:tc>
        <w:tc>
          <w:tcPr>
            <w:tcW w:w="7043" w:type="dxa"/>
            <w:gridSpan w:val="2"/>
            <w:tcBorders>
              <w:top w:val="nil"/>
              <w:left w:val="single" w:sz="6" w:space="0" w:color="000000"/>
              <w:bottom w:val="single" w:sz="6" w:space="0" w:color="000000"/>
              <w:right w:val="single" w:sz="6" w:space="0" w:color="000000"/>
            </w:tcBorders>
            <w:hideMark/>
          </w:tcPr>
          <w:p w14:paraId="6F3537A0"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A minimum 2-inch floor drain protected by and approved trap primer shall be installed in each toilet room and laundry room.</w:t>
            </w:r>
          </w:p>
        </w:tc>
      </w:tr>
      <w:tr w:rsidR="00FC5566" w:rsidRPr="00FC5566" w14:paraId="584F83F1"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159D64FF"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hideMark/>
          </w:tcPr>
          <w:p w14:paraId="52384155"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Section 1603, Park Drainage System.</w:t>
            </w:r>
          </w:p>
        </w:tc>
        <w:tc>
          <w:tcPr>
            <w:tcW w:w="7043" w:type="dxa"/>
            <w:gridSpan w:val="2"/>
            <w:tcBorders>
              <w:top w:val="nil"/>
              <w:left w:val="single" w:sz="6" w:space="0" w:color="000000"/>
              <w:bottom w:val="single" w:sz="6" w:space="0" w:color="000000"/>
              <w:right w:val="single" w:sz="6" w:space="0" w:color="000000"/>
            </w:tcBorders>
          </w:tcPr>
          <w:p w14:paraId="532F4AA5" w14:textId="77777777" w:rsidR="00FC5566" w:rsidRPr="00FC5566" w:rsidRDefault="00FC5566" w:rsidP="00FC5566">
            <w:pPr>
              <w:ind w:left="91" w:right="90"/>
              <w:rPr>
                <w:rFonts w:eastAsia="Aptos"/>
                <w:kern w:val="2"/>
                <w:sz w:val="16"/>
                <w:szCs w:val="16"/>
              </w:rPr>
            </w:pPr>
          </w:p>
        </w:tc>
      </w:tr>
      <w:tr w:rsidR="00FC5566" w:rsidRPr="00FC5566" w14:paraId="735BAF75"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7D8592E2"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hideMark/>
          </w:tcPr>
          <w:p w14:paraId="0860DC3F"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Section 1603.1, Separation of Water and Sewer Lines.</w:t>
            </w:r>
          </w:p>
        </w:tc>
        <w:tc>
          <w:tcPr>
            <w:tcW w:w="7043" w:type="dxa"/>
            <w:gridSpan w:val="2"/>
            <w:tcBorders>
              <w:top w:val="nil"/>
              <w:left w:val="single" w:sz="6" w:space="0" w:color="000000"/>
              <w:bottom w:val="single" w:sz="6" w:space="0" w:color="000000"/>
              <w:right w:val="single" w:sz="6" w:space="0" w:color="000000"/>
            </w:tcBorders>
            <w:hideMark/>
          </w:tcPr>
          <w:p w14:paraId="06EDFEFC"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The sewer main and sewer laterals shall be separated from the park water service and distribution system in accordance with Section 603.2 of this code.</w:t>
            </w:r>
          </w:p>
        </w:tc>
      </w:tr>
      <w:tr w:rsidR="00FC5566" w:rsidRPr="00FC5566" w14:paraId="29952EB3"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1F671843"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hideMark/>
          </w:tcPr>
          <w:p w14:paraId="511A8673"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Section 1603.2, Minimum Size Pipe.</w:t>
            </w:r>
          </w:p>
        </w:tc>
        <w:tc>
          <w:tcPr>
            <w:tcW w:w="7043" w:type="dxa"/>
            <w:gridSpan w:val="2"/>
            <w:tcBorders>
              <w:top w:val="nil"/>
              <w:left w:val="single" w:sz="6" w:space="0" w:color="000000"/>
              <w:bottom w:val="single" w:sz="6" w:space="0" w:color="000000"/>
              <w:right w:val="single" w:sz="6" w:space="0" w:color="000000"/>
            </w:tcBorders>
            <w:hideMark/>
          </w:tcPr>
          <w:p w14:paraId="01A4C7E4"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The minimum size pipe in any mobile/manufactured home park or travel trailer park drainage system shall be 4 inches. This includes branch lines or sewer laterals to individual travel trailers and mobile/manufactured homes.</w:t>
            </w:r>
          </w:p>
        </w:tc>
      </w:tr>
      <w:tr w:rsidR="00FC5566" w:rsidRPr="00FC5566" w14:paraId="33EFEA19"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5B2D5DB2"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hideMark/>
          </w:tcPr>
          <w:p w14:paraId="767064BE"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Section 1603.3, Fixture Units.</w:t>
            </w:r>
          </w:p>
        </w:tc>
        <w:tc>
          <w:tcPr>
            <w:tcW w:w="7043" w:type="dxa"/>
            <w:gridSpan w:val="2"/>
            <w:tcBorders>
              <w:top w:val="nil"/>
              <w:left w:val="single" w:sz="6" w:space="0" w:color="000000"/>
              <w:bottom w:val="single" w:sz="6" w:space="0" w:color="000000"/>
              <w:right w:val="single" w:sz="6" w:space="0" w:color="000000"/>
            </w:tcBorders>
            <w:hideMark/>
          </w:tcPr>
          <w:p w14:paraId="50D5C4E8"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Each mobile/manufactured home and travel trailer shall be considered as 6 fixture units in determining discharge requirements in the design of park drainage and sewage disposal systems.</w:t>
            </w:r>
          </w:p>
        </w:tc>
      </w:tr>
      <w:tr w:rsidR="00FC5566" w:rsidRPr="00FC5566" w14:paraId="09168917"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15F4978D"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hideMark/>
          </w:tcPr>
          <w:p w14:paraId="6366C739"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Section 1603.4, Sewage Disposal/Treatment.</w:t>
            </w:r>
          </w:p>
        </w:tc>
        <w:tc>
          <w:tcPr>
            <w:tcW w:w="7043" w:type="dxa"/>
            <w:gridSpan w:val="2"/>
            <w:tcBorders>
              <w:top w:val="nil"/>
              <w:left w:val="single" w:sz="6" w:space="0" w:color="000000"/>
              <w:bottom w:val="single" w:sz="6" w:space="0" w:color="000000"/>
              <w:right w:val="single" w:sz="6" w:space="0" w:color="000000"/>
            </w:tcBorders>
            <w:hideMark/>
          </w:tcPr>
          <w:p w14:paraId="78F5CF16"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The discharge of a park drainage system shall be connected to a community sewerage system. Where a community sewerage system is not available, an approved commercial treatment facility or individual sewerage system shall be installed in accord with the requirements of LAC 51:XIII (Sewage Disposal).</w:t>
            </w:r>
          </w:p>
        </w:tc>
      </w:tr>
      <w:tr w:rsidR="00FC5566" w:rsidRPr="00FC5566" w14:paraId="365AA16E"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4095E1D7"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hideMark/>
          </w:tcPr>
          <w:p w14:paraId="5105CE92"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Section 1603.5, Manholes and Cleanouts.</w:t>
            </w:r>
          </w:p>
        </w:tc>
        <w:tc>
          <w:tcPr>
            <w:tcW w:w="7043" w:type="dxa"/>
            <w:gridSpan w:val="2"/>
            <w:tcBorders>
              <w:top w:val="nil"/>
              <w:left w:val="single" w:sz="6" w:space="0" w:color="000000"/>
              <w:bottom w:val="single" w:sz="6" w:space="0" w:color="000000"/>
              <w:right w:val="single" w:sz="6" w:space="0" w:color="000000"/>
            </w:tcBorders>
            <w:hideMark/>
          </w:tcPr>
          <w:p w14:paraId="66D28C3B"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Manholes and/or cleanouts shall be provided and constructed as required in Chapter 7 of this code. Manholes and/or cleanouts shall be accessible and brought to grade.</w:t>
            </w:r>
          </w:p>
        </w:tc>
      </w:tr>
      <w:tr w:rsidR="00FC5566" w:rsidRPr="00FC5566" w14:paraId="41DB1D1C"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4DEFC550"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hideMark/>
          </w:tcPr>
          <w:p w14:paraId="02716B6D"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Section 1603.6, Sewer Inlets.</w:t>
            </w:r>
          </w:p>
        </w:tc>
        <w:tc>
          <w:tcPr>
            <w:tcW w:w="7043" w:type="dxa"/>
            <w:gridSpan w:val="2"/>
            <w:tcBorders>
              <w:top w:val="nil"/>
              <w:left w:val="single" w:sz="6" w:space="0" w:color="000000"/>
              <w:bottom w:val="single" w:sz="6" w:space="0" w:color="000000"/>
              <w:right w:val="single" w:sz="6" w:space="0" w:color="000000"/>
            </w:tcBorders>
            <w:hideMark/>
          </w:tcPr>
          <w:p w14:paraId="5432F483"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Sewer inlets shall be 4-inch diameter and extend above Grade (G) 3 to 6 inches (76 to 152 mm). Each inlet shall be provided with a gas-tight seal when connected to a travel trailer or mobile/manufactured home and have a gas-tight seal plug for use when not in service.</w:t>
            </w:r>
          </w:p>
        </w:tc>
      </w:tr>
      <w:tr w:rsidR="00FC5566" w:rsidRPr="00FC5566" w14:paraId="29A85351"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0DF88BA6"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hideMark/>
          </w:tcPr>
          <w:p w14:paraId="131215EE"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Section 1603.7, Drain Connections.</w:t>
            </w:r>
          </w:p>
        </w:tc>
        <w:tc>
          <w:tcPr>
            <w:tcW w:w="7043" w:type="dxa"/>
            <w:gridSpan w:val="2"/>
            <w:tcBorders>
              <w:top w:val="nil"/>
              <w:left w:val="single" w:sz="6" w:space="0" w:color="000000"/>
              <w:bottom w:val="single" w:sz="6" w:space="0" w:color="000000"/>
              <w:right w:val="single" w:sz="6" w:space="0" w:color="000000"/>
            </w:tcBorders>
            <w:hideMark/>
          </w:tcPr>
          <w:p w14:paraId="37E00EE6"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Drain connections shall slope continuously downward and form no traps. All pipe joints and connections shall be installed and maintained gastight and watertight.</w:t>
            </w:r>
          </w:p>
        </w:tc>
      </w:tr>
      <w:tr w:rsidR="00FC5566" w:rsidRPr="00FC5566" w14:paraId="0B28E444"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39910206"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hideMark/>
          </w:tcPr>
          <w:p w14:paraId="0B07717B"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Section 1603.8, Waste.</w:t>
            </w:r>
          </w:p>
        </w:tc>
        <w:tc>
          <w:tcPr>
            <w:tcW w:w="7043" w:type="dxa"/>
            <w:gridSpan w:val="2"/>
            <w:tcBorders>
              <w:top w:val="nil"/>
              <w:left w:val="single" w:sz="6" w:space="0" w:color="000000"/>
              <w:bottom w:val="single" w:sz="6" w:space="0" w:color="000000"/>
              <w:right w:val="single" w:sz="6" w:space="0" w:color="000000"/>
            </w:tcBorders>
            <w:hideMark/>
          </w:tcPr>
          <w:p w14:paraId="3799323B"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No sewage, waste water, or any other effluent shall be allowed to be deposited on the surface of the ground.</w:t>
            </w:r>
          </w:p>
        </w:tc>
      </w:tr>
      <w:tr w:rsidR="00FC5566" w:rsidRPr="00FC5566" w14:paraId="640D7120"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3AC9CE95"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hideMark/>
          </w:tcPr>
          <w:p w14:paraId="6B0707B6"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Section 1603.9, Testing the Park Drainage System.</w:t>
            </w:r>
          </w:p>
        </w:tc>
        <w:tc>
          <w:tcPr>
            <w:tcW w:w="7043" w:type="dxa"/>
            <w:gridSpan w:val="2"/>
            <w:tcBorders>
              <w:top w:val="nil"/>
              <w:left w:val="single" w:sz="6" w:space="0" w:color="000000"/>
              <w:bottom w:val="single" w:sz="6" w:space="0" w:color="000000"/>
              <w:right w:val="single" w:sz="6" w:space="0" w:color="000000"/>
            </w:tcBorders>
            <w:hideMark/>
          </w:tcPr>
          <w:p w14:paraId="07BFCC4E"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Upon completion and before covering, the park drainage system shall be subjected to a static water test performed in accordance with Section 312 of this code.</w:t>
            </w:r>
          </w:p>
        </w:tc>
      </w:tr>
      <w:tr w:rsidR="00FC5566" w:rsidRPr="00FC5566" w14:paraId="0CA45310"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72B9B994"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hideMark/>
          </w:tcPr>
          <w:p w14:paraId="5A11649D"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Section 1604, Water Supply and Distribution System.</w:t>
            </w:r>
          </w:p>
        </w:tc>
        <w:tc>
          <w:tcPr>
            <w:tcW w:w="7043" w:type="dxa"/>
            <w:gridSpan w:val="2"/>
            <w:tcBorders>
              <w:top w:val="nil"/>
              <w:left w:val="single" w:sz="6" w:space="0" w:color="000000"/>
              <w:bottom w:val="single" w:sz="6" w:space="0" w:color="000000"/>
              <w:right w:val="single" w:sz="6" w:space="0" w:color="000000"/>
            </w:tcBorders>
          </w:tcPr>
          <w:p w14:paraId="684DD2FE" w14:textId="77777777" w:rsidR="00FC5566" w:rsidRPr="00FC5566" w:rsidRDefault="00FC5566" w:rsidP="00FC5566">
            <w:pPr>
              <w:ind w:left="91" w:right="90"/>
              <w:rPr>
                <w:rFonts w:eastAsia="Aptos"/>
                <w:kern w:val="2"/>
                <w:sz w:val="16"/>
                <w:szCs w:val="16"/>
              </w:rPr>
            </w:pPr>
          </w:p>
        </w:tc>
      </w:tr>
      <w:tr w:rsidR="00FC5566" w:rsidRPr="00FC5566" w14:paraId="7EF5F8C4"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171338CC"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hideMark/>
          </w:tcPr>
          <w:p w14:paraId="5776B57C"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Section 1604.1, General.</w:t>
            </w:r>
          </w:p>
        </w:tc>
        <w:tc>
          <w:tcPr>
            <w:tcW w:w="7043" w:type="dxa"/>
            <w:gridSpan w:val="2"/>
            <w:tcBorders>
              <w:top w:val="nil"/>
              <w:left w:val="single" w:sz="6" w:space="0" w:color="000000"/>
              <w:bottom w:val="single" w:sz="6" w:space="0" w:color="000000"/>
              <w:right w:val="single" w:sz="6" w:space="0" w:color="000000"/>
            </w:tcBorders>
            <w:hideMark/>
          </w:tcPr>
          <w:p w14:paraId="001D4BEA"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Every mobile/manufactured home and travel trailer site shall be provided with an individual branch water service line delivering potable water.</w:t>
            </w:r>
          </w:p>
        </w:tc>
      </w:tr>
      <w:tr w:rsidR="00FC5566" w:rsidRPr="00FC5566" w14:paraId="7F51920F"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3D557037"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hideMark/>
          </w:tcPr>
          <w:p w14:paraId="11BEBD55"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Section 1604.2, Water Service Lines.</w:t>
            </w:r>
          </w:p>
        </w:tc>
        <w:tc>
          <w:tcPr>
            <w:tcW w:w="7043" w:type="dxa"/>
            <w:gridSpan w:val="2"/>
            <w:tcBorders>
              <w:top w:val="nil"/>
              <w:left w:val="single" w:sz="6" w:space="0" w:color="000000"/>
              <w:bottom w:val="single" w:sz="6" w:space="0" w:color="000000"/>
              <w:right w:val="single" w:sz="6" w:space="0" w:color="000000"/>
            </w:tcBorders>
            <w:hideMark/>
          </w:tcPr>
          <w:p w14:paraId="5D722711"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Water service lines to each travel trailer site shall be sized to provide a minimum of 8 gpm (0.505 L/s) at the point of connection with the trailer’s water distribution system. Water service lines to each mobile/manufactured home site shall be sized to provide a minimum of 17 gpm (1.1 L/s) at the point of connection with the mobile/manufactured home’s water distribution system. All water service lines shall be a minimum of 3/4 inch. A separate service shutoff valve shall be installed on each water service line. In instances where a backflow prevention device or assembly is installed on the water service line (see Section 608.16.23), the shutoff valve shall be located on the supply side of the device or assembly.</w:t>
            </w:r>
          </w:p>
        </w:tc>
      </w:tr>
      <w:tr w:rsidR="00FC5566" w:rsidRPr="00FC5566" w14:paraId="4292F600"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775D5650"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hideMark/>
          </w:tcPr>
          <w:p w14:paraId="52C5277C"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Section 1604.3, Water Service Connections.</w:t>
            </w:r>
          </w:p>
        </w:tc>
        <w:tc>
          <w:tcPr>
            <w:tcW w:w="7043" w:type="dxa"/>
            <w:gridSpan w:val="2"/>
            <w:tcBorders>
              <w:top w:val="nil"/>
              <w:left w:val="single" w:sz="6" w:space="0" w:color="000000"/>
              <w:bottom w:val="single" w:sz="6" w:space="0" w:color="000000"/>
              <w:right w:val="single" w:sz="6" w:space="0" w:color="000000"/>
            </w:tcBorders>
            <w:hideMark/>
          </w:tcPr>
          <w:p w14:paraId="70889397"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The water service connection from the water service line to the mobile/manufactured home or travel trailer site shall be not less than 1/2-inch diameter.</w:t>
            </w:r>
          </w:p>
        </w:tc>
      </w:tr>
    </w:tbl>
    <w:p w14:paraId="1AF43871"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both"/>
        <w:outlineLvl w:val="3"/>
        <w:rPr>
          <w:kern w:val="2"/>
        </w:rPr>
        <w:sectPr w:rsidR="00FC5566" w:rsidRPr="00FC5566" w:rsidSect="00FC5566">
          <w:type w:val="continuous"/>
          <w:pgSz w:w="12240" w:h="15840"/>
          <w:pgMar w:top="720" w:right="864" w:bottom="317" w:left="864" w:header="576" w:footer="432" w:gutter="0"/>
          <w:cols w:space="720"/>
          <w:docGrid w:linePitch="360"/>
        </w:sectPr>
      </w:pPr>
    </w:p>
    <w:p w14:paraId="262603BF"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both"/>
        <w:outlineLvl w:val="3"/>
        <w:rPr>
          <w:kern w:val="2"/>
        </w:rPr>
      </w:pPr>
    </w:p>
    <w:p w14:paraId="1B6A6ECF"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 xml:space="preserve">Promulgated in accordance with R.S. 37:3727-3750. </w:t>
      </w:r>
    </w:p>
    <w:p w14:paraId="5D29CC6C"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 xml:space="preserve">Promulgated by the Department of Public Safety and Corrections, State Uniform Construction Code Council, LR 33:291 (February 2007), amended LR 34:93 (January 2008), LR 34:883 (May 2008), LR 34:2205 (October 2008), LR </w:t>
      </w:r>
      <w:r w:rsidRPr="00FC5566">
        <w:rPr>
          <w:kern w:val="2"/>
          <w:sz w:val="18"/>
        </w:rPr>
        <w:br w:type="column"/>
      </w:r>
      <w:r w:rsidRPr="00FC5566">
        <w:rPr>
          <w:kern w:val="2"/>
          <w:sz w:val="18"/>
        </w:rPr>
        <w:t xml:space="preserve">35:1904 (September 2009), LR 36:2574 (November 2010), effective January 1, 2011, LR 37:601 (February 2011), LR 37:913 (March 2011), repromulgated LR 37:2187 (July 2011), repromulgated LR 37:2726 (September 2011), LR 37:3065 (October 2011), LR 38:1994 (August 2012), amended by the Department of Public Safety and Corrections, Uniform Construction Code Council, LR 39:1825 (July 2013), LR 39:2512 (September 2013), LR 40:2609 (December </w:t>
      </w:r>
      <w:r w:rsidRPr="00FC5566">
        <w:rPr>
          <w:kern w:val="2"/>
          <w:sz w:val="18"/>
        </w:rPr>
        <w:br w:type="column"/>
      </w:r>
      <w:r w:rsidRPr="00FC5566">
        <w:rPr>
          <w:kern w:val="2"/>
          <w:sz w:val="18"/>
        </w:rPr>
        <w:lastRenderedPageBreak/>
        <w:t xml:space="preserve">2014), amended by the Department of Public Safety and Corrections, Office of State Fire Marshall, LR 41:2386 (November 2015), amended by the Department of Public Safety and Corrections, Office of State Fire Marshal, Uniform Construction Code Council, LR 42:1672 (October 2016), LR 44:81 (January 2018), repromulgated LR 45:919 (July 2019), amended LR 45:1794 (December 2019), LR 46:1611 (November 2020), amended LR 48:2589 (October 2022), LR 50:401 (March 2024), LR 50:405 (March 2024), amended by the </w:t>
      </w:r>
      <w:r w:rsidRPr="00FC5566">
        <w:rPr>
          <w:kern w:val="2"/>
          <w:sz w:val="18"/>
        </w:rPr>
        <w:t>Office of the Governor, Uniform Construction Code Commission LR 52:</w:t>
      </w:r>
    </w:p>
    <w:p w14:paraId="2794212E"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§113.</w:t>
      </w:r>
      <w:r w:rsidRPr="00FC5566">
        <w:rPr>
          <w:b/>
          <w:kern w:val="2"/>
        </w:rPr>
        <w:tab/>
        <w:t xml:space="preserve">International Fuel Gas Code </w:t>
      </w:r>
    </w:p>
    <w:p w14:paraId="78C9A24C"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r>
      <w:r w:rsidRPr="00FC5566">
        <w:rPr>
          <w:i/>
          <w:iCs/>
          <w:kern w:val="2"/>
        </w:rPr>
        <w:t>International Fuel Gas Code</w:t>
      </w:r>
      <w:r w:rsidRPr="00FC5566">
        <w:rPr>
          <w:kern w:val="2"/>
        </w:rPr>
        <w:t xml:space="preserve"> (IFGC), 2024 Edition, and the standards referenced in that code are included for regulation of construction within this state. Furthermore, IFGC shall be amended as follows and shall only apply to the International Fuel Gas Code.</w:t>
      </w:r>
    </w:p>
    <w:p w14:paraId="6A642D7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sectPr w:rsidR="00FC5566" w:rsidRPr="00FC5566" w:rsidSect="00FC5566">
          <w:type w:val="continuous"/>
          <w:pgSz w:w="12240" w:h="15840"/>
          <w:pgMar w:top="720" w:right="864" w:bottom="317" w:left="864" w:header="576" w:footer="432" w:gutter="0"/>
          <w:cols w:num="2" w:space="720"/>
          <w:docGrid w:linePitch="360"/>
        </w:sectPr>
      </w:pPr>
    </w:p>
    <w:p w14:paraId="2031828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p w14:paraId="266858E5" w14:textId="77777777" w:rsidR="00FC5566" w:rsidRPr="00FC5566" w:rsidRDefault="00FC5566" w:rsidP="00FC5566">
      <w:pPr>
        <w:jc w:val="center"/>
        <w:rPr>
          <w:sz w:val="16"/>
          <w:szCs w:val="16"/>
        </w:rPr>
        <w:sectPr w:rsidR="00FC5566" w:rsidRPr="00FC5566" w:rsidSect="00FC5566">
          <w:type w:val="continuous"/>
          <w:pgSz w:w="12240" w:h="15840"/>
          <w:pgMar w:top="720" w:right="864" w:bottom="317" w:left="864" w:header="576" w:footer="432" w:gutter="0"/>
          <w:cols w:num="2" w:space="720"/>
          <w:docGrid w:linePitch="360"/>
        </w:sectPr>
      </w:pPr>
    </w:p>
    <w:tbl>
      <w:tblPr>
        <w:tblW w:w="10530"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61"/>
        <w:gridCol w:w="2405"/>
        <w:gridCol w:w="7064"/>
      </w:tblGrid>
      <w:tr w:rsidR="00FC5566" w:rsidRPr="00FC5566" w14:paraId="57A0B2CB" w14:textId="77777777" w:rsidTr="00B247D5">
        <w:trPr>
          <w:trHeight w:val="259"/>
        </w:trPr>
        <w:tc>
          <w:tcPr>
            <w:tcW w:w="1061" w:type="dxa"/>
          </w:tcPr>
          <w:p w14:paraId="0C270E5B" w14:textId="77777777" w:rsidR="00FC5566" w:rsidRPr="00FC5566" w:rsidRDefault="00FC5566" w:rsidP="00FC5566">
            <w:pPr>
              <w:jc w:val="center"/>
              <w:rPr>
                <w:sz w:val="16"/>
                <w:szCs w:val="16"/>
              </w:rPr>
            </w:pPr>
            <w:r w:rsidRPr="00FC5566">
              <w:rPr>
                <w:sz w:val="16"/>
                <w:szCs w:val="16"/>
              </w:rPr>
              <w:t>Amend</w:t>
            </w:r>
          </w:p>
        </w:tc>
        <w:tc>
          <w:tcPr>
            <w:tcW w:w="2405" w:type="dxa"/>
          </w:tcPr>
          <w:p w14:paraId="515E5F45" w14:textId="77777777" w:rsidR="00FC5566" w:rsidRPr="00FC5566" w:rsidRDefault="00FC5566" w:rsidP="00FC5566">
            <w:pPr>
              <w:ind w:left="110"/>
              <w:rPr>
                <w:sz w:val="16"/>
                <w:szCs w:val="16"/>
              </w:rPr>
            </w:pPr>
            <w:r w:rsidRPr="00FC5566">
              <w:rPr>
                <w:sz w:val="16"/>
                <w:szCs w:val="16"/>
              </w:rPr>
              <w:t>Chapter 3, General Regulations.</w:t>
            </w:r>
          </w:p>
        </w:tc>
        <w:tc>
          <w:tcPr>
            <w:tcW w:w="7064" w:type="dxa"/>
          </w:tcPr>
          <w:p w14:paraId="2C79CC55" w14:textId="77777777" w:rsidR="00FC5566" w:rsidRPr="00FC5566" w:rsidRDefault="00FC5566" w:rsidP="00FC5566">
            <w:pPr>
              <w:ind w:left="42"/>
              <w:rPr>
                <w:sz w:val="16"/>
                <w:szCs w:val="16"/>
              </w:rPr>
            </w:pPr>
          </w:p>
        </w:tc>
      </w:tr>
      <w:tr w:rsidR="00FC5566" w:rsidRPr="00FC5566" w14:paraId="4C0F1649" w14:textId="77777777" w:rsidTr="00B247D5">
        <w:trPr>
          <w:trHeight w:val="551"/>
        </w:trPr>
        <w:tc>
          <w:tcPr>
            <w:tcW w:w="1061" w:type="dxa"/>
          </w:tcPr>
          <w:p w14:paraId="4AF7EE63" w14:textId="77777777" w:rsidR="00FC5566" w:rsidRPr="00FC5566" w:rsidRDefault="00FC5566" w:rsidP="00FC5566">
            <w:pPr>
              <w:jc w:val="center"/>
              <w:rPr>
                <w:sz w:val="16"/>
                <w:szCs w:val="16"/>
              </w:rPr>
            </w:pPr>
            <w:r w:rsidRPr="00FC5566">
              <w:rPr>
                <w:sz w:val="16"/>
                <w:szCs w:val="16"/>
              </w:rPr>
              <w:t>Amend</w:t>
            </w:r>
          </w:p>
        </w:tc>
        <w:tc>
          <w:tcPr>
            <w:tcW w:w="2405" w:type="dxa"/>
          </w:tcPr>
          <w:p w14:paraId="2481213C" w14:textId="77777777" w:rsidR="00FC5566" w:rsidRPr="00FC5566" w:rsidRDefault="00FC5566" w:rsidP="00FC5566">
            <w:pPr>
              <w:ind w:left="110"/>
              <w:rPr>
                <w:sz w:val="16"/>
                <w:szCs w:val="16"/>
              </w:rPr>
            </w:pPr>
            <w:r w:rsidRPr="00FC5566">
              <w:rPr>
                <w:sz w:val="16"/>
                <w:szCs w:val="16"/>
              </w:rPr>
              <w:t>Section 310.3, Arc-Resistant Csst.</w:t>
            </w:r>
          </w:p>
        </w:tc>
        <w:tc>
          <w:tcPr>
            <w:tcW w:w="7064" w:type="dxa"/>
          </w:tcPr>
          <w:p w14:paraId="08E4C966" w14:textId="77777777" w:rsidR="00FC5566" w:rsidRPr="00FC5566" w:rsidRDefault="00FC5566" w:rsidP="00FC5566">
            <w:pPr>
              <w:ind w:left="42"/>
              <w:rPr>
                <w:sz w:val="16"/>
                <w:szCs w:val="16"/>
              </w:rPr>
            </w:pPr>
            <w:r w:rsidRPr="00FC5566">
              <w:rPr>
                <w:sz w:val="16"/>
                <w:szCs w:val="16"/>
              </w:rPr>
              <w:t xml:space="preserve">This section applies to corrugated stainless steel tubing (CSST) that is </w:t>
            </w:r>
            <w:r w:rsidRPr="00FC5566">
              <w:rPr>
                <w:i/>
                <w:sz w:val="16"/>
                <w:szCs w:val="16"/>
              </w:rPr>
              <w:t xml:space="preserve">listed </w:t>
            </w:r>
            <w:r w:rsidRPr="00FC5566">
              <w:rPr>
                <w:sz w:val="16"/>
                <w:szCs w:val="16"/>
              </w:rPr>
              <w:t>with an arc-resistant jacket or coating system in accordance with ANSI LC 1/CSA 6.26. The CSST shall be electrically continuous and bonded to an effective ground fault current path.</w:t>
            </w:r>
          </w:p>
        </w:tc>
      </w:tr>
      <w:tr w:rsidR="00FC5566" w:rsidRPr="00FC5566" w14:paraId="23410FAF" w14:textId="77777777" w:rsidTr="00B247D5">
        <w:trPr>
          <w:trHeight w:val="259"/>
        </w:trPr>
        <w:tc>
          <w:tcPr>
            <w:tcW w:w="1061" w:type="dxa"/>
          </w:tcPr>
          <w:p w14:paraId="79D6CC40" w14:textId="77777777" w:rsidR="00FC5566" w:rsidRPr="00FC5566" w:rsidRDefault="00FC5566" w:rsidP="00FC5566">
            <w:pPr>
              <w:jc w:val="center"/>
              <w:rPr>
                <w:sz w:val="16"/>
                <w:szCs w:val="16"/>
              </w:rPr>
            </w:pPr>
            <w:r w:rsidRPr="00FC5566">
              <w:rPr>
                <w:sz w:val="16"/>
                <w:szCs w:val="16"/>
              </w:rPr>
              <w:t>Amend</w:t>
            </w:r>
          </w:p>
        </w:tc>
        <w:tc>
          <w:tcPr>
            <w:tcW w:w="2405" w:type="dxa"/>
          </w:tcPr>
          <w:p w14:paraId="4066BC5E" w14:textId="77777777" w:rsidR="00FC5566" w:rsidRPr="00FC5566" w:rsidRDefault="00FC5566" w:rsidP="00FC5566">
            <w:pPr>
              <w:ind w:left="110"/>
              <w:rPr>
                <w:sz w:val="16"/>
                <w:szCs w:val="16"/>
              </w:rPr>
            </w:pPr>
            <w:r w:rsidRPr="00FC5566">
              <w:rPr>
                <w:sz w:val="16"/>
                <w:szCs w:val="16"/>
              </w:rPr>
              <w:t>Chapter 4, Gas Piping Installations</w:t>
            </w:r>
          </w:p>
        </w:tc>
        <w:tc>
          <w:tcPr>
            <w:tcW w:w="7064" w:type="dxa"/>
          </w:tcPr>
          <w:p w14:paraId="40554B93" w14:textId="77777777" w:rsidR="00FC5566" w:rsidRPr="00FC5566" w:rsidRDefault="00FC5566" w:rsidP="00FC5566">
            <w:pPr>
              <w:ind w:left="42"/>
              <w:rPr>
                <w:i/>
                <w:sz w:val="16"/>
                <w:szCs w:val="16"/>
              </w:rPr>
            </w:pPr>
          </w:p>
        </w:tc>
      </w:tr>
      <w:tr w:rsidR="00FC5566" w:rsidRPr="00FC5566" w14:paraId="5A5EA6C4" w14:textId="77777777" w:rsidTr="00B247D5">
        <w:trPr>
          <w:trHeight w:val="736"/>
        </w:trPr>
        <w:tc>
          <w:tcPr>
            <w:tcW w:w="1061" w:type="dxa"/>
          </w:tcPr>
          <w:p w14:paraId="120378C8" w14:textId="77777777" w:rsidR="00FC5566" w:rsidRPr="00FC5566" w:rsidRDefault="00FC5566" w:rsidP="00FC5566">
            <w:pPr>
              <w:jc w:val="center"/>
              <w:rPr>
                <w:sz w:val="16"/>
                <w:szCs w:val="16"/>
              </w:rPr>
            </w:pPr>
            <w:r w:rsidRPr="00FC5566">
              <w:rPr>
                <w:sz w:val="16"/>
                <w:szCs w:val="16"/>
              </w:rPr>
              <w:t>Amend</w:t>
            </w:r>
          </w:p>
        </w:tc>
        <w:tc>
          <w:tcPr>
            <w:tcW w:w="2405" w:type="dxa"/>
          </w:tcPr>
          <w:p w14:paraId="2A3D39B8" w14:textId="77777777" w:rsidR="00FC5566" w:rsidRPr="00FC5566" w:rsidRDefault="00FC5566" w:rsidP="00FC5566">
            <w:pPr>
              <w:ind w:left="110"/>
              <w:rPr>
                <w:sz w:val="16"/>
                <w:szCs w:val="16"/>
              </w:rPr>
            </w:pPr>
            <w:r w:rsidRPr="00FC5566">
              <w:rPr>
                <w:sz w:val="16"/>
                <w:szCs w:val="16"/>
              </w:rPr>
              <w:t>Section 404.14, Piping Underground Beneath Buildings.</w:t>
            </w:r>
          </w:p>
        </w:tc>
        <w:tc>
          <w:tcPr>
            <w:tcW w:w="7064" w:type="dxa"/>
          </w:tcPr>
          <w:p w14:paraId="09DC1001" w14:textId="77777777" w:rsidR="00FC5566" w:rsidRPr="00FC5566" w:rsidRDefault="00FC5566" w:rsidP="00FC5566">
            <w:pPr>
              <w:ind w:left="42"/>
              <w:rPr>
                <w:sz w:val="16"/>
                <w:szCs w:val="16"/>
              </w:rPr>
            </w:pPr>
            <w:r w:rsidRPr="00FC5566">
              <w:rPr>
                <w:i/>
                <w:sz w:val="16"/>
                <w:szCs w:val="16"/>
              </w:rPr>
              <w:t xml:space="preserve">Piping </w:t>
            </w:r>
            <w:r w:rsidRPr="00FC5566">
              <w:rPr>
                <w:sz w:val="16"/>
                <w:szCs w:val="16"/>
              </w:rPr>
              <w:t xml:space="preserve">installed underground beneath buildings is prohibited except where the </w:t>
            </w:r>
            <w:r w:rsidRPr="00FC5566">
              <w:rPr>
                <w:i/>
                <w:sz w:val="16"/>
                <w:szCs w:val="16"/>
              </w:rPr>
              <w:t xml:space="preserve">piping </w:t>
            </w:r>
            <w:r w:rsidRPr="00FC5566">
              <w:rPr>
                <w:sz w:val="16"/>
                <w:szCs w:val="16"/>
              </w:rPr>
              <w:t xml:space="preserve">is encased in a conduit of wrought iron, plastic pipe, steel pipe, or other </w:t>
            </w:r>
            <w:r w:rsidRPr="00FC5566">
              <w:rPr>
                <w:i/>
                <w:sz w:val="16"/>
                <w:szCs w:val="16"/>
              </w:rPr>
              <w:t xml:space="preserve">approved </w:t>
            </w:r>
            <w:r w:rsidRPr="00FC5566">
              <w:rPr>
                <w:sz w:val="16"/>
                <w:szCs w:val="16"/>
              </w:rPr>
              <w:t>conduit material designed to withstand the superimposed loads. The conduit shall be protected from corrosion in accordance with Section 404.11 and shall be installed in accordance with Section 404.14.1 or 404.14.2.</w:t>
            </w:r>
          </w:p>
        </w:tc>
      </w:tr>
    </w:tbl>
    <w:p w14:paraId="7C309414"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both"/>
        <w:outlineLvl w:val="3"/>
        <w:rPr>
          <w:kern w:val="2"/>
        </w:rPr>
        <w:sectPr w:rsidR="00FC5566" w:rsidRPr="00FC5566" w:rsidSect="00FC5566">
          <w:type w:val="continuous"/>
          <w:pgSz w:w="12240" w:h="15840"/>
          <w:pgMar w:top="720" w:right="864" w:bottom="317" w:left="864" w:header="576" w:footer="432" w:gutter="0"/>
          <w:cols w:space="720"/>
          <w:docGrid w:linePitch="360"/>
        </w:sectPr>
      </w:pPr>
    </w:p>
    <w:p w14:paraId="6EADAC2A"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both"/>
        <w:outlineLvl w:val="3"/>
        <w:rPr>
          <w:kern w:val="2"/>
        </w:rPr>
      </w:pPr>
    </w:p>
    <w:p w14:paraId="17B2AC7D"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37:3727-3750.</w:t>
      </w:r>
    </w:p>
    <w:p w14:paraId="3C8FFA2C"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 xml:space="preserve">Promulgated by the Department of Public Safety and Corrections, State Uniform Construction Code Council, LR 33:291 (February 2007), amended LR 34:93 (January 2008), LR 34:883 (May 2008), LR 34:2205 (October 2008), LR 35:1904 (September 2009), LR 36:2574 (November 2010), effective January 1, 2011, LR 37:601 (February 2011), LR 37:913 (March 2011), repromulgated LR 37:2187 (July 2011), repromulgated LR 37:2726 (September 2011), LR 37:3065 (October 2011), LR 38:1994 (August 2012), amended by the Department of Public Safety and </w:t>
      </w:r>
      <w:r w:rsidRPr="00FC5566">
        <w:rPr>
          <w:kern w:val="2"/>
          <w:sz w:val="18"/>
        </w:rPr>
        <w:br w:type="column"/>
      </w:r>
      <w:r w:rsidRPr="00FC5566">
        <w:rPr>
          <w:kern w:val="2"/>
          <w:sz w:val="18"/>
        </w:rPr>
        <w:t>Corrections, Uniform Construction Code Council, LR 39:1825 (July 2013), LR 39:2512 (September 2013), LR 40:2609 (December 2014), amended by the Department of Public Safety and Corrections, Office of State Fire Marshall, LR 41:2387 (November 2015), amended by the Department of Public Safety and Corrections, Office of the State Fire Marshal, Uniform Construction Code Council, LR 44:94 (January 2018), repromulgated LR 45:931 (July 2019), amended LR 48:2606 (October 2022), amended by the Office of the Governor, Uniform Construction Code Commission LR 52:</w:t>
      </w:r>
    </w:p>
    <w:p w14:paraId="7A7D3DC0"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§115.</w:t>
      </w:r>
      <w:r w:rsidRPr="00FC5566">
        <w:rPr>
          <w:b/>
          <w:kern w:val="2"/>
        </w:rPr>
        <w:tab/>
        <w:t xml:space="preserve">National Electrical Code </w:t>
      </w:r>
    </w:p>
    <w:p w14:paraId="31B6F1C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r>
      <w:r w:rsidRPr="00FC5566">
        <w:rPr>
          <w:i/>
          <w:iCs/>
          <w:kern w:val="2"/>
        </w:rPr>
        <w:t>National Electrical Code</w:t>
      </w:r>
      <w:r w:rsidRPr="00FC5566">
        <w:rPr>
          <w:kern w:val="2"/>
        </w:rPr>
        <w:t xml:space="preserve"> (NEC), 2023 Edition, and the standards referenced in that code are included for regulation of construction in this state. Furthermore, NEC shall be amended as follows and shall only apply to the National Electrical Code.</w:t>
      </w:r>
    </w:p>
    <w:p w14:paraId="52671379"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sectPr w:rsidR="00FC5566" w:rsidRPr="00FC5566" w:rsidSect="00FC5566">
          <w:type w:val="continuous"/>
          <w:pgSz w:w="12240" w:h="15840"/>
          <w:pgMar w:top="720" w:right="864" w:bottom="317" w:left="864" w:header="576" w:footer="432" w:gutter="0"/>
          <w:cols w:num="2" w:space="720"/>
          <w:docGrid w:linePitch="360"/>
        </w:sectPr>
      </w:pPr>
    </w:p>
    <w:p w14:paraId="5762E62B"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p w14:paraId="0824D7F7" w14:textId="77777777" w:rsidR="00FC5566" w:rsidRPr="00FC5566" w:rsidRDefault="00FC5566" w:rsidP="00FC5566">
      <w:pPr>
        <w:widowControl w:val="0"/>
        <w:autoSpaceDE w:val="0"/>
        <w:autoSpaceDN w:val="0"/>
        <w:jc w:val="center"/>
        <w:rPr>
          <w:spacing w:val="-2"/>
          <w:sz w:val="16"/>
          <w:szCs w:val="16"/>
        </w:rPr>
        <w:sectPr w:rsidR="00FC5566" w:rsidRPr="00FC5566" w:rsidSect="00FC5566">
          <w:type w:val="continuous"/>
          <w:pgSz w:w="12240" w:h="15840"/>
          <w:pgMar w:top="720" w:right="864" w:bottom="317" w:left="864" w:header="576" w:footer="432" w:gutter="0"/>
          <w:cols w:num="2" w:space="720"/>
          <w:docGrid w:linePitch="360"/>
        </w:sectPr>
      </w:pPr>
    </w:p>
    <w:tbl>
      <w:tblPr>
        <w:tblW w:w="10530"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120"/>
        <w:gridCol w:w="7"/>
        <w:gridCol w:w="2340"/>
        <w:gridCol w:w="7063"/>
      </w:tblGrid>
      <w:tr w:rsidR="00FC5566" w:rsidRPr="00FC5566" w14:paraId="0F177EA8" w14:textId="77777777" w:rsidTr="00B247D5">
        <w:trPr>
          <w:trHeight w:val="259"/>
        </w:trPr>
        <w:tc>
          <w:tcPr>
            <w:tcW w:w="1127" w:type="dxa"/>
            <w:gridSpan w:val="2"/>
          </w:tcPr>
          <w:p w14:paraId="087DD821"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340" w:type="dxa"/>
          </w:tcPr>
          <w:p w14:paraId="5ED922B5" w14:textId="77777777" w:rsidR="00FC5566" w:rsidRPr="00FC5566" w:rsidRDefault="00FC5566" w:rsidP="00FC5566">
            <w:pPr>
              <w:widowControl w:val="0"/>
              <w:autoSpaceDE w:val="0"/>
              <w:autoSpaceDN w:val="0"/>
              <w:ind w:left="107" w:right="46"/>
              <w:rPr>
                <w:sz w:val="16"/>
                <w:szCs w:val="16"/>
              </w:rPr>
            </w:pPr>
            <w:r w:rsidRPr="00FC5566">
              <w:rPr>
                <w:sz w:val="16"/>
                <w:szCs w:val="16"/>
              </w:rPr>
              <w:t>Chapter 2, Wiring and Protection.</w:t>
            </w:r>
          </w:p>
        </w:tc>
        <w:tc>
          <w:tcPr>
            <w:tcW w:w="7063" w:type="dxa"/>
          </w:tcPr>
          <w:p w14:paraId="4B1566D9" w14:textId="77777777" w:rsidR="00FC5566" w:rsidRPr="00FC5566" w:rsidRDefault="00FC5566" w:rsidP="00FC5566">
            <w:pPr>
              <w:widowControl w:val="0"/>
              <w:autoSpaceDE w:val="0"/>
              <w:autoSpaceDN w:val="0"/>
              <w:ind w:right="88"/>
              <w:rPr>
                <w:sz w:val="16"/>
                <w:szCs w:val="16"/>
              </w:rPr>
            </w:pPr>
          </w:p>
        </w:tc>
      </w:tr>
      <w:tr w:rsidR="00FC5566" w:rsidRPr="00FC5566" w14:paraId="72A099C8" w14:textId="77777777" w:rsidTr="00B247D5">
        <w:trPr>
          <w:trHeight w:val="551"/>
        </w:trPr>
        <w:tc>
          <w:tcPr>
            <w:tcW w:w="1127" w:type="dxa"/>
            <w:gridSpan w:val="2"/>
          </w:tcPr>
          <w:p w14:paraId="1362B51F" w14:textId="77777777" w:rsidR="00FC5566" w:rsidRPr="00FC5566" w:rsidRDefault="00FC5566" w:rsidP="00FC5566">
            <w:pPr>
              <w:widowControl w:val="0"/>
              <w:autoSpaceDE w:val="0"/>
              <w:autoSpaceDN w:val="0"/>
              <w:jc w:val="center"/>
              <w:rPr>
                <w:sz w:val="16"/>
                <w:szCs w:val="16"/>
              </w:rPr>
            </w:pPr>
            <w:r w:rsidRPr="00FC5566">
              <w:rPr>
                <w:spacing w:val="-2"/>
                <w:sz w:val="16"/>
                <w:szCs w:val="16"/>
              </w:rPr>
              <w:t>Amend</w:t>
            </w:r>
          </w:p>
        </w:tc>
        <w:tc>
          <w:tcPr>
            <w:tcW w:w="2340" w:type="dxa"/>
          </w:tcPr>
          <w:p w14:paraId="4CCB21AE" w14:textId="77777777" w:rsidR="00FC5566" w:rsidRPr="00FC5566" w:rsidRDefault="00FC5566" w:rsidP="00FC5566">
            <w:pPr>
              <w:widowControl w:val="0"/>
              <w:autoSpaceDE w:val="0"/>
              <w:autoSpaceDN w:val="0"/>
              <w:ind w:left="107" w:right="46"/>
              <w:rPr>
                <w:sz w:val="16"/>
                <w:szCs w:val="16"/>
              </w:rPr>
            </w:pPr>
            <w:r w:rsidRPr="00FC5566">
              <w:rPr>
                <w:sz w:val="16"/>
                <w:szCs w:val="16"/>
              </w:rPr>
              <w:t>Article</w:t>
            </w:r>
            <w:r w:rsidRPr="00FC5566">
              <w:rPr>
                <w:spacing w:val="-12"/>
                <w:sz w:val="16"/>
                <w:szCs w:val="16"/>
              </w:rPr>
              <w:t xml:space="preserve"> </w:t>
            </w:r>
            <w:r w:rsidRPr="00FC5566">
              <w:rPr>
                <w:sz w:val="16"/>
                <w:szCs w:val="16"/>
              </w:rPr>
              <w:t>210.8,</w:t>
            </w:r>
            <w:r w:rsidRPr="00FC5566">
              <w:rPr>
                <w:spacing w:val="-8"/>
                <w:sz w:val="16"/>
                <w:szCs w:val="16"/>
              </w:rPr>
              <w:t xml:space="preserve"> </w:t>
            </w:r>
            <w:r w:rsidRPr="00FC5566">
              <w:rPr>
                <w:sz w:val="16"/>
                <w:szCs w:val="16"/>
              </w:rPr>
              <w:t>Ground-</w:t>
            </w:r>
            <w:r w:rsidRPr="00FC5566">
              <w:rPr>
                <w:spacing w:val="-4"/>
                <w:sz w:val="16"/>
                <w:szCs w:val="16"/>
              </w:rPr>
              <w:t>Fault</w:t>
            </w:r>
          </w:p>
          <w:p w14:paraId="27D7EBA0" w14:textId="77777777" w:rsidR="00FC5566" w:rsidRPr="00FC5566" w:rsidRDefault="00FC5566" w:rsidP="00FC5566">
            <w:pPr>
              <w:widowControl w:val="0"/>
              <w:autoSpaceDE w:val="0"/>
              <w:autoSpaceDN w:val="0"/>
              <w:ind w:left="107" w:right="46"/>
              <w:rPr>
                <w:sz w:val="16"/>
                <w:szCs w:val="16"/>
              </w:rPr>
            </w:pPr>
            <w:r w:rsidRPr="00FC5566">
              <w:rPr>
                <w:spacing w:val="-2"/>
                <w:sz w:val="16"/>
                <w:szCs w:val="16"/>
              </w:rPr>
              <w:t>Circuit-Interrupter</w:t>
            </w:r>
            <w:r w:rsidRPr="00FC5566">
              <w:rPr>
                <w:spacing w:val="40"/>
                <w:sz w:val="16"/>
                <w:szCs w:val="16"/>
              </w:rPr>
              <w:t xml:space="preserve"> </w:t>
            </w:r>
            <w:r w:rsidRPr="00FC5566">
              <w:rPr>
                <w:sz w:val="16"/>
                <w:szCs w:val="16"/>
              </w:rPr>
              <w:t>Protection</w:t>
            </w:r>
            <w:r w:rsidRPr="00FC5566">
              <w:rPr>
                <w:spacing w:val="-10"/>
                <w:sz w:val="16"/>
                <w:szCs w:val="16"/>
              </w:rPr>
              <w:t xml:space="preserve"> </w:t>
            </w:r>
            <w:r w:rsidRPr="00FC5566">
              <w:rPr>
                <w:sz w:val="16"/>
                <w:szCs w:val="16"/>
              </w:rPr>
              <w:t>for</w:t>
            </w:r>
            <w:r w:rsidRPr="00FC5566">
              <w:rPr>
                <w:spacing w:val="-10"/>
                <w:sz w:val="16"/>
                <w:szCs w:val="16"/>
              </w:rPr>
              <w:t xml:space="preserve"> </w:t>
            </w:r>
            <w:r w:rsidRPr="00FC5566">
              <w:rPr>
                <w:sz w:val="16"/>
                <w:szCs w:val="16"/>
              </w:rPr>
              <w:t>Personnel.</w:t>
            </w:r>
          </w:p>
        </w:tc>
        <w:tc>
          <w:tcPr>
            <w:tcW w:w="7063" w:type="dxa"/>
          </w:tcPr>
          <w:p w14:paraId="217723AE" w14:textId="77777777" w:rsidR="00FC5566" w:rsidRPr="00FC5566" w:rsidRDefault="00FC5566" w:rsidP="00FC5566">
            <w:pPr>
              <w:widowControl w:val="0"/>
              <w:autoSpaceDE w:val="0"/>
              <w:autoSpaceDN w:val="0"/>
              <w:ind w:right="88"/>
              <w:rPr>
                <w:sz w:val="16"/>
                <w:szCs w:val="16"/>
              </w:rPr>
            </w:pPr>
          </w:p>
        </w:tc>
      </w:tr>
      <w:tr w:rsidR="00FC5566" w:rsidRPr="00FC5566" w14:paraId="79CEA0A5" w14:textId="77777777" w:rsidTr="00B247D5">
        <w:trPr>
          <w:trHeight w:val="259"/>
        </w:trPr>
        <w:tc>
          <w:tcPr>
            <w:tcW w:w="1127" w:type="dxa"/>
            <w:gridSpan w:val="2"/>
          </w:tcPr>
          <w:p w14:paraId="16388A1D" w14:textId="77777777" w:rsidR="00FC5566" w:rsidRPr="00FC5566" w:rsidRDefault="00FC5566" w:rsidP="00FC5566">
            <w:pPr>
              <w:widowControl w:val="0"/>
              <w:autoSpaceDE w:val="0"/>
              <w:autoSpaceDN w:val="0"/>
              <w:jc w:val="center"/>
              <w:rPr>
                <w:sz w:val="16"/>
                <w:szCs w:val="16"/>
              </w:rPr>
            </w:pPr>
            <w:r w:rsidRPr="00FC5566">
              <w:rPr>
                <w:sz w:val="16"/>
                <w:szCs w:val="16"/>
              </w:rPr>
              <w:t xml:space="preserve">Amend </w:t>
            </w:r>
          </w:p>
        </w:tc>
        <w:tc>
          <w:tcPr>
            <w:tcW w:w="2340" w:type="dxa"/>
          </w:tcPr>
          <w:p w14:paraId="12174923" w14:textId="77777777" w:rsidR="00FC5566" w:rsidRPr="00FC5566" w:rsidRDefault="00FC5566" w:rsidP="00FC5566">
            <w:pPr>
              <w:widowControl w:val="0"/>
              <w:autoSpaceDE w:val="0"/>
              <w:autoSpaceDN w:val="0"/>
              <w:ind w:left="107" w:right="46"/>
              <w:rPr>
                <w:sz w:val="16"/>
                <w:szCs w:val="16"/>
              </w:rPr>
            </w:pPr>
            <w:r w:rsidRPr="00FC5566">
              <w:rPr>
                <w:sz w:val="16"/>
                <w:szCs w:val="16"/>
              </w:rPr>
              <w:t>Item (A), Dwelling Units.</w:t>
            </w:r>
          </w:p>
        </w:tc>
        <w:tc>
          <w:tcPr>
            <w:tcW w:w="7063" w:type="dxa"/>
          </w:tcPr>
          <w:p w14:paraId="225D8BF3" w14:textId="77777777" w:rsidR="00FC5566" w:rsidRPr="00FC5566" w:rsidRDefault="00FC5566" w:rsidP="00FC5566">
            <w:pPr>
              <w:widowControl w:val="0"/>
              <w:autoSpaceDE w:val="0"/>
              <w:autoSpaceDN w:val="0"/>
              <w:ind w:right="88"/>
              <w:rPr>
                <w:sz w:val="16"/>
                <w:szCs w:val="16"/>
              </w:rPr>
            </w:pPr>
          </w:p>
        </w:tc>
      </w:tr>
      <w:tr w:rsidR="00FC5566" w:rsidRPr="00FC5566" w14:paraId="78EC823B" w14:textId="77777777" w:rsidTr="00B247D5">
        <w:trPr>
          <w:trHeight w:val="259"/>
        </w:trPr>
        <w:tc>
          <w:tcPr>
            <w:tcW w:w="1127" w:type="dxa"/>
            <w:gridSpan w:val="2"/>
          </w:tcPr>
          <w:p w14:paraId="06F5E310" w14:textId="77777777" w:rsidR="00FC5566" w:rsidRPr="00FC5566" w:rsidRDefault="00FC5566" w:rsidP="00FC5566">
            <w:pPr>
              <w:widowControl w:val="0"/>
              <w:autoSpaceDE w:val="0"/>
              <w:autoSpaceDN w:val="0"/>
              <w:jc w:val="center"/>
              <w:rPr>
                <w:sz w:val="16"/>
                <w:szCs w:val="16"/>
              </w:rPr>
            </w:pPr>
            <w:r w:rsidRPr="00FC5566">
              <w:rPr>
                <w:sz w:val="16"/>
                <w:szCs w:val="16"/>
              </w:rPr>
              <w:t>Amend</w:t>
            </w:r>
          </w:p>
        </w:tc>
        <w:tc>
          <w:tcPr>
            <w:tcW w:w="2340" w:type="dxa"/>
          </w:tcPr>
          <w:p w14:paraId="22149FE0" w14:textId="77777777" w:rsidR="00FC5566" w:rsidRPr="00FC5566" w:rsidRDefault="00FC5566" w:rsidP="00FC5566">
            <w:pPr>
              <w:widowControl w:val="0"/>
              <w:autoSpaceDE w:val="0"/>
              <w:autoSpaceDN w:val="0"/>
              <w:ind w:left="107" w:right="46"/>
              <w:rPr>
                <w:sz w:val="16"/>
                <w:szCs w:val="16"/>
              </w:rPr>
            </w:pPr>
            <w:r w:rsidRPr="00FC5566">
              <w:rPr>
                <w:sz w:val="16"/>
                <w:szCs w:val="16"/>
              </w:rPr>
              <w:t xml:space="preserve">Exceptions </w:t>
            </w:r>
          </w:p>
        </w:tc>
        <w:tc>
          <w:tcPr>
            <w:tcW w:w="7063" w:type="dxa"/>
          </w:tcPr>
          <w:p w14:paraId="0C461DA9" w14:textId="77777777" w:rsidR="00FC5566" w:rsidRPr="00FC5566" w:rsidRDefault="00FC5566" w:rsidP="00FC5566">
            <w:pPr>
              <w:widowControl w:val="0"/>
              <w:autoSpaceDE w:val="0"/>
              <w:autoSpaceDN w:val="0"/>
              <w:ind w:right="88"/>
              <w:rPr>
                <w:sz w:val="16"/>
                <w:szCs w:val="16"/>
              </w:rPr>
            </w:pPr>
          </w:p>
        </w:tc>
      </w:tr>
      <w:tr w:rsidR="00FC5566" w:rsidRPr="00FC5566" w14:paraId="245F5F9A" w14:textId="77777777" w:rsidTr="00B247D5">
        <w:trPr>
          <w:trHeight w:val="184"/>
        </w:trPr>
        <w:tc>
          <w:tcPr>
            <w:tcW w:w="1127" w:type="dxa"/>
            <w:gridSpan w:val="2"/>
          </w:tcPr>
          <w:p w14:paraId="244D0739" w14:textId="77777777" w:rsidR="00FC5566" w:rsidRPr="00FC5566" w:rsidRDefault="00FC5566" w:rsidP="00FC5566">
            <w:pPr>
              <w:widowControl w:val="0"/>
              <w:autoSpaceDE w:val="0"/>
              <w:autoSpaceDN w:val="0"/>
              <w:jc w:val="center"/>
              <w:rPr>
                <w:sz w:val="16"/>
                <w:szCs w:val="16"/>
              </w:rPr>
            </w:pPr>
            <w:r w:rsidRPr="00FC5566">
              <w:rPr>
                <w:sz w:val="16"/>
                <w:szCs w:val="16"/>
              </w:rPr>
              <w:t xml:space="preserve">Adopt </w:t>
            </w:r>
          </w:p>
        </w:tc>
        <w:tc>
          <w:tcPr>
            <w:tcW w:w="2340" w:type="dxa"/>
          </w:tcPr>
          <w:p w14:paraId="3A1ADDDD" w14:textId="77777777" w:rsidR="00FC5566" w:rsidRPr="00FC5566" w:rsidRDefault="00FC5566" w:rsidP="00FC5566">
            <w:pPr>
              <w:widowControl w:val="0"/>
              <w:autoSpaceDE w:val="0"/>
              <w:autoSpaceDN w:val="0"/>
              <w:ind w:left="107" w:right="46"/>
              <w:rPr>
                <w:sz w:val="16"/>
                <w:szCs w:val="16"/>
              </w:rPr>
            </w:pPr>
            <w:r w:rsidRPr="00FC5566">
              <w:rPr>
                <w:sz w:val="16"/>
                <w:szCs w:val="16"/>
              </w:rPr>
              <w:t>Item (5)</w:t>
            </w:r>
          </w:p>
        </w:tc>
        <w:tc>
          <w:tcPr>
            <w:tcW w:w="7063" w:type="dxa"/>
          </w:tcPr>
          <w:p w14:paraId="33BE3E0E" w14:textId="77777777" w:rsidR="00FC5566" w:rsidRPr="00FC5566" w:rsidRDefault="00FC5566" w:rsidP="00FC5566">
            <w:pPr>
              <w:widowControl w:val="0"/>
              <w:autoSpaceDE w:val="0"/>
              <w:autoSpaceDN w:val="0"/>
              <w:ind w:left="108" w:right="88"/>
              <w:rPr>
                <w:sz w:val="16"/>
                <w:szCs w:val="16"/>
              </w:rPr>
            </w:pPr>
            <w:r w:rsidRPr="00FC5566">
              <w:rPr>
                <w:sz w:val="16"/>
                <w:szCs w:val="16"/>
              </w:rPr>
              <w:t xml:space="preserve">5. Electric ranges, ovens and cooktops shall be permitted to omit ground-fault circuit-interrupter protection provided the receptacle supplying those appliances is located greater than 1.8 m (6 ft) from the outside edge of a sink.  </w:t>
            </w:r>
          </w:p>
        </w:tc>
      </w:tr>
      <w:tr w:rsidR="00FC5566" w:rsidRPr="00FC5566" w14:paraId="5BE507ED" w14:textId="77777777" w:rsidTr="00B247D5">
        <w:trPr>
          <w:trHeight w:val="551"/>
        </w:trPr>
        <w:tc>
          <w:tcPr>
            <w:tcW w:w="1127" w:type="dxa"/>
            <w:gridSpan w:val="2"/>
          </w:tcPr>
          <w:p w14:paraId="79E3597A" w14:textId="77777777" w:rsidR="00FC5566" w:rsidRPr="00FC5566" w:rsidRDefault="00FC5566" w:rsidP="00FC5566">
            <w:pPr>
              <w:widowControl w:val="0"/>
              <w:autoSpaceDE w:val="0"/>
              <w:autoSpaceDN w:val="0"/>
              <w:jc w:val="center"/>
              <w:rPr>
                <w:sz w:val="16"/>
                <w:szCs w:val="16"/>
              </w:rPr>
            </w:pPr>
            <w:r w:rsidRPr="00FC5566">
              <w:rPr>
                <w:spacing w:val="-2"/>
                <w:sz w:val="16"/>
                <w:szCs w:val="16"/>
              </w:rPr>
              <w:t>Amend</w:t>
            </w:r>
          </w:p>
        </w:tc>
        <w:tc>
          <w:tcPr>
            <w:tcW w:w="2340" w:type="dxa"/>
          </w:tcPr>
          <w:p w14:paraId="21ECA8EA" w14:textId="77777777" w:rsidR="00FC5566" w:rsidRPr="00FC5566" w:rsidRDefault="00FC5566" w:rsidP="00FC5566">
            <w:pPr>
              <w:widowControl w:val="0"/>
              <w:autoSpaceDE w:val="0"/>
              <w:autoSpaceDN w:val="0"/>
              <w:ind w:left="107" w:right="46"/>
              <w:rPr>
                <w:sz w:val="16"/>
                <w:szCs w:val="16"/>
              </w:rPr>
            </w:pPr>
            <w:r w:rsidRPr="00FC5566">
              <w:rPr>
                <w:sz w:val="16"/>
                <w:szCs w:val="16"/>
              </w:rPr>
              <w:t>Article</w:t>
            </w:r>
            <w:r w:rsidRPr="00FC5566">
              <w:rPr>
                <w:spacing w:val="-12"/>
                <w:sz w:val="16"/>
                <w:szCs w:val="16"/>
              </w:rPr>
              <w:t xml:space="preserve"> </w:t>
            </w:r>
            <w:r w:rsidRPr="00FC5566">
              <w:rPr>
                <w:sz w:val="16"/>
                <w:szCs w:val="16"/>
              </w:rPr>
              <w:t>210.8,</w:t>
            </w:r>
            <w:r w:rsidRPr="00FC5566">
              <w:rPr>
                <w:spacing w:val="-8"/>
                <w:sz w:val="16"/>
                <w:szCs w:val="16"/>
              </w:rPr>
              <w:t xml:space="preserve"> </w:t>
            </w:r>
            <w:r w:rsidRPr="00FC5566">
              <w:rPr>
                <w:sz w:val="16"/>
                <w:szCs w:val="16"/>
              </w:rPr>
              <w:t>Ground-</w:t>
            </w:r>
            <w:r w:rsidRPr="00FC5566">
              <w:rPr>
                <w:spacing w:val="-4"/>
                <w:sz w:val="16"/>
                <w:szCs w:val="16"/>
              </w:rPr>
              <w:t>Fault</w:t>
            </w:r>
          </w:p>
          <w:p w14:paraId="0F18DBC6" w14:textId="77777777" w:rsidR="00FC5566" w:rsidRPr="00FC5566" w:rsidRDefault="00FC5566" w:rsidP="00FC5566">
            <w:pPr>
              <w:widowControl w:val="0"/>
              <w:autoSpaceDE w:val="0"/>
              <w:autoSpaceDN w:val="0"/>
              <w:ind w:left="107" w:right="46"/>
              <w:rPr>
                <w:sz w:val="16"/>
                <w:szCs w:val="16"/>
              </w:rPr>
            </w:pPr>
            <w:r w:rsidRPr="00FC5566">
              <w:rPr>
                <w:spacing w:val="-2"/>
                <w:sz w:val="16"/>
                <w:szCs w:val="16"/>
              </w:rPr>
              <w:t>Circuit-Interrupter</w:t>
            </w:r>
            <w:r w:rsidRPr="00FC5566">
              <w:rPr>
                <w:spacing w:val="40"/>
                <w:sz w:val="16"/>
                <w:szCs w:val="16"/>
              </w:rPr>
              <w:t xml:space="preserve"> </w:t>
            </w:r>
            <w:r w:rsidRPr="00FC5566">
              <w:rPr>
                <w:sz w:val="16"/>
                <w:szCs w:val="16"/>
              </w:rPr>
              <w:t>Protection</w:t>
            </w:r>
            <w:r w:rsidRPr="00FC5566">
              <w:rPr>
                <w:spacing w:val="-10"/>
                <w:sz w:val="16"/>
                <w:szCs w:val="16"/>
              </w:rPr>
              <w:t xml:space="preserve"> </w:t>
            </w:r>
            <w:r w:rsidRPr="00FC5566">
              <w:rPr>
                <w:sz w:val="16"/>
                <w:szCs w:val="16"/>
              </w:rPr>
              <w:t>for</w:t>
            </w:r>
            <w:r w:rsidRPr="00FC5566">
              <w:rPr>
                <w:spacing w:val="-10"/>
                <w:sz w:val="16"/>
                <w:szCs w:val="16"/>
              </w:rPr>
              <w:t xml:space="preserve"> </w:t>
            </w:r>
            <w:r w:rsidRPr="00FC5566">
              <w:rPr>
                <w:sz w:val="16"/>
                <w:szCs w:val="16"/>
              </w:rPr>
              <w:t>Personnel.</w:t>
            </w:r>
          </w:p>
        </w:tc>
        <w:tc>
          <w:tcPr>
            <w:tcW w:w="7063" w:type="dxa"/>
          </w:tcPr>
          <w:p w14:paraId="47B3E856" w14:textId="77777777" w:rsidR="00FC5566" w:rsidRPr="00FC5566" w:rsidRDefault="00FC5566" w:rsidP="00FC5566">
            <w:pPr>
              <w:widowControl w:val="0"/>
              <w:autoSpaceDE w:val="0"/>
              <w:autoSpaceDN w:val="0"/>
              <w:ind w:left="108" w:right="88"/>
              <w:rPr>
                <w:sz w:val="16"/>
                <w:szCs w:val="16"/>
                <w:highlight w:val="yellow"/>
              </w:rPr>
            </w:pPr>
          </w:p>
        </w:tc>
      </w:tr>
      <w:tr w:rsidR="00FC5566" w:rsidRPr="00FC5566" w14:paraId="6C5BBFBC" w14:textId="77777777" w:rsidTr="00B247D5">
        <w:trPr>
          <w:trHeight w:val="551"/>
        </w:trPr>
        <w:tc>
          <w:tcPr>
            <w:tcW w:w="1127" w:type="dxa"/>
            <w:gridSpan w:val="2"/>
          </w:tcPr>
          <w:p w14:paraId="7C6E0362" w14:textId="77777777" w:rsidR="00FC5566" w:rsidRPr="00FC5566" w:rsidRDefault="00FC5566" w:rsidP="00FC5566">
            <w:pPr>
              <w:widowControl w:val="0"/>
              <w:autoSpaceDE w:val="0"/>
              <w:autoSpaceDN w:val="0"/>
              <w:jc w:val="center"/>
              <w:rPr>
                <w:sz w:val="16"/>
                <w:szCs w:val="16"/>
              </w:rPr>
            </w:pPr>
            <w:r w:rsidRPr="00FC5566">
              <w:rPr>
                <w:sz w:val="16"/>
                <w:szCs w:val="16"/>
              </w:rPr>
              <w:t>Amend</w:t>
            </w:r>
          </w:p>
        </w:tc>
        <w:tc>
          <w:tcPr>
            <w:tcW w:w="2340" w:type="dxa"/>
          </w:tcPr>
          <w:p w14:paraId="2384C336" w14:textId="77777777" w:rsidR="00FC5566" w:rsidRPr="00FC5566" w:rsidRDefault="00FC5566" w:rsidP="00FC5566">
            <w:pPr>
              <w:widowControl w:val="0"/>
              <w:autoSpaceDE w:val="0"/>
              <w:autoSpaceDN w:val="0"/>
              <w:ind w:left="107" w:right="46"/>
              <w:rPr>
                <w:sz w:val="16"/>
                <w:szCs w:val="16"/>
                <w:highlight w:val="yellow"/>
              </w:rPr>
            </w:pPr>
            <w:r w:rsidRPr="00FC5566">
              <w:rPr>
                <w:sz w:val="16"/>
                <w:szCs w:val="16"/>
              </w:rPr>
              <w:t>Item (B), Other Than Dwelling Units</w:t>
            </w:r>
          </w:p>
        </w:tc>
        <w:tc>
          <w:tcPr>
            <w:tcW w:w="7063" w:type="dxa"/>
          </w:tcPr>
          <w:p w14:paraId="3741A4CB" w14:textId="77777777" w:rsidR="00FC5566" w:rsidRPr="00FC5566" w:rsidRDefault="00FC5566" w:rsidP="00FC5566">
            <w:pPr>
              <w:widowControl w:val="0"/>
              <w:autoSpaceDE w:val="0"/>
              <w:autoSpaceDN w:val="0"/>
              <w:ind w:left="108" w:right="88"/>
              <w:rPr>
                <w:sz w:val="16"/>
                <w:szCs w:val="16"/>
                <w:highlight w:val="yellow"/>
              </w:rPr>
            </w:pPr>
          </w:p>
        </w:tc>
      </w:tr>
      <w:tr w:rsidR="00FC5566" w:rsidRPr="00FC5566" w14:paraId="192077C0" w14:textId="77777777" w:rsidTr="00B247D5">
        <w:trPr>
          <w:trHeight w:val="259"/>
        </w:trPr>
        <w:tc>
          <w:tcPr>
            <w:tcW w:w="1127" w:type="dxa"/>
            <w:gridSpan w:val="2"/>
          </w:tcPr>
          <w:p w14:paraId="16D76DC9" w14:textId="77777777" w:rsidR="00FC5566" w:rsidRPr="00FC5566" w:rsidRDefault="00FC5566" w:rsidP="00FC5566">
            <w:pPr>
              <w:widowControl w:val="0"/>
              <w:autoSpaceDE w:val="0"/>
              <w:autoSpaceDN w:val="0"/>
              <w:jc w:val="center"/>
              <w:rPr>
                <w:sz w:val="16"/>
                <w:szCs w:val="16"/>
              </w:rPr>
            </w:pPr>
            <w:r w:rsidRPr="00FC5566">
              <w:rPr>
                <w:sz w:val="16"/>
                <w:szCs w:val="16"/>
              </w:rPr>
              <w:t>Amend</w:t>
            </w:r>
          </w:p>
        </w:tc>
        <w:tc>
          <w:tcPr>
            <w:tcW w:w="2340" w:type="dxa"/>
          </w:tcPr>
          <w:p w14:paraId="619B6D71" w14:textId="77777777" w:rsidR="00FC5566" w:rsidRPr="00FC5566" w:rsidRDefault="00FC5566" w:rsidP="00FC5566">
            <w:pPr>
              <w:widowControl w:val="0"/>
              <w:autoSpaceDE w:val="0"/>
              <w:autoSpaceDN w:val="0"/>
              <w:ind w:left="107" w:right="46"/>
              <w:rPr>
                <w:sz w:val="16"/>
                <w:szCs w:val="16"/>
              </w:rPr>
            </w:pPr>
            <w:r w:rsidRPr="00FC5566">
              <w:rPr>
                <w:sz w:val="16"/>
                <w:szCs w:val="16"/>
              </w:rPr>
              <w:t>Exceptions</w:t>
            </w:r>
          </w:p>
        </w:tc>
        <w:tc>
          <w:tcPr>
            <w:tcW w:w="7063" w:type="dxa"/>
          </w:tcPr>
          <w:p w14:paraId="22C27573" w14:textId="77777777" w:rsidR="00FC5566" w:rsidRPr="00FC5566" w:rsidRDefault="00FC5566" w:rsidP="00FC5566">
            <w:pPr>
              <w:widowControl w:val="0"/>
              <w:autoSpaceDE w:val="0"/>
              <w:autoSpaceDN w:val="0"/>
              <w:ind w:left="108" w:right="88"/>
              <w:rPr>
                <w:sz w:val="16"/>
                <w:szCs w:val="16"/>
              </w:rPr>
            </w:pPr>
          </w:p>
        </w:tc>
      </w:tr>
      <w:tr w:rsidR="00FC5566" w:rsidRPr="00FC5566" w14:paraId="086E3BAB" w14:textId="77777777" w:rsidTr="00B247D5">
        <w:trPr>
          <w:trHeight w:val="184"/>
        </w:trPr>
        <w:tc>
          <w:tcPr>
            <w:tcW w:w="1127" w:type="dxa"/>
            <w:gridSpan w:val="2"/>
          </w:tcPr>
          <w:p w14:paraId="0D9EB25B" w14:textId="77777777" w:rsidR="00FC5566" w:rsidRPr="00FC5566" w:rsidRDefault="00FC5566" w:rsidP="00FC5566">
            <w:pPr>
              <w:widowControl w:val="0"/>
              <w:autoSpaceDE w:val="0"/>
              <w:autoSpaceDN w:val="0"/>
              <w:jc w:val="center"/>
              <w:rPr>
                <w:sz w:val="16"/>
                <w:szCs w:val="16"/>
              </w:rPr>
            </w:pPr>
            <w:r w:rsidRPr="00FC5566">
              <w:rPr>
                <w:sz w:val="16"/>
                <w:szCs w:val="16"/>
              </w:rPr>
              <w:t xml:space="preserve">Adopt </w:t>
            </w:r>
          </w:p>
        </w:tc>
        <w:tc>
          <w:tcPr>
            <w:tcW w:w="2340" w:type="dxa"/>
          </w:tcPr>
          <w:p w14:paraId="1C2D09FA" w14:textId="77777777" w:rsidR="00FC5566" w:rsidRPr="00FC5566" w:rsidRDefault="00FC5566" w:rsidP="00FC5566">
            <w:pPr>
              <w:widowControl w:val="0"/>
              <w:autoSpaceDE w:val="0"/>
              <w:autoSpaceDN w:val="0"/>
              <w:ind w:left="107" w:right="46"/>
              <w:rPr>
                <w:sz w:val="16"/>
                <w:szCs w:val="16"/>
              </w:rPr>
            </w:pPr>
            <w:r w:rsidRPr="00FC5566">
              <w:rPr>
                <w:sz w:val="16"/>
                <w:szCs w:val="16"/>
              </w:rPr>
              <w:t>Item (7)</w:t>
            </w:r>
          </w:p>
        </w:tc>
        <w:tc>
          <w:tcPr>
            <w:tcW w:w="7063" w:type="dxa"/>
          </w:tcPr>
          <w:p w14:paraId="06E48926" w14:textId="77777777" w:rsidR="00FC5566" w:rsidRPr="00FC5566" w:rsidRDefault="00FC5566" w:rsidP="00FC5566">
            <w:pPr>
              <w:widowControl w:val="0"/>
              <w:autoSpaceDE w:val="0"/>
              <w:autoSpaceDN w:val="0"/>
              <w:ind w:left="108" w:right="88"/>
              <w:rPr>
                <w:sz w:val="16"/>
                <w:szCs w:val="16"/>
              </w:rPr>
            </w:pPr>
            <w:r w:rsidRPr="00FC5566">
              <w:rPr>
                <w:sz w:val="16"/>
                <w:szCs w:val="16"/>
              </w:rPr>
              <w:t xml:space="preserve">7. Electric ranges, ovens and cooktops shall be permitted to omit ground-fault circuit-interrupter protection provided the receptacle supplying those appliances is located greater than 1.8 m (6 ft) from the outside edge of a sink.  </w:t>
            </w:r>
          </w:p>
        </w:tc>
      </w:tr>
      <w:tr w:rsidR="00FC5566" w:rsidRPr="00FC5566" w14:paraId="34029BF5" w14:textId="77777777" w:rsidTr="00B247D5">
        <w:trPr>
          <w:trHeight w:val="144"/>
        </w:trPr>
        <w:tc>
          <w:tcPr>
            <w:tcW w:w="1127" w:type="dxa"/>
            <w:gridSpan w:val="2"/>
          </w:tcPr>
          <w:p w14:paraId="07F3BFD4"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340" w:type="dxa"/>
          </w:tcPr>
          <w:p w14:paraId="2D12DE0A" w14:textId="77777777" w:rsidR="00FC5566" w:rsidRPr="00FC5566" w:rsidRDefault="00FC5566" w:rsidP="00FC5566">
            <w:pPr>
              <w:widowControl w:val="0"/>
              <w:autoSpaceDE w:val="0"/>
              <w:autoSpaceDN w:val="0"/>
              <w:ind w:left="107" w:right="46"/>
              <w:rPr>
                <w:sz w:val="16"/>
                <w:szCs w:val="16"/>
              </w:rPr>
            </w:pPr>
            <w:r w:rsidRPr="00FC5566">
              <w:rPr>
                <w:sz w:val="16"/>
                <w:szCs w:val="16"/>
              </w:rPr>
              <w:t>Article</w:t>
            </w:r>
            <w:r w:rsidRPr="00FC5566">
              <w:rPr>
                <w:spacing w:val="-12"/>
                <w:sz w:val="16"/>
                <w:szCs w:val="16"/>
              </w:rPr>
              <w:t xml:space="preserve"> </w:t>
            </w:r>
            <w:r w:rsidRPr="00FC5566">
              <w:rPr>
                <w:sz w:val="16"/>
                <w:szCs w:val="16"/>
              </w:rPr>
              <w:t>210.8,</w:t>
            </w:r>
            <w:r w:rsidRPr="00FC5566">
              <w:rPr>
                <w:spacing w:val="-8"/>
                <w:sz w:val="16"/>
                <w:szCs w:val="16"/>
              </w:rPr>
              <w:t xml:space="preserve"> </w:t>
            </w:r>
            <w:r w:rsidRPr="00FC5566">
              <w:rPr>
                <w:sz w:val="16"/>
                <w:szCs w:val="16"/>
              </w:rPr>
              <w:t>Ground-</w:t>
            </w:r>
            <w:r w:rsidRPr="00FC5566">
              <w:rPr>
                <w:spacing w:val="-4"/>
                <w:sz w:val="16"/>
                <w:szCs w:val="16"/>
              </w:rPr>
              <w:t>Fault</w:t>
            </w:r>
          </w:p>
          <w:p w14:paraId="47DCFE0C" w14:textId="77777777" w:rsidR="00FC5566" w:rsidRPr="00FC5566" w:rsidRDefault="00FC5566" w:rsidP="00FC5566">
            <w:pPr>
              <w:widowControl w:val="0"/>
              <w:autoSpaceDE w:val="0"/>
              <w:autoSpaceDN w:val="0"/>
              <w:ind w:left="107" w:right="46"/>
              <w:rPr>
                <w:sz w:val="16"/>
                <w:szCs w:val="16"/>
              </w:rPr>
            </w:pPr>
            <w:r w:rsidRPr="00FC5566">
              <w:rPr>
                <w:spacing w:val="-2"/>
                <w:sz w:val="16"/>
                <w:szCs w:val="16"/>
              </w:rPr>
              <w:t>Circuit-Interrupter</w:t>
            </w:r>
            <w:r w:rsidRPr="00FC5566">
              <w:rPr>
                <w:spacing w:val="40"/>
                <w:sz w:val="16"/>
                <w:szCs w:val="16"/>
              </w:rPr>
              <w:t xml:space="preserve"> </w:t>
            </w:r>
            <w:r w:rsidRPr="00FC5566">
              <w:rPr>
                <w:sz w:val="16"/>
                <w:szCs w:val="16"/>
              </w:rPr>
              <w:t>Protection</w:t>
            </w:r>
            <w:r w:rsidRPr="00FC5566">
              <w:rPr>
                <w:spacing w:val="-10"/>
                <w:sz w:val="16"/>
                <w:szCs w:val="16"/>
              </w:rPr>
              <w:t xml:space="preserve"> </w:t>
            </w:r>
            <w:r w:rsidRPr="00FC5566">
              <w:rPr>
                <w:sz w:val="16"/>
                <w:szCs w:val="16"/>
              </w:rPr>
              <w:t>for</w:t>
            </w:r>
            <w:r w:rsidRPr="00FC5566">
              <w:rPr>
                <w:spacing w:val="-10"/>
                <w:sz w:val="16"/>
                <w:szCs w:val="16"/>
              </w:rPr>
              <w:t xml:space="preserve"> </w:t>
            </w:r>
            <w:r w:rsidRPr="00FC5566">
              <w:rPr>
                <w:sz w:val="16"/>
                <w:szCs w:val="16"/>
              </w:rPr>
              <w:t>Personnel.</w:t>
            </w:r>
          </w:p>
        </w:tc>
        <w:tc>
          <w:tcPr>
            <w:tcW w:w="7063" w:type="dxa"/>
          </w:tcPr>
          <w:p w14:paraId="040AF917" w14:textId="77777777" w:rsidR="00FC5566" w:rsidRPr="00FC5566" w:rsidRDefault="00FC5566" w:rsidP="00FC5566">
            <w:pPr>
              <w:widowControl w:val="0"/>
              <w:autoSpaceDE w:val="0"/>
              <w:autoSpaceDN w:val="0"/>
              <w:ind w:left="108" w:right="88"/>
              <w:rPr>
                <w:sz w:val="16"/>
                <w:szCs w:val="16"/>
                <w:highlight w:val="yellow"/>
              </w:rPr>
            </w:pPr>
          </w:p>
        </w:tc>
      </w:tr>
      <w:tr w:rsidR="00FC5566" w:rsidRPr="00FC5566" w14:paraId="434D0821" w14:textId="77777777" w:rsidTr="00B247D5">
        <w:trPr>
          <w:trHeight w:val="259"/>
        </w:trPr>
        <w:tc>
          <w:tcPr>
            <w:tcW w:w="1127" w:type="dxa"/>
            <w:gridSpan w:val="2"/>
          </w:tcPr>
          <w:p w14:paraId="6325CD1C" w14:textId="77777777" w:rsidR="00FC5566" w:rsidRPr="00FC5566" w:rsidRDefault="00FC5566" w:rsidP="00FC5566">
            <w:pPr>
              <w:widowControl w:val="0"/>
              <w:autoSpaceDE w:val="0"/>
              <w:autoSpaceDN w:val="0"/>
              <w:jc w:val="center"/>
              <w:rPr>
                <w:sz w:val="16"/>
                <w:szCs w:val="16"/>
                <w:highlight w:val="yellow"/>
              </w:rPr>
            </w:pPr>
            <w:r w:rsidRPr="00FC5566">
              <w:rPr>
                <w:spacing w:val="-2"/>
                <w:sz w:val="16"/>
                <w:szCs w:val="16"/>
              </w:rPr>
              <w:t>Amend</w:t>
            </w:r>
          </w:p>
        </w:tc>
        <w:tc>
          <w:tcPr>
            <w:tcW w:w="2340" w:type="dxa"/>
          </w:tcPr>
          <w:p w14:paraId="3C3A9379" w14:textId="77777777" w:rsidR="00FC5566" w:rsidRPr="00FC5566" w:rsidRDefault="00FC5566" w:rsidP="00FC5566">
            <w:pPr>
              <w:widowControl w:val="0"/>
              <w:autoSpaceDE w:val="0"/>
              <w:autoSpaceDN w:val="0"/>
              <w:ind w:left="107" w:right="46"/>
              <w:rPr>
                <w:sz w:val="16"/>
                <w:szCs w:val="16"/>
                <w:highlight w:val="yellow"/>
              </w:rPr>
            </w:pPr>
            <w:r w:rsidRPr="00FC5566">
              <w:rPr>
                <w:sz w:val="16"/>
                <w:szCs w:val="16"/>
              </w:rPr>
              <w:t>Item</w:t>
            </w:r>
            <w:r w:rsidRPr="00FC5566">
              <w:rPr>
                <w:spacing w:val="-5"/>
                <w:sz w:val="16"/>
                <w:szCs w:val="16"/>
              </w:rPr>
              <w:t xml:space="preserve"> </w:t>
            </w:r>
            <w:r w:rsidRPr="00FC5566">
              <w:rPr>
                <w:sz w:val="16"/>
                <w:szCs w:val="16"/>
              </w:rPr>
              <w:t>(D), Specific Appliances.</w:t>
            </w:r>
          </w:p>
        </w:tc>
        <w:tc>
          <w:tcPr>
            <w:tcW w:w="7063" w:type="dxa"/>
          </w:tcPr>
          <w:p w14:paraId="2E385CCE" w14:textId="77777777" w:rsidR="00FC5566" w:rsidRPr="00FC5566" w:rsidRDefault="00FC5566" w:rsidP="00FC5566">
            <w:pPr>
              <w:widowControl w:val="0"/>
              <w:autoSpaceDE w:val="0"/>
              <w:autoSpaceDN w:val="0"/>
              <w:ind w:left="108" w:right="88"/>
              <w:rPr>
                <w:sz w:val="16"/>
                <w:szCs w:val="16"/>
                <w:highlight w:val="yellow"/>
              </w:rPr>
            </w:pPr>
          </w:p>
        </w:tc>
      </w:tr>
      <w:tr w:rsidR="00FC5566" w:rsidRPr="00FC5566" w14:paraId="62D05359" w14:textId="77777777" w:rsidTr="00B247D5">
        <w:trPr>
          <w:trHeight w:val="259"/>
        </w:trPr>
        <w:tc>
          <w:tcPr>
            <w:tcW w:w="1127" w:type="dxa"/>
            <w:gridSpan w:val="2"/>
          </w:tcPr>
          <w:p w14:paraId="7D3DA3CA" w14:textId="77777777" w:rsidR="00FC5566" w:rsidRPr="00FC5566" w:rsidRDefault="00FC5566" w:rsidP="00FC5566">
            <w:pPr>
              <w:widowControl w:val="0"/>
              <w:autoSpaceDE w:val="0"/>
              <w:autoSpaceDN w:val="0"/>
              <w:jc w:val="center"/>
              <w:rPr>
                <w:spacing w:val="-2"/>
                <w:sz w:val="16"/>
                <w:szCs w:val="16"/>
              </w:rPr>
            </w:pPr>
            <w:r w:rsidRPr="00FC5566">
              <w:rPr>
                <w:sz w:val="16"/>
                <w:szCs w:val="16"/>
              </w:rPr>
              <w:t>Adopt</w:t>
            </w:r>
          </w:p>
        </w:tc>
        <w:tc>
          <w:tcPr>
            <w:tcW w:w="2340" w:type="dxa"/>
          </w:tcPr>
          <w:p w14:paraId="40C1795D" w14:textId="77777777" w:rsidR="00FC5566" w:rsidRPr="00FC5566" w:rsidRDefault="00FC5566" w:rsidP="00FC5566">
            <w:pPr>
              <w:widowControl w:val="0"/>
              <w:autoSpaceDE w:val="0"/>
              <w:autoSpaceDN w:val="0"/>
              <w:ind w:left="107" w:right="46"/>
              <w:rPr>
                <w:sz w:val="16"/>
                <w:szCs w:val="16"/>
              </w:rPr>
            </w:pPr>
            <w:r w:rsidRPr="00FC5566">
              <w:rPr>
                <w:sz w:val="16"/>
                <w:szCs w:val="16"/>
              </w:rPr>
              <w:t xml:space="preserve">Exception </w:t>
            </w:r>
          </w:p>
        </w:tc>
        <w:tc>
          <w:tcPr>
            <w:tcW w:w="7063" w:type="dxa"/>
          </w:tcPr>
          <w:p w14:paraId="5959BDB9" w14:textId="77777777" w:rsidR="00FC5566" w:rsidRPr="00FC5566" w:rsidRDefault="00FC5566" w:rsidP="00FC5566">
            <w:pPr>
              <w:widowControl w:val="0"/>
              <w:autoSpaceDE w:val="0"/>
              <w:autoSpaceDN w:val="0"/>
              <w:ind w:left="108" w:right="88"/>
              <w:rPr>
                <w:sz w:val="16"/>
                <w:szCs w:val="16"/>
                <w:highlight w:val="yellow"/>
              </w:rPr>
            </w:pPr>
          </w:p>
        </w:tc>
      </w:tr>
      <w:tr w:rsidR="00FC5566" w:rsidRPr="00FC5566" w14:paraId="4963CC41" w14:textId="77777777" w:rsidTr="00B247D5">
        <w:trPr>
          <w:trHeight w:val="184"/>
        </w:trPr>
        <w:tc>
          <w:tcPr>
            <w:tcW w:w="1127" w:type="dxa"/>
            <w:gridSpan w:val="2"/>
          </w:tcPr>
          <w:p w14:paraId="6D1A61CF" w14:textId="77777777" w:rsidR="00FC5566" w:rsidRPr="00FC5566" w:rsidRDefault="00FC5566" w:rsidP="00FC5566">
            <w:pPr>
              <w:widowControl w:val="0"/>
              <w:autoSpaceDE w:val="0"/>
              <w:autoSpaceDN w:val="0"/>
              <w:jc w:val="center"/>
              <w:rPr>
                <w:sz w:val="16"/>
                <w:szCs w:val="16"/>
              </w:rPr>
            </w:pPr>
            <w:r w:rsidRPr="00FC5566">
              <w:rPr>
                <w:sz w:val="16"/>
                <w:szCs w:val="16"/>
              </w:rPr>
              <w:t xml:space="preserve">Adopt </w:t>
            </w:r>
          </w:p>
        </w:tc>
        <w:tc>
          <w:tcPr>
            <w:tcW w:w="2340" w:type="dxa"/>
          </w:tcPr>
          <w:p w14:paraId="2827324B" w14:textId="77777777" w:rsidR="00FC5566" w:rsidRPr="00FC5566" w:rsidRDefault="00FC5566" w:rsidP="00FC5566">
            <w:pPr>
              <w:widowControl w:val="0"/>
              <w:autoSpaceDE w:val="0"/>
              <w:autoSpaceDN w:val="0"/>
              <w:ind w:left="107" w:right="46"/>
              <w:rPr>
                <w:sz w:val="16"/>
                <w:szCs w:val="16"/>
              </w:rPr>
            </w:pPr>
            <w:r w:rsidRPr="00FC5566">
              <w:rPr>
                <w:sz w:val="16"/>
                <w:szCs w:val="16"/>
              </w:rPr>
              <w:t>Item (1)</w:t>
            </w:r>
          </w:p>
        </w:tc>
        <w:tc>
          <w:tcPr>
            <w:tcW w:w="7063" w:type="dxa"/>
          </w:tcPr>
          <w:p w14:paraId="02C136E6" w14:textId="77777777" w:rsidR="00FC5566" w:rsidRPr="00FC5566" w:rsidRDefault="00FC5566" w:rsidP="00FC5566">
            <w:pPr>
              <w:widowControl w:val="0"/>
              <w:autoSpaceDE w:val="0"/>
              <w:autoSpaceDN w:val="0"/>
              <w:ind w:left="108" w:right="88"/>
              <w:rPr>
                <w:sz w:val="16"/>
                <w:szCs w:val="16"/>
              </w:rPr>
            </w:pPr>
            <w:r w:rsidRPr="00FC5566">
              <w:rPr>
                <w:sz w:val="16"/>
                <w:szCs w:val="16"/>
              </w:rPr>
              <w:t xml:space="preserve">1. Electric ranges, ovens and cooktops shall be permitted to omit ground-fault circuit-interrupter protection provided the receptacle supplying those appliances is located greater than 1.8 m (6 ft) from the outside edge of a sink.  </w:t>
            </w:r>
          </w:p>
        </w:tc>
      </w:tr>
      <w:tr w:rsidR="00FC5566" w:rsidRPr="00FC5566" w14:paraId="5F805CA3" w14:textId="77777777" w:rsidTr="00B247D5">
        <w:trPr>
          <w:trHeight w:val="144"/>
        </w:trPr>
        <w:tc>
          <w:tcPr>
            <w:tcW w:w="1127" w:type="dxa"/>
            <w:gridSpan w:val="2"/>
          </w:tcPr>
          <w:p w14:paraId="149FA406"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340" w:type="dxa"/>
          </w:tcPr>
          <w:p w14:paraId="4B642C75" w14:textId="77777777" w:rsidR="00FC5566" w:rsidRPr="00FC5566" w:rsidRDefault="00FC5566" w:rsidP="00FC5566">
            <w:pPr>
              <w:widowControl w:val="0"/>
              <w:autoSpaceDE w:val="0"/>
              <w:autoSpaceDN w:val="0"/>
              <w:ind w:left="107" w:right="46"/>
              <w:rPr>
                <w:sz w:val="16"/>
                <w:szCs w:val="16"/>
              </w:rPr>
            </w:pPr>
            <w:r w:rsidRPr="00FC5566">
              <w:rPr>
                <w:sz w:val="16"/>
                <w:szCs w:val="16"/>
              </w:rPr>
              <w:t>Article</w:t>
            </w:r>
            <w:r w:rsidRPr="00FC5566">
              <w:rPr>
                <w:spacing w:val="-12"/>
                <w:sz w:val="16"/>
                <w:szCs w:val="16"/>
              </w:rPr>
              <w:t xml:space="preserve"> </w:t>
            </w:r>
            <w:r w:rsidRPr="00FC5566">
              <w:rPr>
                <w:sz w:val="16"/>
                <w:szCs w:val="16"/>
              </w:rPr>
              <w:t>210.8,</w:t>
            </w:r>
            <w:r w:rsidRPr="00FC5566">
              <w:rPr>
                <w:spacing w:val="-8"/>
                <w:sz w:val="16"/>
                <w:szCs w:val="16"/>
              </w:rPr>
              <w:t xml:space="preserve"> </w:t>
            </w:r>
            <w:r w:rsidRPr="00FC5566">
              <w:rPr>
                <w:sz w:val="16"/>
                <w:szCs w:val="16"/>
              </w:rPr>
              <w:t>Ground-</w:t>
            </w:r>
            <w:r w:rsidRPr="00FC5566">
              <w:rPr>
                <w:spacing w:val="-4"/>
                <w:sz w:val="16"/>
                <w:szCs w:val="16"/>
              </w:rPr>
              <w:t>Fault</w:t>
            </w:r>
          </w:p>
          <w:p w14:paraId="5D0A59C5" w14:textId="77777777" w:rsidR="00FC5566" w:rsidRPr="00FC5566" w:rsidRDefault="00FC5566" w:rsidP="00FC5566">
            <w:pPr>
              <w:widowControl w:val="0"/>
              <w:autoSpaceDE w:val="0"/>
              <w:autoSpaceDN w:val="0"/>
              <w:ind w:left="107" w:right="46"/>
              <w:rPr>
                <w:sz w:val="16"/>
                <w:szCs w:val="16"/>
              </w:rPr>
            </w:pPr>
            <w:r w:rsidRPr="00FC5566">
              <w:rPr>
                <w:spacing w:val="-2"/>
                <w:sz w:val="16"/>
                <w:szCs w:val="16"/>
              </w:rPr>
              <w:t>Circuit-Interrupter</w:t>
            </w:r>
            <w:r w:rsidRPr="00FC5566">
              <w:rPr>
                <w:spacing w:val="40"/>
                <w:sz w:val="16"/>
                <w:szCs w:val="16"/>
              </w:rPr>
              <w:t xml:space="preserve"> </w:t>
            </w:r>
            <w:r w:rsidRPr="00FC5566">
              <w:rPr>
                <w:sz w:val="16"/>
                <w:szCs w:val="16"/>
              </w:rPr>
              <w:t>Protection</w:t>
            </w:r>
            <w:r w:rsidRPr="00FC5566">
              <w:rPr>
                <w:spacing w:val="-10"/>
                <w:sz w:val="16"/>
                <w:szCs w:val="16"/>
              </w:rPr>
              <w:t xml:space="preserve"> </w:t>
            </w:r>
            <w:r w:rsidRPr="00FC5566">
              <w:rPr>
                <w:sz w:val="16"/>
                <w:szCs w:val="16"/>
              </w:rPr>
              <w:t>for</w:t>
            </w:r>
            <w:r w:rsidRPr="00FC5566">
              <w:rPr>
                <w:spacing w:val="-10"/>
                <w:sz w:val="16"/>
                <w:szCs w:val="16"/>
              </w:rPr>
              <w:t xml:space="preserve"> </w:t>
            </w:r>
            <w:r w:rsidRPr="00FC5566">
              <w:rPr>
                <w:sz w:val="16"/>
                <w:szCs w:val="16"/>
              </w:rPr>
              <w:t>Personnel.</w:t>
            </w:r>
          </w:p>
        </w:tc>
        <w:tc>
          <w:tcPr>
            <w:tcW w:w="7063" w:type="dxa"/>
          </w:tcPr>
          <w:p w14:paraId="7122CF87" w14:textId="77777777" w:rsidR="00FC5566" w:rsidRPr="00FC5566" w:rsidRDefault="00FC5566" w:rsidP="00FC5566">
            <w:pPr>
              <w:widowControl w:val="0"/>
              <w:autoSpaceDE w:val="0"/>
              <w:autoSpaceDN w:val="0"/>
              <w:ind w:left="108" w:right="88"/>
              <w:rPr>
                <w:sz w:val="16"/>
                <w:szCs w:val="16"/>
              </w:rPr>
            </w:pPr>
          </w:p>
        </w:tc>
      </w:tr>
      <w:tr w:rsidR="00FC5566" w:rsidRPr="00FC5566" w14:paraId="7E43F56A" w14:textId="77777777" w:rsidTr="00B247D5">
        <w:trPr>
          <w:trHeight w:val="259"/>
        </w:trPr>
        <w:tc>
          <w:tcPr>
            <w:tcW w:w="1127" w:type="dxa"/>
            <w:gridSpan w:val="2"/>
          </w:tcPr>
          <w:p w14:paraId="5A6EB6F3" w14:textId="77777777" w:rsidR="00FC5566" w:rsidRPr="00FC5566" w:rsidRDefault="00FC5566" w:rsidP="00FC5566">
            <w:pPr>
              <w:widowControl w:val="0"/>
              <w:autoSpaceDE w:val="0"/>
              <w:autoSpaceDN w:val="0"/>
              <w:jc w:val="center"/>
              <w:rPr>
                <w:sz w:val="16"/>
                <w:szCs w:val="16"/>
              </w:rPr>
            </w:pPr>
            <w:r w:rsidRPr="00FC5566">
              <w:rPr>
                <w:spacing w:val="-2"/>
                <w:sz w:val="16"/>
                <w:szCs w:val="16"/>
              </w:rPr>
              <w:t>Amend</w:t>
            </w:r>
          </w:p>
        </w:tc>
        <w:tc>
          <w:tcPr>
            <w:tcW w:w="2340" w:type="dxa"/>
          </w:tcPr>
          <w:p w14:paraId="646D6B08" w14:textId="77777777" w:rsidR="00FC5566" w:rsidRPr="00FC5566" w:rsidRDefault="00FC5566" w:rsidP="00FC5566">
            <w:pPr>
              <w:widowControl w:val="0"/>
              <w:autoSpaceDE w:val="0"/>
              <w:autoSpaceDN w:val="0"/>
              <w:ind w:left="107" w:right="46"/>
              <w:rPr>
                <w:sz w:val="16"/>
                <w:szCs w:val="16"/>
              </w:rPr>
            </w:pPr>
            <w:r w:rsidRPr="00FC5566">
              <w:rPr>
                <w:sz w:val="16"/>
                <w:szCs w:val="16"/>
              </w:rPr>
              <w:t>Item</w:t>
            </w:r>
            <w:r w:rsidRPr="00FC5566">
              <w:rPr>
                <w:spacing w:val="-5"/>
                <w:sz w:val="16"/>
                <w:szCs w:val="16"/>
              </w:rPr>
              <w:t xml:space="preserve"> </w:t>
            </w:r>
            <w:r w:rsidRPr="00FC5566">
              <w:rPr>
                <w:sz w:val="16"/>
                <w:szCs w:val="16"/>
              </w:rPr>
              <w:t>(F),</w:t>
            </w:r>
            <w:r w:rsidRPr="00FC5566">
              <w:rPr>
                <w:spacing w:val="-6"/>
                <w:sz w:val="16"/>
                <w:szCs w:val="16"/>
              </w:rPr>
              <w:t xml:space="preserve"> </w:t>
            </w:r>
            <w:r w:rsidRPr="00FC5566">
              <w:rPr>
                <w:sz w:val="16"/>
                <w:szCs w:val="16"/>
              </w:rPr>
              <w:t>Outdoor</w:t>
            </w:r>
            <w:r w:rsidRPr="00FC5566">
              <w:rPr>
                <w:spacing w:val="-5"/>
                <w:sz w:val="16"/>
                <w:szCs w:val="16"/>
              </w:rPr>
              <w:t xml:space="preserve"> </w:t>
            </w:r>
            <w:r w:rsidRPr="00FC5566">
              <w:rPr>
                <w:spacing w:val="-2"/>
                <w:sz w:val="16"/>
                <w:szCs w:val="16"/>
              </w:rPr>
              <w:t>Outlets.</w:t>
            </w:r>
          </w:p>
        </w:tc>
        <w:tc>
          <w:tcPr>
            <w:tcW w:w="7063" w:type="dxa"/>
          </w:tcPr>
          <w:p w14:paraId="54AFFB2E" w14:textId="77777777" w:rsidR="00FC5566" w:rsidRPr="00FC5566" w:rsidRDefault="00FC5566" w:rsidP="00FC5566">
            <w:pPr>
              <w:widowControl w:val="0"/>
              <w:autoSpaceDE w:val="0"/>
              <w:autoSpaceDN w:val="0"/>
              <w:ind w:left="108" w:right="88"/>
              <w:rPr>
                <w:sz w:val="16"/>
                <w:szCs w:val="16"/>
              </w:rPr>
            </w:pPr>
          </w:p>
        </w:tc>
      </w:tr>
      <w:tr w:rsidR="00FC5566" w:rsidRPr="00FC5566" w14:paraId="60BBB972" w14:textId="77777777" w:rsidTr="00B247D5">
        <w:trPr>
          <w:trHeight w:val="259"/>
        </w:trPr>
        <w:tc>
          <w:tcPr>
            <w:tcW w:w="1127" w:type="dxa"/>
            <w:gridSpan w:val="2"/>
          </w:tcPr>
          <w:p w14:paraId="102ADE52" w14:textId="77777777" w:rsidR="00FC5566" w:rsidRPr="00FC5566" w:rsidRDefault="00FC5566" w:rsidP="00FC5566">
            <w:pPr>
              <w:widowControl w:val="0"/>
              <w:autoSpaceDE w:val="0"/>
              <w:autoSpaceDN w:val="0"/>
              <w:jc w:val="center"/>
              <w:rPr>
                <w:sz w:val="16"/>
                <w:szCs w:val="16"/>
              </w:rPr>
            </w:pPr>
            <w:r w:rsidRPr="00FC5566">
              <w:rPr>
                <w:spacing w:val="-2"/>
                <w:sz w:val="16"/>
                <w:szCs w:val="16"/>
              </w:rPr>
              <w:t>Amend</w:t>
            </w:r>
          </w:p>
        </w:tc>
        <w:tc>
          <w:tcPr>
            <w:tcW w:w="2340" w:type="dxa"/>
          </w:tcPr>
          <w:p w14:paraId="579F982D" w14:textId="77777777" w:rsidR="00FC5566" w:rsidRPr="00FC5566" w:rsidRDefault="00FC5566" w:rsidP="00FC5566">
            <w:pPr>
              <w:widowControl w:val="0"/>
              <w:autoSpaceDE w:val="0"/>
              <w:autoSpaceDN w:val="0"/>
              <w:ind w:left="107" w:right="46"/>
              <w:rPr>
                <w:sz w:val="16"/>
                <w:szCs w:val="16"/>
              </w:rPr>
            </w:pPr>
            <w:r w:rsidRPr="00FC5566">
              <w:rPr>
                <w:spacing w:val="-2"/>
                <w:sz w:val="16"/>
                <w:szCs w:val="16"/>
              </w:rPr>
              <w:t>Exception</w:t>
            </w:r>
          </w:p>
        </w:tc>
        <w:tc>
          <w:tcPr>
            <w:tcW w:w="7063" w:type="dxa"/>
          </w:tcPr>
          <w:p w14:paraId="209DCC84" w14:textId="77777777" w:rsidR="00FC5566" w:rsidRPr="00FC5566" w:rsidRDefault="00FC5566" w:rsidP="00FC5566">
            <w:pPr>
              <w:widowControl w:val="0"/>
              <w:autoSpaceDE w:val="0"/>
              <w:autoSpaceDN w:val="0"/>
              <w:ind w:left="108" w:right="88"/>
              <w:rPr>
                <w:sz w:val="16"/>
                <w:szCs w:val="16"/>
              </w:rPr>
            </w:pPr>
          </w:p>
        </w:tc>
      </w:tr>
      <w:tr w:rsidR="00FC5566" w:rsidRPr="00FC5566" w14:paraId="4966232D" w14:textId="77777777" w:rsidTr="00B247D5">
        <w:trPr>
          <w:trHeight w:val="259"/>
        </w:trPr>
        <w:tc>
          <w:tcPr>
            <w:tcW w:w="1127" w:type="dxa"/>
            <w:gridSpan w:val="2"/>
          </w:tcPr>
          <w:p w14:paraId="1CC62DEC" w14:textId="77777777" w:rsidR="00FC5566" w:rsidRPr="00FC5566" w:rsidRDefault="00FC5566" w:rsidP="00FC5566">
            <w:pPr>
              <w:widowControl w:val="0"/>
              <w:autoSpaceDE w:val="0"/>
              <w:autoSpaceDN w:val="0"/>
              <w:jc w:val="center"/>
              <w:rPr>
                <w:sz w:val="16"/>
                <w:szCs w:val="16"/>
              </w:rPr>
            </w:pPr>
            <w:r w:rsidRPr="00FC5566">
              <w:rPr>
                <w:spacing w:val="-2"/>
                <w:sz w:val="16"/>
                <w:szCs w:val="16"/>
              </w:rPr>
              <w:lastRenderedPageBreak/>
              <w:t>Amend</w:t>
            </w:r>
          </w:p>
        </w:tc>
        <w:tc>
          <w:tcPr>
            <w:tcW w:w="2340" w:type="dxa"/>
          </w:tcPr>
          <w:p w14:paraId="79DC7299" w14:textId="77777777" w:rsidR="00FC5566" w:rsidRPr="00FC5566" w:rsidRDefault="00FC5566" w:rsidP="00FC5566">
            <w:pPr>
              <w:widowControl w:val="0"/>
              <w:autoSpaceDE w:val="0"/>
              <w:autoSpaceDN w:val="0"/>
              <w:ind w:left="107" w:right="46"/>
              <w:rPr>
                <w:sz w:val="16"/>
                <w:szCs w:val="16"/>
              </w:rPr>
            </w:pPr>
            <w:r w:rsidRPr="00FC5566">
              <w:rPr>
                <w:sz w:val="16"/>
                <w:szCs w:val="16"/>
              </w:rPr>
              <w:t>Item</w:t>
            </w:r>
            <w:r w:rsidRPr="00FC5566">
              <w:rPr>
                <w:spacing w:val="-6"/>
                <w:sz w:val="16"/>
                <w:szCs w:val="16"/>
              </w:rPr>
              <w:t xml:space="preserve"> </w:t>
            </w:r>
            <w:r w:rsidRPr="00FC5566">
              <w:rPr>
                <w:spacing w:val="-5"/>
                <w:sz w:val="16"/>
                <w:szCs w:val="16"/>
              </w:rPr>
              <w:t>(2)</w:t>
            </w:r>
          </w:p>
        </w:tc>
        <w:tc>
          <w:tcPr>
            <w:tcW w:w="7063" w:type="dxa"/>
          </w:tcPr>
          <w:p w14:paraId="19255CCF" w14:textId="77777777" w:rsidR="00FC5566" w:rsidRPr="00FC5566" w:rsidRDefault="00FC5566" w:rsidP="00FC5566">
            <w:pPr>
              <w:widowControl w:val="0"/>
              <w:autoSpaceDE w:val="0"/>
              <w:autoSpaceDN w:val="0"/>
              <w:ind w:left="108" w:right="88"/>
              <w:rPr>
                <w:sz w:val="16"/>
                <w:szCs w:val="16"/>
              </w:rPr>
            </w:pPr>
            <w:r w:rsidRPr="00FC5566">
              <w:rPr>
                <w:sz w:val="16"/>
                <w:szCs w:val="16"/>
              </w:rPr>
              <w:t>2. Ground-fault</w:t>
            </w:r>
            <w:r w:rsidRPr="00FC5566">
              <w:rPr>
                <w:spacing w:val="-8"/>
                <w:sz w:val="16"/>
                <w:szCs w:val="16"/>
              </w:rPr>
              <w:t xml:space="preserve"> </w:t>
            </w:r>
            <w:r w:rsidRPr="00FC5566">
              <w:rPr>
                <w:sz w:val="16"/>
                <w:szCs w:val="16"/>
              </w:rPr>
              <w:t>circuit-interrupter</w:t>
            </w:r>
            <w:r w:rsidRPr="00FC5566">
              <w:rPr>
                <w:spacing w:val="-7"/>
                <w:sz w:val="16"/>
                <w:szCs w:val="16"/>
              </w:rPr>
              <w:t xml:space="preserve"> </w:t>
            </w:r>
            <w:r w:rsidRPr="00FC5566">
              <w:rPr>
                <w:sz w:val="16"/>
                <w:szCs w:val="16"/>
              </w:rPr>
              <w:t>protection</w:t>
            </w:r>
            <w:r w:rsidRPr="00FC5566">
              <w:rPr>
                <w:spacing w:val="-7"/>
                <w:sz w:val="16"/>
                <w:szCs w:val="16"/>
              </w:rPr>
              <w:t xml:space="preserve"> </w:t>
            </w:r>
            <w:r w:rsidRPr="00FC5566">
              <w:rPr>
                <w:sz w:val="16"/>
                <w:szCs w:val="16"/>
              </w:rPr>
              <w:t>shall</w:t>
            </w:r>
            <w:r w:rsidRPr="00FC5566">
              <w:rPr>
                <w:spacing w:val="-7"/>
                <w:sz w:val="16"/>
                <w:szCs w:val="16"/>
              </w:rPr>
              <w:t xml:space="preserve"> </w:t>
            </w:r>
            <w:r w:rsidRPr="00FC5566">
              <w:rPr>
                <w:sz w:val="16"/>
                <w:szCs w:val="16"/>
              </w:rPr>
              <w:t>not</w:t>
            </w:r>
            <w:r w:rsidRPr="00FC5566">
              <w:rPr>
                <w:spacing w:val="-7"/>
                <w:sz w:val="16"/>
                <w:szCs w:val="16"/>
              </w:rPr>
              <w:t xml:space="preserve"> </w:t>
            </w:r>
            <w:r w:rsidRPr="00FC5566">
              <w:rPr>
                <w:sz w:val="16"/>
                <w:szCs w:val="16"/>
              </w:rPr>
              <w:t>be</w:t>
            </w:r>
            <w:r w:rsidRPr="00FC5566">
              <w:rPr>
                <w:spacing w:val="-8"/>
                <w:sz w:val="16"/>
                <w:szCs w:val="16"/>
              </w:rPr>
              <w:t xml:space="preserve"> </w:t>
            </w:r>
            <w:r w:rsidRPr="00FC5566">
              <w:rPr>
                <w:sz w:val="16"/>
                <w:szCs w:val="16"/>
              </w:rPr>
              <w:t>required</w:t>
            </w:r>
            <w:r w:rsidRPr="00FC5566">
              <w:rPr>
                <w:spacing w:val="-6"/>
                <w:sz w:val="16"/>
                <w:szCs w:val="16"/>
              </w:rPr>
              <w:t xml:space="preserve"> </w:t>
            </w:r>
            <w:r w:rsidRPr="00FC5566">
              <w:rPr>
                <w:sz w:val="16"/>
                <w:szCs w:val="16"/>
              </w:rPr>
              <w:t>on</w:t>
            </w:r>
            <w:r w:rsidRPr="00FC5566">
              <w:rPr>
                <w:spacing w:val="-5"/>
                <w:sz w:val="16"/>
                <w:szCs w:val="16"/>
              </w:rPr>
              <w:t xml:space="preserve"> </w:t>
            </w:r>
            <w:r w:rsidRPr="00FC5566">
              <w:rPr>
                <w:sz w:val="16"/>
                <w:szCs w:val="16"/>
              </w:rPr>
              <w:t>HVAC</w:t>
            </w:r>
            <w:r w:rsidRPr="00FC5566">
              <w:rPr>
                <w:spacing w:val="-5"/>
                <w:sz w:val="16"/>
                <w:szCs w:val="16"/>
              </w:rPr>
              <w:t xml:space="preserve"> </w:t>
            </w:r>
            <w:r w:rsidRPr="00FC5566">
              <w:rPr>
                <w:spacing w:val="-2"/>
                <w:sz w:val="16"/>
                <w:szCs w:val="16"/>
              </w:rPr>
              <w:t>equipment.</w:t>
            </w:r>
          </w:p>
        </w:tc>
      </w:tr>
      <w:tr w:rsidR="00FC5566" w:rsidRPr="00FC5566" w14:paraId="450BE76E" w14:textId="77777777" w:rsidTr="00B247D5">
        <w:trPr>
          <w:trHeight w:val="259"/>
        </w:trPr>
        <w:tc>
          <w:tcPr>
            <w:tcW w:w="1127" w:type="dxa"/>
            <w:gridSpan w:val="2"/>
            <w:tcBorders>
              <w:top w:val="single" w:sz="6" w:space="0" w:color="000000"/>
              <w:left w:val="single" w:sz="6" w:space="0" w:color="000000"/>
              <w:bottom w:val="single" w:sz="6" w:space="0" w:color="000000"/>
              <w:right w:val="single" w:sz="6" w:space="0" w:color="000000"/>
            </w:tcBorders>
          </w:tcPr>
          <w:p w14:paraId="6E60551A" w14:textId="77777777" w:rsidR="00FC5566" w:rsidRPr="00FC5566" w:rsidRDefault="00FC5566" w:rsidP="00FC5566">
            <w:pPr>
              <w:widowControl w:val="0"/>
              <w:autoSpaceDE w:val="0"/>
              <w:autoSpaceDN w:val="0"/>
              <w:jc w:val="center"/>
              <w:rPr>
                <w:sz w:val="16"/>
                <w:szCs w:val="16"/>
              </w:rPr>
            </w:pPr>
            <w:r w:rsidRPr="00FC5566">
              <w:rPr>
                <w:sz w:val="16"/>
                <w:szCs w:val="16"/>
              </w:rPr>
              <w:t>Amend</w:t>
            </w:r>
          </w:p>
        </w:tc>
        <w:tc>
          <w:tcPr>
            <w:tcW w:w="2340" w:type="dxa"/>
            <w:tcBorders>
              <w:top w:val="single" w:sz="6" w:space="0" w:color="000000"/>
              <w:left w:val="single" w:sz="6" w:space="0" w:color="000000"/>
              <w:bottom w:val="single" w:sz="6" w:space="0" w:color="000000"/>
              <w:right w:val="single" w:sz="6" w:space="0" w:color="000000"/>
            </w:tcBorders>
          </w:tcPr>
          <w:p w14:paraId="00ADCBE6" w14:textId="77777777" w:rsidR="00FC5566" w:rsidRPr="00FC5566" w:rsidRDefault="00FC5566" w:rsidP="00FC5566">
            <w:pPr>
              <w:widowControl w:val="0"/>
              <w:autoSpaceDE w:val="0"/>
              <w:autoSpaceDN w:val="0"/>
              <w:ind w:left="107" w:right="46"/>
              <w:rPr>
                <w:sz w:val="16"/>
                <w:szCs w:val="16"/>
              </w:rPr>
            </w:pPr>
            <w:r w:rsidRPr="00FC5566">
              <w:rPr>
                <w:sz w:val="16"/>
                <w:szCs w:val="16"/>
              </w:rPr>
              <w:t>Table 210.24(1) Summary of Branch-Circuit Requirements – Copper Conductors</w:t>
            </w:r>
          </w:p>
        </w:tc>
        <w:tc>
          <w:tcPr>
            <w:tcW w:w="7063" w:type="dxa"/>
          </w:tcPr>
          <w:p w14:paraId="2673D700" w14:textId="77777777" w:rsidR="00FC5566" w:rsidRPr="00FC5566" w:rsidRDefault="00FC5566" w:rsidP="00FC5566">
            <w:pPr>
              <w:widowControl w:val="0"/>
              <w:autoSpaceDE w:val="0"/>
              <w:autoSpaceDN w:val="0"/>
              <w:ind w:right="88"/>
              <w:rPr>
                <w:sz w:val="16"/>
                <w:szCs w:val="16"/>
              </w:rPr>
            </w:pPr>
          </w:p>
        </w:tc>
      </w:tr>
      <w:tr w:rsidR="00FC5566" w:rsidRPr="00FC5566" w14:paraId="7E742F02" w14:textId="77777777" w:rsidTr="00B247D5">
        <w:trPr>
          <w:trHeight w:val="5106"/>
        </w:trPr>
        <w:tc>
          <w:tcPr>
            <w:tcW w:w="10530" w:type="dxa"/>
            <w:gridSpan w:val="4"/>
            <w:tcBorders>
              <w:top w:val="single" w:sz="6" w:space="0" w:color="000000"/>
              <w:left w:val="single" w:sz="6" w:space="0" w:color="000000"/>
              <w:bottom w:val="single" w:sz="6" w:space="0" w:color="000000"/>
            </w:tcBorders>
          </w:tcPr>
          <w:p w14:paraId="74BA306D" w14:textId="77777777" w:rsidR="00FC5566" w:rsidRPr="00FC5566" w:rsidRDefault="00FC5566" w:rsidP="00FC5566">
            <w:pPr>
              <w:widowControl w:val="0"/>
              <w:autoSpaceDE w:val="0"/>
              <w:autoSpaceDN w:val="0"/>
              <w:ind w:right="88"/>
              <w:rPr>
                <w:b/>
                <w:bCs/>
                <w:sz w:val="16"/>
                <w:szCs w:val="16"/>
              </w:rPr>
            </w:pPr>
          </w:p>
          <w:p w14:paraId="25E0B671" w14:textId="77777777" w:rsidR="00FC5566" w:rsidRPr="00FC5566" w:rsidRDefault="00FC5566" w:rsidP="00FC5566">
            <w:pPr>
              <w:widowControl w:val="0"/>
              <w:autoSpaceDE w:val="0"/>
              <w:autoSpaceDN w:val="0"/>
              <w:ind w:right="88"/>
              <w:jc w:val="center"/>
              <w:rPr>
                <w:b/>
                <w:bCs/>
                <w:sz w:val="16"/>
                <w:szCs w:val="16"/>
              </w:rPr>
            </w:pPr>
            <w:r w:rsidRPr="00FC5566">
              <w:rPr>
                <w:b/>
                <w:bCs/>
                <w:sz w:val="16"/>
                <w:szCs w:val="16"/>
              </w:rPr>
              <w:t>Table 210.24(1) Summary of Branch-Circuit Requirements — Copper Conductors</w:t>
            </w:r>
          </w:p>
          <w:p w14:paraId="38C3D5CF" w14:textId="77777777" w:rsidR="00FC5566" w:rsidRPr="00FC5566" w:rsidRDefault="00FC5566" w:rsidP="00FC5566">
            <w:pPr>
              <w:widowControl w:val="0"/>
              <w:autoSpaceDE w:val="0"/>
              <w:autoSpaceDN w:val="0"/>
              <w:ind w:right="88"/>
              <w:rPr>
                <w:b/>
                <w:bCs/>
                <w:sz w:val="16"/>
                <w:szCs w:val="16"/>
              </w:rPr>
            </w:pPr>
          </w:p>
          <w:tbl>
            <w:tblPr>
              <w:tblW w:w="9910" w:type="dxa"/>
              <w:jc w:val="center"/>
              <w:tblBorders>
                <w:top w:val="single" w:sz="24" w:space="0" w:color="AEB3C5"/>
                <w:bottom w:val="single" w:sz="24" w:space="0" w:color="AEB3C5"/>
              </w:tblBorders>
              <w:tblCellMar>
                <w:left w:w="0" w:type="dxa"/>
                <w:right w:w="0" w:type="dxa"/>
              </w:tblCellMar>
              <w:tblLook w:val="04A0" w:firstRow="1" w:lastRow="0" w:firstColumn="1" w:lastColumn="0" w:noHBand="0" w:noVBand="1"/>
            </w:tblPr>
            <w:tblGrid>
              <w:gridCol w:w="2134"/>
              <w:gridCol w:w="1296"/>
              <w:gridCol w:w="1296"/>
              <w:gridCol w:w="1296"/>
              <w:gridCol w:w="1296"/>
              <w:gridCol w:w="1296"/>
              <w:gridCol w:w="1296"/>
            </w:tblGrid>
            <w:tr w:rsidR="00FC5566" w:rsidRPr="00FC5566" w14:paraId="1A96AFEA" w14:textId="77777777" w:rsidTr="00B247D5">
              <w:trPr>
                <w:trHeight w:val="181"/>
                <w:tblHeader/>
                <w:jc w:val="center"/>
              </w:trPr>
              <w:tc>
                <w:tcPr>
                  <w:tcW w:w="2134" w:type="dxa"/>
                  <w:tcBorders>
                    <w:top w:val="single" w:sz="4" w:space="0" w:color="auto"/>
                    <w:left w:val="single" w:sz="4" w:space="0" w:color="auto"/>
                    <w:bottom w:val="single" w:sz="4" w:space="0" w:color="auto"/>
                    <w:right w:val="nil"/>
                  </w:tcBorders>
                  <w:hideMark/>
                </w:tcPr>
                <w:p w14:paraId="4BEE27FC" w14:textId="77777777" w:rsidR="00FC5566" w:rsidRPr="00FC5566" w:rsidRDefault="00FC5566" w:rsidP="00FC5566">
                  <w:pPr>
                    <w:spacing w:line="480" w:lineRule="auto"/>
                    <w:jc w:val="center"/>
                    <w:rPr>
                      <w:b/>
                      <w:bCs/>
                      <w:sz w:val="16"/>
                      <w:szCs w:val="16"/>
                    </w:rPr>
                  </w:pPr>
                  <w:r w:rsidRPr="00FC5566">
                    <w:rPr>
                      <w:b/>
                      <w:bCs/>
                      <w:sz w:val="16"/>
                      <w:szCs w:val="16"/>
                    </w:rPr>
                    <w:t>Circuit Rating</w:t>
                  </w:r>
                </w:p>
              </w:tc>
              <w:tc>
                <w:tcPr>
                  <w:tcW w:w="1296" w:type="dxa"/>
                  <w:tcBorders>
                    <w:top w:val="single" w:sz="4" w:space="0" w:color="auto"/>
                    <w:left w:val="nil"/>
                    <w:bottom w:val="single" w:sz="4" w:space="0" w:color="auto"/>
                    <w:right w:val="nil"/>
                  </w:tcBorders>
                  <w:hideMark/>
                </w:tcPr>
                <w:p w14:paraId="0A80DAD2" w14:textId="77777777" w:rsidR="00FC5566" w:rsidRPr="00FC5566" w:rsidRDefault="00FC5566" w:rsidP="00FC5566">
                  <w:pPr>
                    <w:spacing w:line="480" w:lineRule="auto"/>
                    <w:jc w:val="center"/>
                    <w:rPr>
                      <w:b/>
                      <w:bCs/>
                      <w:sz w:val="16"/>
                      <w:szCs w:val="16"/>
                    </w:rPr>
                  </w:pPr>
                  <w:r w:rsidRPr="00FC5566">
                    <w:rPr>
                      <w:b/>
                      <w:bCs/>
                      <w:sz w:val="16"/>
                      <w:szCs w:val="16"/>
                    </w:rPr>
                    <w:t>10 A</w:t>
                  </w:r>
                </w:p>
              </w:tc>
              <w:tc>
                <w:tcPr>
                  <w:tcW w:w="1296" w:type="dxa"/>
                  <w:tcBorders>
                    <w:top w:val="single" w:sz="4" w:space="0" w:color="auto"/>
                    <w:left w:val="nil"/>
                    <w:bottom w:val="single" w:sz="4" w:space="0" w:color="auto"/>
                    <w:right w:val="nil"/>
                  </w:tcBorders>
                  <w:hideMark/>
                </w:tcPr>
                <w:p w14:paraId="0C576FD3" w14:textId="77777777" w:rsidR="00FC5566" w:rsidRPr="00FC5566" w:rsidRDefault="00FC5566" w:rsidP="00FC5566">
                  <w:pPr>
                    <w:spacing w:line="480" w:lineRule="auto"/>
                    <w:jc w:val="center"/>
                    <w:rPr>
                      <w:b/>
                      <w:bCs/>
                      <w:sz w:val="16"/>
                      <w:szCs w:val="16"/>
                    </w:rPr>
                  </w:pPr>
                  <w:r w:rsidRPr="00FC5566">
                    <w:rPr>
                      <w:b/>
                      <w:bCs/>
                      <w:sz w:val="16"/>
                      <w:szCs w:val="16"/>
                    </w:rPr>
                    <w:t>15 A</w:t>
                  </w:r>
                </w:p>
              </w:tc>
              <w:tc>
                <w:tcPr>
                  <w:tcW w:w="1296" w:type="dxa"/>
                  <w:tcBorders>
                    <w:top w:val="single" w:sz="4" w:space="0" w:color="auto"/>
                    <w:left w:val="nil"/>
                    <w:bottom w:val="single" w:sz="4" w:space="0" w:color="auto"/>
                    <w:right w:val="nil"/>
                  </w:tcBorders>
                  <w:hideMark/>
                </w:tcPr>
                <w:p w14:paraId="1169BAB6" w14:textId="77777777" w:rsidR="00FC5566" w:rsidRPr="00FC5566" w:rsidRDefault="00FC5566" w:rsidP="00FC5566">
                  <w:pPr>
                    <w:spacing w:line="480" w:lineRule="auto"/>
                    <w:jc w:val="center"/>
                    <w:rPr>
                      <w:b/>
                      <w:bCs/>
                      <w:sz w:val="16"/>
                      <w:szCs w:val="16"/>
                    </w:rPr>
                  </w:pPr>
                  <w:r w:rsidRPr="00FC5566">
                    <w:rPr>
                      <w:b/>
                      <w:bCs/>
                      <w:sz w:val="16"/>
                      <w:szCs w:val="16"/>
                    </w:rPr>
                    <w:t>20 A</w:t>
                  </w:r>
                </w:p>
              </w:tc>
              <w:tc>
                <w:tcPr>
                  <w:tcW w:w="1296" w:type="dxa"/>
                  <w:tcBorders>
                    <w:top w:val="single" w:sz="4" w:space="0" w:color="auto"/>
                    <w:left w:val="nil"/>
                    <w:bottom w:val="single" w:sz="4" w:space="0" w:color="auto"/>
                    <w:right w:val="nil"/>
                  </w:tcBorders>
                  <w:hideMark/>
                </w:tcPr>
                <w:p w14:paraId="202C8F6B" w14:textId="77777777" w:rsidR="00FC5566" w:rsidRPr="00FC5566" w:rsidRDefault="00FC5566" w:rsidP="00FC5566">
                  <w:pPr>
                    <w:spacing w:line="480" w:lineRule="auto"/>
                    <w:jc w:val="center"/>
                    <w:rPr>
                      <w:b/>
                      <w:bCs/>
                      <w:sz w:val="16"/>
                      <w:szCs w:val="16"/>
                    </w:rPr>
                  </w:pPr>
                  <w:r w:rsidRPr="00FC5566">
                    <w:rPr>
                      <w:b/>
                      <w:bCs/>
                      <w:sz w:val="16"/>
                      <w:szCs w:val="16"/>
                    </w:rPr>
                    <w:t>30 A</w:t>
                  </w:r>
                </w:p>
              </w:tc>
              <w:tc>
                <w:tcPr>
                  <w:tcW w:w="1296" w:type="dxa"/>
                  <w:tcBorders>
                    <w:top w:val="single" w:sz="4" w:space="0" w:color="auto"/>
                    <w:left w:val="nil"/>
                    <w:bottom w:val="single" w:sz="4" w:space="0" w:color="auto"/>
                    <w:right w:val="nil"/>
                  </w:tcBorders>
                  <w:hideMark/>
                </w:tcPr>
                <w:p w14:paraId="6886B14B" w14:textId="77777777" w:rsidR="00FC5566" w:rsidRPr="00FC5566" w:rsidRDefault="00FC5566" w:rsidP="00FC5566">
                  <w:pPr>
                    <w:spacing w:line="480" w:lineRule="auto"/>
                    <w:jc w:val="center"/>
                    <w:rPr>
                      <w:b/>
                      <w:bCs/>
                      <w:sz w:val="16"/>
                      <w:szCs w:val="16"/>
                    </w:rPr>
                  </w:pPr>
                  <w:r w:rsidRPr="00FC5566">
                    <w:rPr>
                      <w:b/>
                      <w:bCs/>
                      <w:sz w:val="16"/>
                      <w:szCs w:val="16"/>
                    </w:rPr>
                    <w:t>40 A</w:t>
                  </w:r>
                </w:p>
              </w:tc>
              <w:tc>
                <w:tcPr>
                  <w:tcW w:w="1296" w:type="dxa"/>
                  <w:tcBorders>
                    <w:top w:val="single" w:sz="4" w:space="0" w:color="auto"/>
                    <w:left w:val="nil"/>
                    <w:bottom w:val="single" w:sz="4" w:space="0" w:color="auto"/>
                    <w:right w:val="single" w:sz="4" w:space="0" w:color="auto"/>
                  </w:tcBorders>
                  <w:hideMark/>
                </w:tcPr>
                <w:p w14:paraId="124C77A5" w14:textId="77777777" w:rsidR="00FC5566" w:rsidRPr="00FC5566" w:rsidRDefault="00FC5566" w:rsidP="00FC5566">
                  <w:pPr>
                    <w:spacing w:line="480" w:lineRule="auto"/>
                    <w:jc w:val="center"/>
                    <w:rPr>
                      <w:b/>
                      <w:bCs/>
                      <w:sz w:val="16"/>
                      <w:szCs w:val="16"/>
                    </w:rPr>
                  </w:pPr>
                  <w:r w:rsidRPr="00FC5566">
                    <w:rPr>
                      <w:b/>
                      <w:bCs/>
                      <w:sz w:val="16"/>
                      <w:szCs w:val="16"/>
                    </w:rPr>
                    <w:t>50 A</w:t>
                  </w:r>
                </w:p>
              </w:tc>
            </w:tr>
            <w:tr w:rsidR="00FC5566" w:rsidRPr="00FC5566" w14:paraId="4B61BB80" w14:textId="77777777" w:rsidTr="00B247D5">
              <w:trPr>
                <w:trHeight w:val="181"/>
                <w:jc w:val="center"/>
              </w:trPr>
              <w:tc>
                <w:tcPr>
                  <w:tcW w:w="2134" w:type="dxa"/>
                  <w:tcBorders>
                    <w:top w:val="single" w:sz="4" w:space="0" w:color="auto"/>
                    <w:left w:val="single" w:sz="4" w:space="0" w:color="auto"/>
                    <w:bottom w:val="nil"/>
                    <w:right w:val="nil"/>
                  </w:tcBorders>
                  <w:hideMark/>
                </w:tcPr>
                <w:p w14:paraId="21E7559D" w14:textId="77777777" w:rsidR="00FC5566" w:rsidRPr="00FC5566" w:rsidRDefault="00FC5566" w:rsidP="00FC5566">
                  <w:pPr>
                    <w:spacing w:line="480" w:lineRule="auto"/>
                    <w:rPr>
                      <w:sz w:val="16"/>
                      <w:szCs w:val="16"/>
                    </w:rPr>
                  </w:pPr>
                  <w:r w:rsidRPr="00FC5566">
                    <w:rPr>
                      <w:sz w:val="16"/>
                      <w:szCs w:val="16"/>
                    </w:rPr>
                    <w:t xml:space="preserve"> Conductors (min. size):</w:t>
                  </w:r>
                </w:p>
              </w:tc>
              <w:tc>
                <w:tcPr>
                  <w:tcW w:w="1296" w:type="dxa"/>
                  <w:tcBorders>
                    <w:top w:val="single" w:sz="4" w:space="0" w:color="auto"/>
                    <w:left w:val="nil"/>
                    <w:bottom w:val="nil"/>
                    <w:right w:val="nil"/>
                  </w:tcBorders>
                  <w:hideMark/>
                </w:tcPr>
                <w:p w14:paraId="42CC24F4" w14:textId="77777777" w:rsidR="00FC5566" w:rsidRPr="00FC5566" w:rsidRDefault="00FC5566" w:rsidP="00FC5566">
                  <w:pPr>
                    <w:spacing w:line="276" w:lineRule="auto"/>
                    <w:rPr>
                      <w:sz w:val="16"/>
                      <w:szCs w:val="16"/>
                    </w:rPr>
                  </w:pPr>
                </w:p>
              </w:tc>
              <w:tc>
                <w:tcPr>
                  <w:tcW w:w="1296" w:type="dxa"/>
                  <w:tcBorders>
                    <w:top w:val="single" w:sz="4" w:space="0" w:color="auto"/>
                    <w:left w:val="nil"/>
                    <w:bottom w:val="nil"/>
                    <w:right w:val="nil"/>
                  </w:tcBorders>
                  <w:hideMark/>
                </w:tcPr>
                <w:p w14:paraId="2CB271F8" w14:textId="77777777" w:rsidR="00FC5566" w:rsidRPr="00FC5566" w:rsidRDefault="00FC5566" w:rsidP="00FC5566">
                  <w:pPr>
                    <w:spacing w:line="276" w:lineRule="auto"/>
                    <w:rPr>
                      <w:rFonts w:eastAsia="Aptos"/>
                      <w:sz w:val="16"/>
                      <w:szCs w:val="16"/>
                    </w:rPr>
                  </w:pPr>
                </w:p>
              </w:tc>
              <w:tc>
                <w:tcPr>
                  <w:tcW w:w="1296" w:type="dxa"/>
                  <w:tcBorders>
                    <w:top w:val="single" w:sz="4" w:space="0" w:color="auto"/>
                    <w:left w:val="nil"/>
                    <w:bottom w:val="nil"/>
                    <w:right w:val="nil"/>
                  </w:tcBorders>
                  <w:hideMark/>
                </w:tcPr>
                <w:p w14:paraId="54CAFBF4" w14:textId="77777777" w:rsidR="00FC5566" w:rsidRPr="00FC5566" w:rsidRDefault="00FC5566" w:rsidP="00FC5566">
                  <w:pPr>
                    <w:spacing w:line="276" w:lineRule="auto"/>
                    <w:rPr>
                      <w:rFonts w:eastAsia="Aptos"/>
                      <w:sz w:val="16"/>
                      <w:szCs w:val="16"/>
                    </w:rPr>
                  </w:pPr>
                </w:p>
              </w:tc>
              <w:tc>
                <w:tcPr>
                  <w:tcW w:w="1296" w:type="dxa"/>
                  <w:tcBorders>
                    <w:top w:val="single" w:sz="4" w:space="0" w:color="auto"/>
                    <w:left w:val="nil"/>
                    <w:bottom w:val="nil"/>
                    <w:right w:val="nil"/>
                  </w:tcBorders>
                  <w:hideMark/>
                </w:tcPr>
                <w:p w14:paraId="0A3096B6" w14:textId="77777777" w:rsidR="00FC5566" w:rsidRPr="00FC5566" w:rsidRDefault="00FC5566" w:rsidP="00FC5566">
                  <w:pPr>
                    <w:spacing w:line="276" w:lineRule="auto"/>
                    <w:rPr>
                      <w:rFonts w:eastAsia="Aptos"/>
                      <w:sz w:val="16"/>
                      <w:szCs w:val="16"/>
                    </w:rPr>
                  </w:pPr>
                </w:p>
              </w:tc>
              <w:tc>
                <w:tcPr>
                  <w:tcW w:w="1296" w:type="dxa"/>
                  <w:tcBorders>
                    <w:top w:val="single" w:sz="4" w:space="0" w:color="auto"/>
                    <w:left w:val="nil"/>
                    <w:bottom w:val="nil"/>
                    <w:right w:val="nil"/>
                  </w:tcBorders>
                  <w:hideMark/>
                </w:tcPr>
                <w:p w14:paraId="05127A25" w14:textId="77777777" w:rsidR="00FC5566" w:rsidRPr="00FC5566" w:rsidRDefault="00FC5566" w:rsidP="00FC5566">
                  <w:pPr>
                    <w:spacing w:line="276" w:lineRule="auto"/>
                    <w:rPr>
                      <w:rFonts w:eastAsia="Aptos"/>
                      <w:sz w:val="16"/>
                      <w:szCs w:val="16"/>
                    </w:rPr>
                  </w:pPr>
                </w:p>
              </w:tc>
              <w:tc>
                <w:tcPr>
                  <w:tcW w:w="1296" w:type="dxa"/>
                  <w:tcBorders>
                    <w:top w:val="single" w:sz="4" w:space="0" w:color="auto"/>
                    <w:left w:val="nil"/>
                    <w:bottom w:val="nil"/>
                    <w:right w:val="single" w:sz="4" w:space="0" w:color="auto"/>
                  </w:tcBorders>
                  <w:hideMark/>
                </w:tcPr>
                <w:p w14:paraId="30E48F7F" w14:textId="77777777" w:rsidR="00FC5566" w:rsidRPr="00FC5566" w:rsidRDefault="00FC5566" w:rsidP="00FC5566">
                  <w:pPr>
                    <w:spacing w:line="276" w:lineRule="auto"/>
                    <w:rPr>
                      <w:rFonts w:eastAsia="Aptos"/>
                      <w:sz w:val="16"/>
                      <w:szCs w:val="16"/>
                    </w:rPr>
                  </w:pPr>
                </w:p>
              </w:tc>
            </w:tr>
            <w:tr w:rsidR="00FC5566" w:rsidRPr="00FC5566" w14:paraId="2033CC4D" w14:textId="77777777" w:rsidTr="00B247D5">
              <w:trPr>
                <w:trHeight w:val="181"/>
                <w:jc w:val="center"/>
              </w:trPr>
              <w:tc>
                <w:tcPr>
                  <w:tcW w:w="2134" w:type="dxa"/>
                  <w:tcBorders>
                    <w:top w:val="nil"/>
                    <w:left w:val="single" w:sz="4" w:space="0" w:color="auto"/>
                    <w:bottom w:val="nil"/>
                    <w:right w:val="nil"/>
                  </w:tcBorders>
                  <w:hideMark/>
                </w:tcPr>
                <w:p w14:paraId="7F62F876" w14:textId="77777777" w:rsidR="00FC5566" w:rsidRPr="00FC5566" w:rsidRDefault="00FC5566" w:rsidP="00FC5566">
                  <w:pPr>
                    <w:spacing w:line="480" w:lineRule="auto"/>
                    <w:rPr>
                      <w:sz w:val="16"/>
                      <w:szCs w:val="16"/>
                    </w:rPr>
                  </w:pPr>
                  <w:r w:rsidRPr="00FC5566">
                    <w:rPr>
                      <w:sz w:val="16"/>
                      <w:szCs w:val="16"/>
                    </w:rPr>
                    <w:t xml:space="preserve"> Circuit wires</w:t>
                  </w:r>
                </w:p>
              </w:tc>
              <w:tc>
                <w:tcPr>
                  <w:tcW w:w="1296" w:type="dxa"/>
                  <w:tcBorders>
                    <w:top w:val="nil"/>
                    <w:left w:val="nil"/>
                    <w:bottom w:val="nil"/>
                    <w:right w:val="nil"/>
                  </w:tcBorders>
                  <w:hideMark/>
                </w:tcPr>
                <w:p w14:paraId="12E2B457" w14:textId="77777777" w:rsidR="00FC5566" w:rsidRPr="00FC5566" w:rsidRDefault="00FC5566" w:rsidP="00FC5566">
                  <w:pPr>
                    <w:spacing w:line="480" w:lineRule="auto"/>
                    <w:jc w:val="center"/>
                    <w:rPr>
                      <w:sz w:val="16"/>
                      <w:szCs w:val="16"/>
                    </w:rPr>
                  </w:pPr>
                  <w:r w:rsidRPr="00FC5566">
                    <w:rPr>
                      <w:sz w:val="16"/>
                      <w:szCs w:val="16"/>
                    </w:rPr>
                    <w:t>16</w:t>
                  </w:r>
                </w:p>
              </w:tc>
              <w:tc>
                <w:tcPr>
                  <w:tcW w:w="1296" w:type="dxa"/>
                  <w:tcBorders>
                    <w:top w:val="nil"/>
                    <w:left w:val="nil"/>
                    <w:bottom w:val="nil"/>
                    <w:right w:val="nil"/>
                  </w:tcBorders>
                  <w:hideMark/>
                </w:tcPr>
                <w:p w14:paraId="1E2D2F9F" w14:textId="77777777" w:rsidR="00FC5566" w:rsidRPr="00FC5566" w:rsidRDefault="00FC5566" w:rsidP="00FC5566">
                  <w:pPr>
                    <w:spacing w:line="480" w:lineRule="auto"/>
                    <w:jc w:val="center"/>
                    <w:rPr>
                      <w:sz w:val="16"/>
                      <w:szCs w:val="16"/>
                    </w:rPr>
                  </w:pPr>
                  <w:r w:rsidRPr="00FC5566">
                    <w:rPr>
                      <w:sz w:val="16"/>
                      <w:szCs w:val="16"/>
                    </w:rPr>
                    <w:t>14</w:t>
                  </w:r>
                </w:p>
              </w:tc>
              <w:tc>
                <w:tcPr>
                  <w:tcW w:w="1296" w:type="dxa"/>
                  <w:tcBorders>
                    <w:top w:val="nil"/>
                    <w:left w:val="nil"/>
                    <w:bottom w:val="nil"/>
                    <w:right w:val="nil"/>
                  </w:tcBorders>
                  <w:hideMark/>
                </w:tcPr>
                <w:p w14:paraId="46889B36" w14:textId="77777777" w:rsidR="00FC5566" w:rsidRPr="00FC5566" w:rsidRDefault="00FC5566" w:rsidP="00FC5566">
                  <w:pPr>
                    <w:spacing w:line="480" w:lineRule="auto"/>
                    <w:jc w:val="center"/>
                    <w:rPr>
                      <w:sz w:val="16"/>
                      <w:szCs w:val="16"/>
                    </w:rPr>
                  </w:pPr>
                  <w:r w:rsidRPr="00FC5566">
                    <w:rPr>
                      <w:sz w:val="16"/>
                      <w:szCs w:val="16"/>
                    </w:rPr>
                    <w:t>12</w:t>
                  </w:r>
                </w:p>
              </w:tc>
              <w:tc>
                <w:tcPr>
                  <w:tcW w:w="1296" w:type="dxa"/>
                  <w:tcBorders>
                    <w:top w:val="nil"/>
                    <w:left w:val="nil"/>
                    <w:bottom w:val="nil"/>
                    <w:right w:val="nil"/>
                  </w:tcBorders>
                  <w:hideMark/>
                </w:tcPr>
                <w:p w14:paraId="01B74628" w14:textId="77777777" w:rsidR="00FC5566" w:rsidRPr="00FC5566" w:rsidRDefault="00FC5566" w:rsidP="00FC5566">
                  <w:pPr>
                    <w:spacing w:line="480" w:lineRule="auto"/>
                    <w:jc w:val="center"/>
                    <w:rPr>
                      <w:sz w:val="16"/>
                      <w:szCs w:val="16"/>
                    </w:rPr>
                  </w:pPr>
                  <w:r w:rsidRPr="00FC5566">
                    <w:rPr>
                      <w:sz w:val="16"/>
                      <w:szCs w:val="16"/>
                    </w:rPr>
                    <w:t>10</w:t>
                  </w:r>
                </w:p>
              </w:tc>
              <w:tc>
                <w:tcPr>
                  <w:tcW w:w="1296" w:type="dxa"/>
                  <w:tcBorders>
                    <w:top w:val="nil"/>
                    <w:left w:val="nil"/>
                    <w:bottom w:val="nil"/>
                    <w:right w:val="nil"/>
                  </w:tcBorders>
                  <w:hideMark/>
                </w:tcPr>
                <w:p w14:paraId="6F0B1058" w14:textId="77777777" w:rsidR="00FC5566" w:rsidRPr="00FC5566" w:rsidRDefault="00FC5566" w:rsidP="00FC5566">
                  <w:pPr>
                    <w:spacing w:line="480" w:lineRule="auto"/>
                    <w:jc w:val="center"/>
                    <w:rPr>
                      <w:sz w:val="16"/>
                      <w:szCs w:val="16"/>
                    </w:rPr>
                  </w:pPr>
                  <w:r w:rsidRPr="00FC5566">
                    <w:rPr>
                      <w:sz w:val="16"/>
                      <w:szCs w:val="16"/>
                    </w:rPr>
                    <w:t>8</w:t>
                  </w:r>
                </w:p>
              </w:tc>
              <w:tc>
                <w:tcPr>
                  <w:tcW w:w="1296" w:type="dxa"/>
                  <w:tcBorders>
                    <w:top w:val="nil"/>
                    <w:left w:val="nil"/>
                    <w:bottom w:val="nil"/>
                    <w:right w:val="single" w:sz="4" w:space="0" w:color="auto"/>
                  </w:tcBorders>
                  <w:hideMark/>
                </w:tcPr>
                <w:p w14:paraId="167EF96F" w14:textId="77777777" w:rsidR="00FC5566" w:rsidRPr="00FC5566" w:rsidRDefault="00FC5566" w:rsidP="00FC5566">
                  <w:pPr>
                    <w:spacing w:line="480" w:lineRule="auto"/>
                    <w:jc w:val="center"/>
                    <w:rPr>
                      <w:sz w:val="16"/>
                      <w:szCs w:val="16"/>
                    </w:rPr>
                  </w:pPr>
                  <w:r w:rsidRPr="00FC5566">
                    <w:rPr>
                      <w:sz w:val="16"/>
                      <w:szCs w:val="16"/>
                    </w:rPr>
                    <w:t>6</w:t>
                  </w:r>
                </w:p>
              </w:tc>
            </w:tr>
            <w:tr w:rsidR="00FC5566" w:rsidRPr="00FC5566" w14:paraId="65A77E36" w14:textId="77777777" w:rsidTr="00B247D5">
              <w:trPr>
                <w:trHeight w:val="181"/>
                <w:jc w:val="center"/>
              </w:trPr>
              <w:tc>
                <w:tcPr>
                  <w:tcW w:w="2134" w:type="dxa"/>
                  <w:tcBorders>
                    <w:top w:val="nil"/>
                    <w:left w:val="single" w:sz="4" w:space="0" w:color="auto"/>
                    <w:bottom w:val="nil"/>
                    <w:right w:val="nil"/>
                  </w:tcBorders>
                  <w:hideMark/>
                </w:tcPr>
                <w:p w14:paraId="7E31698E" w14:textId="77777777" w:rsidR="00FC5566" w:rsidRPr="00FC5566" w:rsidRDefault="00FC5566" w:rsidP="00FC5566">
                  <w:pPr>
                    <w:spacing w:line="480" w:lineRule="auto"/>
                    <w:rPr>
                      <w:sz w:val="16"/>
                      <w:szCs w:val="16"/>
                    </w:rPr>
                  </w:pPr>
                  <w:r w:rsidRPr="00FC5566">
                    <w:rPr>
                      <w:sz w:val="16"/>
                      <w:szCs w:val="16"/>
                    </w:rPr>
                    <w:t xml:space="preserve"> Taps</w:t>
                  </w:r>
                </w:p>
              </w:tc>
              <w:tc>
                <w:tcPr>
                  <w:tcW w:w="1296" w:type="dxa"/>
                  <w:tcBorders>
                    <w:top w:val="nil"/>
                    <w:left w:val="nil"/>
                    <w:bottom w:val="nil"/>
                    <w:right w:val="nil"/>
                  </w:tcBorders>
                  <w:hideMark/>
                </w:tcPr>
                <w:p w14:paraId="48AB66A5" w14:textId="77777777" w:rsidR="00FC5566" w:rsidRPr="00FC5566" w:rsidRDefault="00FC5566" w:rsidP="00FC5566">
                  <w:pPr>
                    <w:spacing w:line="480" w:lineRule="auto"/>
                    <w:jc w:val="center"/>
                    <w:rPr>
                      <w:sz w:val="16"/>
                      <w:szCs w:val="16"/>
                    </w:rPr>
                  </w:pPr>
                  <w:r w:rsidRPr="00FC5566">
                    <w:rPr>
                      <w:sz w:val="16"/>
                      <w:szCs w:val="16"/>
                    </w:rPr>
                    <w:t>14</w:t>
                  </w:r>
                </w:p>
              </w:tc>
              <w:tc>
                <w:tcPr>
                  <w:tcW w:w="1296" w:type="dxa"/>
                  <w:tcBorders>
                    <w:top w:val="nil"/>
                    <w:left w:val="nil"/>
                    <w:bottom w:val="nil"/>
                    <w:right w:val="nil"/>
                  </w:tcBorders>
                  <w:hideMark/>
                </w:tcPr>
                <w:p w14:paraId="728D9DBB" w14:textId="77777777" w:rsidR="00FC5566" w:rsidRPr="00FC5566" w:rsidRDefault="00FC5566" w:rsidP="00FC5566">
                  <w:pPr>
                    <w:spacing w:line="480" w:lineRule="auto"/>
                    <w:jc w:val="center"/>
                    <w:rPr>
                      <w:sz w:val="16"/>
                      <w:szCs w:val="16"/>
                    </w:rPr>
                  </w:pPr>
                  <w:r w:rsidRPr="00FC5566">
                    <w:rPr>
                      <w:sz w:val="16"/>
                      <w:szCs w:val="16"/>
                    </w:rPr>
                    <w:t>14</w:t>
                  </w:r>
                </w:p>
              </w:tc>
              <w:tc>
                <w:tcPr>
                  <w:tcW w:w="1296" w:type="dxa"/>
                  <w:tcBorders>
                    <w:top w:val="nil"/>
                    <w:left w:val="nil"/>
                    <w:bottom w:val="nil"/>
                    <w:right w:val="nil"/>
                  </w:tcBorders>
                  <w:hideMark/>
                </w:tcPr>
                <w:p w14:paraId="3DE90E50" w14:textId="77777777" w:rsidR="00FC5566" w:rsidRPr="00FC5566" w:rsidRDefault="00FC5566" w:rsidP="00FC5566">
                  <w:pPr>
                    <w:spacing w:line="480" w:lineRule="auto"/>
                    <w:jc w:val="center"/>
                    <w:rPr>
                      <w:sz w:val="16"/>
                      <w:szCs w:val="16"/>
                    </w:rPr>
                  </w:pPr>
                  <w:r w:rsidRPr="00FC5566">
                    <w:rPr>
                      <w:sz w:val="16"/>
                      <w:szCs w:val="16"/>
                    </w:rPr>
                    <w:t>14</w:t>
                  </w:r>
                </w:p>
              </w:tc>
              <w:tc>
                <w:tcPr>
                  <w:tcW w:w="1296" w:type="dxa"/>
                  <w:tcBorders>
                    <w:top w:val="nil"/>
                    <w:left w:val="nil"/>
                    <w:bottom w:val="nil"/>
                    <w:right w:val="nil"/>
                  </w:tcBorders>
                  <w:hideMark/>
                </w:tcPr>
                <w:p w14:paraId="30D6E4CF" w14:textId="77777777" w:rsidR="00FC5566" w:rsidRPr="00FC5566" w:rsidRDefault="00FC5566" w:rsidP="00FC5566">
                  <w:pPr>
                    <w:spacing w:line="480" w:lineRule="auto"/>
                    <w:jc w:val="center"/>
                    <w:rPr>
                      <w:sz w:val="16"/>
                      <w:szCs w:val="16"/>
                    </w:rPr>
                  </w:pPr>
                  <w:r w:rsidRPr="00FC5566">
                    <w:rPr>
                      <w:sz w:val="16"/>
                      <w:szCs w:val="16"/>
                    </w:rPr>
                    <w:t>14</w:t>
                  </w:r>
                </w:p>
              </w:tc>
              <w:tc>
                <w:tcPr>
                  <w:tcW w:w="1296" w:type="dxa"/>
                  <w:tcBorders>
                    <w:top w:val="nil"/>
                    <w:left w:val="nil"/>
                    <w:bottom w:val="nil"/>
                    <w:right w:val="nil"/>
                  </w:tcBorders>
                  <w:hideMark/>
                </w:tcPr>
                <w:p w14:paraId="3F14B98F" w14:textId="77777777" w:rsidR="00FC5566" w:rsidRPr="00FC5566" w:rsidRDefault="00FC5566" w:rsidP="00FC5566">
                  <w:pPr>
                    <w:spacing w:line="480" w:lineRule="auto"/>
                    <w:jc w:val="center"/>
                    <w:rPr>
                      <w:sz w:val="16"/>
                      <w:szCs w:val="16"/>
                    </w:rPr>
                  </w:pPr>
                  <w:r w:rsidRPr="00FC5566">
                    <w:rPr>
                      <w:sz w:val="16"/>
                      <w:szCs w:val="16"/>
                    </w:rPr>
                    <w:t>12</w:t>
                  </w:r>
                </w:p>
              </w:tc>
              <w:tc>
                <w:tcPr>
                  <w:tcW w:w="1296" w:type="dxa"/>
                  <w:tcBorders>
                    <w:top w:val="nil"/>
                    <w:left w:val="nil"/>
                    <w:bottom w:val="nil"/>
                    <w:right w:val="single" w:sz="4" w:space="0" w:color="auto"/>
                  </w:tcBorders>
                  <w:hideMark/>
                </w:tcPr>
                <w:p w14:paraId="191F6D0E" w14:textId="77777777" w:rsidR="00FC5566" w:rsidRPr="00FC5566" w:rsidRDefault="00FC5566" w:rsidP="00FC5566">
                  <w:pPr>
                    <w:spacing w:line="480" w:lineRule="auto"/>
                    <w:jc w:val="center"/>
                    <w:rPr>
                      <w:sz w:val="16"/>
                      <w:szCs w:val="16"/>
                    </w:rPr>
                  </w:pPr>
                  <w:r w:rsidRPr="00FC5566">
                    <w:rPr>
                      <w:sz w:val="16"/>
                      <w:szCs w:val="16"/>
                    </w:rPr>
                    <w:t>12</w:t>
                  </w:r>
                </w:p>
              </w:tc>
            </w:tr>
            <w:tr w:rsidR="00FC5566" w:rsidRPr="00FC5566" w14:paraId="16BCE15E" w14:textId="77777777" w:rsidTr="00B247D5">
              <w:trPr>
                <w:trHeight w:val="181"/>
                <w:jc w:val="center"/>
              </w:trPr>
              <w:tc>
                <w:tcPr>
                  <w:tcW w:w="2134" w:type="dxa"/>
                  <w:tcBorders>
                    <w:top w:val="nil"/>
                    <w:left w:val="single" w:sz="4" w:space="0" w:color="auto"/>
                    <w:bottom w:val="single" w:sz="4" w:space="0" w:color="auto"/>
                    <w:right w:val="nil"/>
                  </w:tcBorders>
                  <w:hideMark/>
                </w:tcPr>
                <w:p w14:paraId="65A1CC6F" w14:textId="77777777" w:rsidR="00FC5566" w:rsidRPr="00FC5566" w:rsidRDefault="00FC5566" w:rsidP="00FC5566">
                  <w:pPr>
                    <w:spacing w:line="480" w:lineRule="auto"/>
                    <w:rPr>
                      <w:sz w:val="16"/>
                      <w:szCs w:val="16"/>
                    </w:rPr>
                  </w:pPr>
                  <w:r w:rsidRPr="00FC5566">
                    <w:rPr>
                      <w:sz w:val="16"/>
                      <w:szCs w:val="16"/>
                    </w:rPr>
                    <w:t xml:space="preserve"> Fixture wires and cords</w:t>
                  </w:r>
                </w:p>
              </w:tc>
              <w:tc>
                <w:tcPr>
                  <w:tcW w:w="1296" w:type="dxa"/>
                  <w:tcBorders>
                    <w:top w:val="nil"/>
                    <w:left w:val="nil"/>
                    <w:bottom w:val="single" w:sz="4" w:space="0" w:color="auto"/>
                    <w:right w:val="nil"/>
                  </w:tcBorders>
                  <w:hideMark/>
                </w:tcPr>
                <w:p w14:paraId="0B2CB0F8" w14:textId="77777777" w:rsidR="00FC5566" w:rsidRPr="00FC5566" w:rsidRDefault="00FC5566" w:rsidP="00FC5566">
                  <w:pPr>
                    <w:spacing w:line="276" w:lineRule="auto"/>
                    <w:rPr>
                      <w:sz w:val="16"/>
                      <w:szCs w:val="16"/>
                    </w:rPr>
                  </w:pPr>
                </w:p>
              </w:tc>
              <w:tc>
                <w:tcPr>
                  <w:tcW w:w="1296" w:type="dxa"/>
                  <w:tcBorders>
                    <w:top w:val="nil"/>
                    <w:left w:val="nil"/>
                    <w:bottom w:val="single" w:sz="4" w:space="0" w:color="auto"/>
                    <w:right w:val="nil"/>
                  </w:tcBorders>
                  <w:hideMark/>
                </w:tcPr>
                <w:p w14:paraId="4C8DCA1F" w14:textId="77777777" w:rsidR="00FC5566" w:rsidRPr="00FC5566" w:rsidRDefault="00FC5566" w:rsidP="00FC5566">
                  <w:pPr>
                    <w:spacing w:line="276" w:lineRule="auto"/>
                    <w:rPr>
                      <w:rFonts w:eastAsia="Aptos"/>
                      <w:sz w:val="16"/>
                      <w:szCs w:val="16"/>
                    </w:rPr>
                  </w:pPr>
                </w:p>
              </w:tc>
              <w:tc>
                <w:tcPr>
                  <w:tcW w:w="1296" w:type="dxa"/>
                  <w:tcBorders>
                    <w:top w:val="nil"/>
                    <w:left w:val="nil"/>
                    <w:bottom w:val="single" w:sz="4" w:space="0" w:color="auto"/>
                    <w:right w:val="nil"/>
                  </w:tcBorders>
                  <w:hideMark/>
                </w:tcPr>
                <w:p w14:paraId="768FF1A8" w14:textId="77777777" w:rsidR="00FC5566" w:rsidRPr="00FC5566" w:rsidRDefault="00FC5566" w:rsidP="00FC5566">
                  <w:pPr>
                    <w:spacing w:line="480" w:lineRule="auto"/>
                    <w:jc w:val="center"/>
                    <w:rPr>
                      <w:sz w:val="16"/>
                      <w:szCs w:val="16"/>
                    </w:rPr>
                  </w:pPr>
                  <w:r w:rsidRPr="00FC5566">
                    <w:rPr>
                      <w:sz w:val="16"/>
                      <w:szCs w:val="16"/>
                    </w:rPr>
                    <w:t>See 240.5.</w:t>
                  </w:r>
                </w:p>
              </w:tc>
              <w:tc>
                <w:tcPr>
                  <w:tcW w:w="1296" w:type="dxa"/>
                  <w:tcBorders>
                    <w:top w:val="nil"/>
                    <w:left w:val="nil"/>
                    <w:bottom w:val="single" w:sz="4" w:space="0" w:color="auto"/>
                    <w:right w:val="nil"/>
                  </w:tcBorders>
                </w:tcPr>
                <w:p w14:paraId="0B36B78A" w14:textId="77777777" w:rsidR="00FC5566" w:rsidRPr="00FC5566" w:rsidRDefault="00FC5566" w:rsidP="00FC5566">
                  <w:pPr>
                    <w:spacing w:line="480" w:lineRule="auto"/>
                    <w:jc w:val="center"/>
                    <w:rPr>
                      <w:sz w:val="16"/>
                      <w:szCs w:val="16"/>
                    </w:rPr>
                  </w:pPr>
                </w:p>
              </w:tc>
              <w:tc>
                <w:tcPr>
                  <w:tcW w:w="1296" w:type="dxa"/>
                  <w:tcBorders>
                    <w:top w:val="nil"/>
                    <w:left w:val="nil"/>
                    <w:bottom w:val="single" w:sz="4" w:space="0" w:color="auto"/>
                    <w:right w:val="nil"/>
                  </w:tcBorders>
                </w:tcPr>
                <w:p w14:paraId="4D2BE633" w14:textId="77777777" w:rsidR="00FC5566" w:rsidRPr="00FC5566" w:rsidRDefault="00FC5566" w:rsidP="00FC5566">
                  <w:pPr>
                    <w:spacing w:line="480" w:lineRule="auto"/>
                    <w:jc w:val="center"/>
                    <w:rPr>
                      <w:sz w:val="16"/>
                      <w:szCs w:val="16"/>
                    </w:rPr>
                  </w:pPr>
                </w:p>
              </w:tc>
              <w:tc>
                <w:tcPr>
                  <w:tcW w:w="1296" w:type="dxa"/>
                  <w:tcBorders>
                    <w:top w:val="nil"/>
                    <w:left w:val="nil"/>
                    <w:bottom w:val="single" w:sz="4" w:space="0" w:color="auto"/>
                    <w:right w:val="single" w:sz="4" w:space="0" w:color="auto"/>
                  </w:tcBorders>
                  <w:hideMark/>
                </w:tcPr>
                <w:p w14:paraId="282B0DCB" w14:textId="77777777" w:rsidR="00FC5566" w:rsidRPr="00FC5566" w:rsidRDefault="00FC5566" w:rsidP="00FC5566">
                  <w:pPr>
                    <w:spacing w:line="480" w:lineRule="auto"/>
                    <w:jc w:val="center"/>
                    <w:rPr>
                      <w:sz w:val="16"/>
                      <w:szCs w:val="16"/>
                    </w:rPr>
                  </w:pPr>
                  <w:r w:rsidRPr="00FC5566">
                    <w:rPr>
                      <w:sz w:val="16"/>
                      <w:szCs w:val="16"/>
                    </w:rPr>
                    <w:t xml:space="preserve"> </w:t>
                  </w:r>
                </w:p>
              </w:tc>
            </w:tr>
            <w:tr w:rsidR="00FC5566" w:rsidRPr="00FC5566" w14:paraId="40555B9B" w14:textId="77777777" w:rsidTr="00B247D5">
              <w:trPr>
                <w:trHeight w:val="181"/>
                <w:jc w:val="center"/>
              </w:trPr>
              <w:tc>
                <w:tcPr>
                  <w:tcW w:w="2134" w:type="dxa"/>
                  <w:tcBorders>
                    <w:top w:val="single" w:sz="4" w:space="0" w:color="auto"/>
                    <w:left w:val="single" w:sz="4" w:space="0" w:color="auto"/>
                    <w:bottom w:val="single" w:sz="4" w:space="0" w:color="auto"/>
                    <w:right w:val="nil"/>
                  </w:tcBorders>
                  <w:hideMark/>
                </w:tcPr>
                <w:p w14:paraId="671E8499" w14:textId="77777777" w:rsidR="00FC5566" w:rsidRPr="00FC5566" w:rsidRDefault="00FC5566" w:rsidP="00FC5566">
                  <w:pPr>
                    <w:spacing w:line="480" w:lineRule="auto"/>
                    <w:jc w:val="center"/>
                    <w:rPr>
                      <w:sz w:val="16"/>
                      <w:szCs w:val="16"/>
                    </w:rPr>
                  </w:pPr>
                  <w:r w:rsidRPr="00FC5566">
                    <w:rPr>
                      <w:b/>
                      <w:bCs/>
                      <w:sz w:val="16"/>
                      <w:szCs w:val="16"/>
                    </w:rPr>
                    <w:t>Overcurrent Protection</w:t>
                  </w:r>
                </w:p>
              </w:tc>
              <w:tc>
                <w:tcPr>
                  <w:tcW w:w="1296" w:type="dxa"/>
                  <w:tcBorders>
                    <w:top w:val="single" w:sz="4" w:space="0" w:color="auto"/>
                    <w:left w:val="nil"/>
                    <w:bottom w:val="single" w:sz="4" w:space="0" w:color="auto"/>
                    <w:right w:val="nil"/>
                  </w:tcBorders>
                  <w:vAlign w:val="bottom"/>
                  <w:hideMark/>
                </w:tcPr>
                <w:p w14:paraId="18D1DD4B" w14:textId="77777777" w:rsidR="00FC5566" w:rsidRPr="00FC5566" w:rsidRDefault="00FC5566" w:rsidP="00FC5566">
                  <w:pPr>
                    <w:spacing w:line="480" w:lineRule="auto"/>
                    <w:jc w:val="center"/>
                    <w:rPr>
                      <w:sz w:val="16"/>
                      <w:szCs w:val="16"/>
                    </w:rPr>
                  </w:pPr>
                  <w:r w:rsidRPr="00FC5566">
                    <w:rPr>
                      <w:b/>
                      <w:bCs/>
                      <w:sz w:val="16"/>
                      <w:szCs w:val="16"/>
                    </w:rPr>
                    <w:t>10 A</w:t>
                  </w:r>
                </w:p>
              </w:tc>
              <w:tc>
                <w:tcPr>
                  <w:tcW w:w="1296" w:type="dxa"/>
                  <w:tcBorders>
                    <w:top w:val="single" w:sz="4" w:space="0" w:color="auto"/>
                    <w:left w:val="nil"/>
                    <w:bottom w:val="single" w:sz="4" w:space="0" w:color="auto"/>
                    <w:right w:val="nil"/>
                  </w:tcBorders>
                  <w:vAlign w:val="bottom"/>
                  <w:hideMark/>
                </w:tcPr>
                <w:p w14:paraId="46233573" w14:textId="77777777" w:rsidR="00FC5566" w:rsidRPr="00FC5566" w:rsidRDefault="00FC5566" w:rsidP="00FC5566">
                  <w:pPr>
                    <w:spacing w:line="480" w:lineRule="auto"/>
                    <w:jc w:val="center"/>
                    <w:rPr>
                      <w:sz w:val="16"/>
                      <w:szCs w:val="16"/>
                    </w:rPr>
                  </w:pPr>
                  <w:r w:rsidRPr="00FC5566">
                    <w:rPr>
                      <w:b/>
                      <w:bCs/>
                      <w:sz w:val="16"/>
                      <w:szCs w:val="16"/>
                    </w:rPr>
                    <w:t>15 A</w:t>
                  </w:r>
                </w:p>
              </w:tc>
              <w:tc>
                <w:tcPr>
                  <w:tcW w:w="1296" w:type="dxa"/>
                  <w:tcBorders>
                    <w:top w:val="single" w:sz="4" w:space="0" w:color="auto"/>
                    <w:left w:val="nil"/>
                    <w:bottom w:val="single" w:sz="4" w:space="0" w:color="auto"/>
                    <w:right w:val="nil"/>
                  </w:tcBorders>
                  <w:vAlign w:val="bottom"/>
                  <w:hideMark/>
                </w:tcPr>
                <w:p w14:paraId="4FC66740" w14:textId="77777777" w:rsidR="00FC5566" w:rsidRPr="00FC5566" w:rsidRDefault="00FC5566" w:rsidP="00FC5566">
                  <w:pPr>
                    <w:spacing w:line="480" w:lineRule="auto"/>
                    <w:jc w:val="center"/>
                    <w:rPr>
                      <w:sz w:val="16"/>
                      <w:szCs w:val="16"/>
                    </w:rPr>
                  </w:pPr>
                  <w:r w:rsidRPr="00FC5566">
                    <w:rPr>
                      <w:b/>
                      <w:bCs/>
                      <w:sz w:val="16"/>
                      <w:szCs w:val="16"/>
                    </w:rPr>
                    <w:t>20 A</w:t>
                  </w:r>
                </w:p>
              </w:tc>
              <w:tc>
                <w:tcPr>
                  <w:tcW w:w="1296" w:type="dxa"/>
                  <w:tcBorders>
                    <w:top w:val="single" w:sz="4" w:space="0" w:color="auto"/>
                    <w:left w:val="nil"/>
                    <w:bottom w:val="single" w:sz="4" w:space="0" w:color="auto"/>
                    <w:right w:val="nil"/>
                  </w:tcBorders>
                  <w:vAlign w:val="bottom"/>
                  <w:hideMark/>
                </w:tcPr>
                <w:p w14:paraId="0973E05D" w14:textId="77777777" w:rsidR="00FC5566" w:rsidRPr="00FC5566" w:rsidRDefault="00FC5566" w:rsidP="00FC5566">
                  <w:pPr>
                    <w:spacing w:line="480" w:lineRule="auto"/>
                    <w:jc w:val="center"/>
                    <w:rPr>
                      <w:sz w:val="16"/>
                      <w:szCs w:val="16"/>
                    </w:rPr>
                  </w:pPr>
                  <w:r w:rsidRPr="00FC5566">
                    <w:rPr>
                      <w:b/>
                      <w:bCs/>
                      <w:sz w:val="16"/>
                      <w:szCs w:val="16"/>
                    </w:rPr>
                    <w:t>30 A</w:t>
                  </w:r>
                </w:p>
              </w:tc>
              <w:tc>
                <w:tcPr>
                  <w:tcW w:w="1296" w:type="dxa"/>
                  <w:tcBorders>
                    <w:top w:val="single" w:sz="4" w:space="0" w:color="auto"/>
                    <w:left w:val="nil"/>
                    <w:bottom w:val="single" w:sz="4" w:space="0" w:color="auto"/>
                    <w:right w:val="nil"/>
                  </w:tcBorders>
                  <w:vAlign w:val="bottom"/>
                  <w:hideMark/>
                </w:tcPr>
                <w:p w14:paraId="3D7308A8" w14:textId="77777777" w:rsidR="00FC5566" w:rsidRPr="00FC5566" w:rsidRDefault="00FC5566" w:rsidP="00FC5566">
                  <w:pPr>
                    <w:spacing w:line="480" w:lineRule="auto"/>
                    <w:jc w:val="center"/>
                    <w:rPr>
                      <w:sz w:val="16"/>
                      <w:szCs w:val="16"/>
                    </w:rPr>
                  </w:pPr>
                  <w:r w:rsidRPr="00FC5566">
                    <w:rPr>
                      <w:b/>
                      <w:bCs/>
                      <w:sz w:val="16"/>
                      <w:szCs w:val="16"/>
                    </w:rPr>
                    <w:t>40 A</w:t>
                  </w:r>
                </w:p>
              </w:tc>
              <w:tc>
                <w:tcPr>
                  <w:tcW w:w="1296" w:type="dxa"/>
                  <w:tcBorders>
                    <w:top w:val="single" w:sz="4" w:space="0" w:color="auto"/>
                    <w:left w:val="nil"/>
                    <w:bottom w:val="single" w:sz="4" w:space="0" w:color="auto"/>
                    <w:right w:val="single" w:sz="4" w:space="0" w:color="auto"/>
                  </w:tcBorders>
                  <w:vAlign w:val="bottom"/>
                  <w:hideMark/>
                </w:tcPr>
                <w:p w14:paraId="011FE9B4" w14:textId="77777777" w:rsidR="00FC5566" w:rsidRPr="00FC5566" w:rsidRDefault="00FC5566" w:rsidP="00FC5566">
                  <w:pPr>
                    <w:spacing w:line="480" w:lineRule="auto"/>
                    <w:jc w:val="center"/>
                    <w:rPr>
                      <w:sz w:val="16"/>
                      <w:szCs w:val="16"/>
                    </w:rPr>
                  </w:pPr>
                  <w:r w:rsidRPr="00FC5566">
                    <w:rPr>
                      <w:b/>
                      <w:bCs/>
                      <w:sz w:val="16"/>
                      <w:szCs w:val="16"/>
                    </w:rPr>
                    <w:t>50 A</w:t>
                  </w:r>
                </w:p>
              </w:tc>
            </w:tr>
            <w:tr w:rsidR="00FC5566" w:rsidRPr="00FC5566" w14:paraId="27881A65" w14:textId="77777777" w:rsidTr="00B247D5">
              <w:trPr>
                <w:trHeight w:val="181"/>
                <w:jc w:val="center"/>
              </w:trPr>
              <w:tc>
                <w:tcPr>
                  <w:tcW w:w="2134" w:type="dxa"/>
                  <w:tcBorders>
                    <w:top w:val="single" w:sz="4" w:space="0" w:color="auto"/>
                    <w:left w:val="single" w:sz="4" w:space="0" w:color="auto"/>
                    <w:bottom w:val="nil"/>
                    <w:right w:val="nil"/>
                  </w:tcBorders>
                  <w:hideMark/>
                </w:tcPr>
                <w:p w14:paraId="25A83283" w14:textId="77777777" w:rsidR="00FC5566" w:rsidRPr="00FC5566" w:rsidRDefault="00FC5566" w:rsidP="00FC5566">
                  <w:pPr>
                    <w:spacing w:line="480" w:lineRule="auto"/>
                    <w:rPr>
                      <w:sz w:val="16"/>
                      <w:szCs w:val="16"/>
                    </w:rPr>
                  </w:pPr>
                  <w:r w:rsidRPr="00FC5566">
                    <w:rPr>
                      <w:sz w:val="16"/>
                      <w:szCs w:val="16"/>
                    </w:rPr>
                    <w:t xml:space="preserve"> Outlet devices:</w:t>
                  </w:r>
                </w:p>
              </w:tc>
              <w:tc>
                <w:tcPr>
                  <w:tcW w:w="1296" w:type="dxa"/>
                  <w:tcBorders>
                    <w:top w:val="single" w:sz="4" w:space="0" w:color="auto"/>
                    <w:left w:val="nil"/>
                    <w:bottom w:val="nil"/>
                    <w:right w:val="nil"/>
                  </w:tcBorders>
                  <w:hideMark/>
                </w:tcPr>
                <w:p w14:paraId="40A68B6E" w14:textId="77777777" w:rsidR="00FC5566" w:rsidRPr="00FC5566" w:rsidRDefault="00FC5566" w:rsidP="00FC5566">
                  <w:pPr>
                    <w:spacing w:line="276" w:lineRule="auto"/>
                    <w:rPr>
                      <w:sz w:val="16"/>
                      <w:szCs w:val="16"/>
                    </w:rPr>
                  </w:pPr>
                </w:p>
              </w:tc>
              <w:tc>
                <w:tcPr>
                  <w:tcW w:w="1296" w:type="dxa"/>
                  <w:tcBorders>
                    <w:top w:val="single" w:sz="4" w:space="0" w:color="auto"/>
                    <w:left w:val="nil"/>
                    <w:bottom w:val="nil"/>
                    <w:right w:val="nil"/>
                  </w:tcBorders>
                  <w:hideMark/>
                </w:tcPr>
                <w:p w14:paraId="503FCB82" w14:textId="77777777" w:rsidR="00FC5566" w:rsidRPr="00FC5566" w:rsidRDefault="00FC5566" w:rsidP="00FC5566">
                  <w:pPr>
                    <w:spacing w:line="276" w:lineRule="auto"/>
                    <w:rPr>
                      <w:rFonts w:eastAsia="Aptos"/>
                      <w:sz w:val="16"/>
                      <w:szCs w:val="16"/>
                    </w:rPr>
                  </w:pPr>
                </w:p>
              </w:tc>
              <w:tc>
                <w:tcPr>
                  <w:tcW w:w="1296" w:type="dxa"/>
                  <w:tcBorders>
                    <w:top w:val="single" w:sz="4" w:space="0" w:color="auto"/>
                    <w:left w:val="nil"/>
                    <w:bottom w:val="nil"/>
                    <w:right w:val="nil"/>
                  </w:tcBorders>
                  <w:hideMark/>
                </w:tcPr>
                <w:p w14:paraId="3A6F1E2E" w14:textId="77777777" w:rsidR="00FC5566" w:rsidRPr="00FC5566" w:rsidRDefault="00FC5566" w:rsidP="00FC5566">
                  <w:pPr>
                    <w:spacing w:line="276" w:lineRule="auto"/>
                    <w:rPr>
                      <w:rFonts w:eastAsia="Aptos"/>
                      <w:sz w:val="16"/>
                      <w:szCs w:val="16"/>
                    </w:rPr>
                  </w:pPr>
                </w:p>
              </w:tc>
              <w:tc>
                <w:tcPr>
                  <w:tcW w:w="1296" w:type="dxa"/>
                  <w:tcBorders>
                    <w:top w:val="single" w:sz="4" w:space="0" w:color="auto"/>
                    <w:left w:val="nil"/>
                    <w:bottom w:val="nil"/>
                    <w:right w:val="nil"/>
                  </w:tcBorders>
                  <w:hideMark/>
                </w:tcPr>
                <w:p w14:paraId="53E5B063" w14:textId="77777777" w:rsidR="00FC5566" w:rsidRPr="00FC5566" w:rsidRDefault="00FC5566" w:rsidP="00FC5566">
                  <w:pPr>
                    <w:spacing w:line="276" w:lineRule="auto"/>
                    <w:rPr>
                      <w:rFonts w:eastAsia="Aptos"/>
                      <w:sz w:val="16"/>
                      <w:szCs w:val="16"/>
                    </w:rPr>
                  </w:pPr>
                </w:p>
              </w:tc>
              <w:tc>
                <w:tcPr>
                  <w:tcW w:w="1296" w:type="dxa"/>
                  <w:tcBorders>
                    <w:top w:val="single" w:sz="4" w:space="0" w:color="auto"/>
                    <w:left w:val="nil"/>
                    <w:bottom w:val="nil"/>
                    <w:right w:val="nil"/>
                  </w:tcBorders>
                  <w:hideMark/>
                </w:tcPr>
                <w:p w14:paraId="2DACB276" w14:textId="77777777" w:rsidR="00FC5566" w:rsidRPr="00FC5566" w:rsidRDefault="00FC5566" w:rsidP="00FC5566">
                  <w:pPr>
                    <w:spacing w:line="276" w:lineRule="auto"/>
                    <w:rPr>
                      <w:rFonts w:eastAsia="Aptos"/>
                      <w:sz w:val="16"/>
                      <w:szCs w:val="16"/>
                    </w:rPr>
                  </w:pPr>
                </w:p>
              </w:tc>
              <w:tc>
                <w:tcPr>
                  <w:tcW w:w="1296" w:type="dxa"/>
                  <w:tcBorders>
                    <w:top w:val="single" w:sz="4" w:space="0" w:color="auto"/>
                    <w:left w:val="nil"/>
                    <w:bottom w:val="nil"/>
                    <w:right w:val="single" w:sz="4" w:space="0" w:color="auto"/>
                  </w:tcBorders>
                  <w:hideMark/>
                </w:tcPr>
                <w:p w14:paraId="5547334E" w14:textId="77777777" w:rsidR="00FC5566" w:rsidRPr="00FC5566" w:rsidRDefault="00FC5566" w:rsidP="00FC5566">
                  <w:pPr>
                    <w:spacing w:line="276" w:lineRule="auto"/>
                    <w:rPr>
                      <w:rFonts w:eastAsia="Aptos"/>
                      <w:sz w:val="16"/>
                      <w:szCs w:val="16"/>
                    </w:rPr>
                  </w:pPr>
                </w:p>
              </w:tc>
            </w:tr>
            <w:tr w:rsidR="00FC5566" w:rsidRPr="00FC5566" w14:paraId="2DE7211C" w14:textId="77777777" w:rsidTr="00B247D5">
              <w:trPr>
                <w:trHeight w:val="181"/>
                <w:jc w:val="center"/>
              </w:trPr>
              <w:tc>
                <w:tcPr>
                  <w:tcW w:w="2134" w:type="dxa"/>
                  <w:tcBorders>
                    <w:top w:val="nil"/>
                    <w:left w:val="single" w:sz="4" w:space="0" w:color="auto"/>
                    <w:bottom w:val="nil"/>
                    <w:right w:val="nil"/>
                  </w:tcBorders>
                  <w:hideMark/>
                </w:tcPr>
                <w:p w14:paraId="2B694D1D" w14:textId="77777777" w:rsidR="00FC5566" w:rsidRPr="00FC5566" w:rsidRDefault="00FC5566" w:rsidP="00FC5566">
                  <w:pPr>
                    <w:spacing w:line="480" w:lineRule="auto"/>
                    <w:rPr>
                      <w:sz w:val="16"/>
                      <w:szCs w:val="16"/>
                    </w:rPr>
                  </w:pPr>
                  <w:r w:rsidRPr="00FC5566">
                    <w:rPr>
                      <w:sz w:val="16"/>
                      <w:szCs w:val="16"/>
                    </w:rPr>
                    <w:t xml:space="preserve"> Lampholders permitted</w:t>
                  </w:r>
                </w:p>
              </w:tc>
              <w:tc>
                <w:tcPr>
                  <w:tcW w:w="1296" w:type="dxa"/>
                  <w:tcBorders>
                    <w:top w:val="nil"/>
                    <w:left w:val="nil"/>
                    <w:bottom w:val="nil"/>
                    <w:right w:val="nil"/>
                  </w:tcBorders>
                  <w:hideMark/>
                </w:tcPr>
                <w:p w14:paraId="01C022C3" w14:textId="77777777" w:rsidR="00FC5566" w:rsidRPr="00FC5566" w:rsidRDefault="00FC5566" w:rsidP="00FC5566">
                  <w:pPr>
                    <w:spacing w:line="480" w:lineRule="auto"/>
                    <w:jc w:val="center"/>
                    <w:rPr>
                      <w:sz w:val="16"/>
                      <w:szCs w:val="16"/>
                    </w:rPr>
                  </w:pPr>
                  <w:r w:rsidRPr="00FC5566">
                    <w:rPr>
                      <w:sz w:val="16"/>
                      <w:szCs w:val="16"/>
                    </w:rPr>
                    <w:t>Any type</w:t>
                  </w:r>
                </w:p>
              </w:tc>
              <w:tc>
                <w:tcPr>
                  <w:tcW w:w="1296" w:type="dxa"/>
                  <w:tcBorders>
                    <w:top w:val="nil"/>
                    <w:left w:val="nil"/>
                    <w:bottom w:val="nil"/>
                    <w:right w:val="nil"/>
                  </w:tcBorders>
                  <w:hideMark/>
                </w:tcPr>
                <w:p w14:paraId="4302426B" w14:textId="77777777" w:rsidR="00FC5566" w:rsidRPr="00FC5566" w:rsidRDefault="00FC5566" w:rsidP="00FC5566">
                  <w:pPr>
                    <w:spacing w:line="480" w:lineRule="auto"/>
                    <w:jc w:val="center"/>
                    <w:rPr>
                      <w:sz w:val="16"/>
                      <w:szCs w:val="16"/>
                    </w:rPr>
                  </w:pPr>
                  <w:r w:rsidRPr="00FC5566">
                    <w:rPr>
                      <w:sz w:val="16"/>
                      <w:szCs w:val="16"/>
                    </w:rPr>
                    <w:t>Any type</w:t>
                  </w:r>
                </w:p>
              </w:tc>
              <w:tc>
                <w:tcPr>
                  <w:tcW w:w="1296" w:type="dxa"/>
                  <w:tcBorders>
                    <w:top w:val="nil"/>
                    <w:left w:val="nil"/>
                    <w:bottom w:val="nil"/>
                    <w:right w:val="nil"/>
                  </w:tcBorders>
                  <w:hideMark/>
                </w:tcPr>
                <w:p w14:paraId="48BAE9D3" w14:textId="77777777" w:rsidR="00FC5566" w:rsidRPr="00FC5566" w:rsidRDefault="00FC5566" w:rsidP="00FC5566">
                  <w:pPr>
                    <w:spacing w:line="480" w:lineRule="auto"/>
                    <w:jc w:val="center"/>
                    <w:rPr>
                      <w:sz w:val="16"/>
                      <w:szCs w:val="16"/>
                    </w:rPr>
                  </w:pPr>
                  <w:r w:rsidRPr="00FC5566">
                    <w:rPr>
                      <w:sz w:val="16"/>
                      <w:szCs w:val="16"/>
                    </w:rPr>
                    <w:t>Any type</w:t>
                  </w:r>
                </w:p>
              </w:tc>
              <w:tc>
                <w:tcPr>
                  <w:tcW w:w="1296" w:type="dxa"/>
                  <w:tcBorders>
                    <w:top w:val="nil"/>
                    <w:left w:val="nil"/>
                    <w:bottom w:val="nil"/>
                    <w:right w:val="nil"/>
                  </w:tcBorders>
                  <w:hideMark/>
                </w:tcPr>
                <w:p w14:paraId="45A92429" w14:textId="77777777" w:rsidR="00FC5566" w:rsidRPr="00FC5566" w:rsidRDefault="00FC5566" w:rsidP="00FC5566">
                  <w:pPr>
                    <w:spacing w:line="480" w:lineRule="auto"/>
                    <w:jc w:val="center"/>
                    <w:rPr>
                      <w:sz w:val="16"/>
                      <w:szCs w:val="16"/>
                    </w:rPr>
                  </w:pPr>
                  <w:r w:rsidRPr="00FC5566">
                    <w:rPr>
                      <w:sz w:val="16"/>
                      <w:szCs w:val="16"/>
                    </w:rPr>
                    <w:t>Heavy duty</w:t>
                  </w:r>
                </w:p>
              </w:tc>
              <w:tc>
                <w:tcPr>
                  <w:tcW w:w="1296" w:type="dxa"/>
                  <w:tcBorders>
                    <w:top w:val="nil"/>
                    <w:left w:val="nil"/>
                    <w:bottom w:val="nil"/>
                    <w:right w:val="nil"/>
                  </w:tcBorders>
                  <w:hideMark/>
                </w:tcPr>
                <w:p w14:paraId="04DD10F0" w14:textId="77777777" w:rsidR="00FC5566" w:rsidRPr="00FC5566" w:rsidRDefault="00FC5566" w:rsidP="00FC5566">
                  <w:pPr>
                    <w:spacing w:line="480" w:lineRule="auto"/>
                    <w:jc w:val="center"/>
                    <w:rPr>
                      <w:sz w:val="16"/>
                      <w:szCs w:val="16"/>
                    </w:rPr>
                  </w:pPr>
                  <w:r w:rsidRPr="00FC5566">
                    <w:rPr>
                      <w:sz w:val="16"/>
                      <w:szCs w:val="16"/>
                    </w:rPr>
                    <w:t>Heavy duty</w:t>
                  </w:r>
                </w:p>
              </w:tc>
              <w:tc>
                <w:tcPr>
                  <w:tcW w:w="1296" w:type="dxa"/>
                  <w:tcBorders>
                    <w:top w:val="nil"/>
                    <w:left w:val="nil"/>
                    <w:bottom w:val="nil"/>
                    <w:right w:val="single" w:sz="4" w:space="0" w:color="auto"/>
                  </w:tcBorders>
                  <w:hideMark/>
                </w:tcPr>
                <w:p w14:paraId="2FDF8B13" w14:textId="77777777" w:rsidR="00FC5566" w:rsidRPr="00FC5566" w:rsidRDefault="00FC5566" w:rsidP="00FC5566">
                  <w:pPr>
                    <w:spacing w:line="480" w:lineRule="auto"/>
                    <w:jc w:val="center"/>
                    <w:rPr>
                      <w:sz w:val="16"/>
                      <w:szCs w:val="16"/>
                    </w:rPr>
                  </w:pPr>
                  <w:r w:rsidRPr="00FC5566">
                    <w:rPr>
                      <w:sz w:val="16"/>
                      <w:szCs w:val="16"/>
                    </w:rPr>
                    <w:t>Heavy duty</w:t>
                  </w:r>
                </w:p>
              </w:tc>
            </w:tr>
            <w:tr w:rsidR="00FC5566" w:rsidRPr="00FC5566" w14:paraId="0AE815CD" w14:textId="77777777" w:rsidTr="00B247D5">
              <w:trPr>
                <w:trHeight w:val="181"/>
                <w:jc w:val="center"/>
              </w:trPr>
              <w:tc>
                <w:tcPr>
                  <w:tcW w:w="2134" w:type="dxa"/>
                  <w:tcBorders>
                    <w:top w:val="nil"/>
                    <w:left w:val="single" w:sz="4" w:space="0" w:color="auto"/>
                    <w:bottom w:val="single" w:sz="4" w:space="0" w:color="auto"/>
                    <w:right w:val="nil"/>
                  </w:tcBorders>
                  <w:hideMark/>
                </w:tcPr>
                <w:p w14:paraId="16EDF469" w14:textId="77777777" w:rsidR="00FC5566" w:rsidRPr="00FC5566" w:rsidRDefault="00FC5566" w:rsidP="00FC5566">
                  <w:pPr>
                    <w:spacing w:line="480" w:lineRule="auto"/>
                    <w:rPr>
                      <w:sz w:val="16"/>
                      <w:szCs w:val="16"/>
                    </w:rPr>
                  </w:pPr>
                  <w:r w:rsidRPr="00FC5566">
                    <w:rPr>
                      <w:sz w:val="16"/>
                      <w:szCs w:val="16"/>
                    </w:rPr>
                    <w:t xml:space="preserve"> Receptacle rating</w:t>
                  </w:r>
                  <w:r w:rsidRPr="00FC5566">
                    <w:rPr>
                      <w:sz w:val="16"/>
                      <w:szCs w:val="16"/>
                      <w:vertAlign w:val="superscript"/>
                    </w:rPr>
                    <w:t>1</w:t>
                  </w:r>
                </w:p>
              </w:tc>
              <w:tc>
                <w:tcPr>
                  <w:tcW w:w="1296" w:type="dxa"/>
                  <w:tcBorders>
                    <w:top w:val="nil"/>
                    <w:left w:val="nil"/>
                    <w:bottom w:val="single" w:sz="4" w:space="0" w:color="auto"/>
                    <w:right w:val="nil"/>
                  </w:tcBorders>
                  <w:hideMark/>
                </w:tcPr>
                <w:p w14:paraId="41C60D54" w14:textId="77777777" w:rsidR="00FC5566" w:rsidRPr="00FC5566" w:rsidRDefault="00FC5566" w:rsidP="00FC5566">
                  <w:pPr>
                    <w:spacing w:line="480" w:lineRule="auto"/>
                    <w:jc w:val="center"/>
                    <w:rPr>
                      <w:sz w:val="16"/>
                      <w:szCs w:val="16"/>
                    </w:rPr>
                  </w:pPr>
                  <w:r w:rsidRPr="00FC5566">
                    <w:rPr>
                      <w:sz w:val="16"/>
                      <w:szCs w:val="16"/>
                    </w:rPr>
                    <w:t>Not applicable</w:t>
                  </w:r>
                  <w:r w:rsidRPr="00FC5566">
                    <w:rPr>
                      <w:sz w:val="16"/>
                      <w:szCs w:val="16"/>
                      <w:vertAlign w:val="superscript"/>
                    </w:rPr>
                    <w:t>2</w:t>
                  </w:r>
                </w:p>
              </w:tc>
              <w:tc>
                <w:tcPr>
                  <w:tcW w:w="1296" w:type="dxa"/>
                  <w:tcBorders>
                    <w:top w:val="nil"/>
                    <w:left w:val="nil"/>
                    <w:bottom w:val="single" w:sz="4" w:space="0" w:color="auto"/>
                    <w:right w:val="nil"/>
                  </w:tcBorders>
                  <w:hideMark/>
                </w:tcPr>
                <w:p w14:paraId="65FA174C" w14:textId="77777777" w:rsidR="00FC5566" w:rsidRPr="00FC5566" w:rsidRDefault="00FC5566" w:rsidP="00FC5566">
                  <w:pPr>
                    <w:spacing w:line="480" w:lineRule="auto"/>
                    <w:jc w:val="center"/>
                    <w:rPr>
                      <w:sz w:val="16"/>
                      <w:szCs w:val="16"/>
                    </w:rPr>
                  </w:pPr>
                  <w:r w:rsidRPr="00FC5566">
                    <w:rPr>
                      <w:sz w:val="16"/>
                      <w:szCs w:val="16"/>
                    </w:rPr>
                    <w:t>15 A max.</w:t>
                  </w:r>
                </w:p>
              </w:tc>
              <w:tc>
                <w:tcPr>
                  <w:tcW w:w="1296" w:type="dxa"/>
                  <w:tcBorders>
                    <w:top w:val="nil"/>
                    <w:left w:val="nil"/>
                    <w:bottom w:val="single" w:sz="4" w:space="0" w:color="auto"/>
                    <w:right w:val="nil"/>
                  </w:tcBorders>
                  <w:hideMark/>
                </w:tcPr>
                <w:p w14:paraId="465C98E6" w14:textId="77777777" w:rsidR="00FC5566" w:rsidRPr="00FC5566" w:rsidRDefault="00FC5566" w:rsidP="00FC5566">
                  <w:pPr>
                    <w:spacing w:line="480" w:lineRule="auto"/>
                    <w:jc w:val="center"/>
                    <w:rPr>
                      <w:sz w:val="16"/>
                      <w:szCs w:val="16"/>
                    </w:rPr>
                  </w:pPr>
                  <w:r w:rsidRPr="00FC5566">
                    <w:rPr>
                      <w:sz w:val="16"/>
                      <w:szCs w:val="16"/>
                    </w:rPr>
                    <w:t>15 A or 20 A</w:t>
                  </w:r>
                </w:p>
              </w:tc>
              <w:tc>
                <w:tcPr>
                  <w:tcW w:w="1296" w:type="dxa"/>
                  <w:tcBorders>
                    <w:top w:val="nil"/>
                    <w:left w:val="nil"/>
                    <w:bottom w:val="single" w:sz="4" w:space="0" w:color="auto"/>
                    <w:right w:val="nil"/>
                  </w:tcBorders>
                  <w:hideMark/>
                </w:tcPr>
                <w:p w14:paraId="696284AC" w14:textId="77777777" w:rsidR="00FC5566" w:rsidRPr="00FC5566" w:rsidRDefault="00FC5566" w:rsidP="00FC5566">
                  <w:pPr>
                    <w:spacing w:line="480" w:lineRule="auto"/>
                    <w:jc w:val="center"/>
                    <w:rPr>
                      <w:sz w:val="16"/>
                      <w:szCs w:val="16"/>
                    </w:rPr>
                  </w:pPr>
                  <w:r w:rsidRPr="00FC5566">
                    <w:rPr>
                      <w:sz w:val="16"/>
                      <w:szCs w:val="16"/>
                    </w:rPr>
                    <w:t>30 A</w:t>
                  </w:r>
                </w:p>
              </w:tc>
              <w:tc>
                <w:tcPr>
                  <w:tcW w:w="1296" w:type="dxa"/>
                  <w:tcBorders>
                    <w:top w:val="nil"/>
                    <w:left w:val="nil"/>
                    <w:bottom w:val="single" w:sz="4" w:space="0" w:color="auto"/>
                    <w:right w:val="nil"/>
                  </w:tcBorders>
                  <w:hideMark/>
                </w:tcPr>
                <w:p w14:paraId="0388A184" w14:textId="77777777" w:rsidR="00FC5566" w:rsidRPr="00FC5566" w:rsidRDefault="00FC5566" w:rsidP="00FC5566">
                  <w:pPr>
                    <w:spacing w:line="480" w:lineRule="auto"/>
                    <w:jc w:val="center"/>
                    <w:rPr>
                      <w:sz w:val="16"/>
                      <w:szCs w:val="16"/>
                    </w:rPr>
                  </w:pPr>
                  <w:r w:rsidRPr="00FC5566">
                    <w:rPr>
                      <w:sz w:val="16"/>
                      <w:szCs w:val="16"/>
                    </w:rPr>
                    <w:t>40 A or 50 A</w:t>
                  </w:r>
                </w:p>
              </w:tc>
              <w:tc>
                <w:tcPr>
                  <w:tcW w:w="1296" w:type="dxa"/>
                  <w:tcBorders>
                    <w:top w:val="nil"/>
                    <w:left w:val="nil"/>
                    <w:bottom w:val="single" w:sz="4" w:space="0" w:color="auto"/>
                    <w:right w:val="single" w:sz="4" w:space="0" w:color="auto"/>
                  </w:tcBorders>
                  <w:hideMark/>
                </w:tcPr>
                <w:p w14:paraId="2BA8EF10" w14:textId="77777777" w:rsidR="00FC5566" w:rsidRPr="00FC5566" w:rsidRDefault="00FC5566" w:rsidP="00FC5566">
                  <w:pPr>
                    <w:spacing w:line="480" w:lineRule="auto"/>
                    <w:jc w:val="center"/>
                    <w:rPr>
                      <w:sz w:val="16"/>
                      <w:szCs w:val="16"/>
                    </w:rPr>
                  </w:pPr>
                  <w:r w:rsidRPr="00FC5566">
                    <w:rPr>
                      <w:sz w:val="16"/>
                      <w:szCs w:val="16"/>
                    </w:rPr>
                    <w:t>50 A</w:t>
                  </w:r>
                </w:p>
              </w:tc>
            </w:tr>
            <w:tr w:rsidR="00FC5566" w:rsidRPr="00FC5566" w14:paraId="5126FD24" w14:textId="77777777" w:rsidTr="00B247D5">
              <w:trPr>
                <w:trHeight w:val="181"/>
                <w:jc w:val="center"/>
              </w:trPr>
              <w:tc>
                <w:tcPr>
                  <w:tcW w:w="2134" w:type="dxa"/>
                  <w:tcBorders>
                    <w:top w:val="single" w:sz="4" w:space="0" w:color="auto"/>
                    <w:left w:val="single" w:sz="4" w:space="0" w:color="auto"/>
                    <w:bottom w:val="single" w:sz="4" w:space="0" w:color="auto"/>
                    <w:right w:val="nil"/>
                  </w:tcBorders>
                  <w:hideMark/>
                </w:tcPr>
                <w:p w14:paraId="04991CE9" w14:textId="77777777" w:rsidR="00FC5566" w:rsidRPr="00FC5566" w:rsidRDefault="00FC5566" w:rsidP="00FC5566">
                  <w:pPr>
                    <w:spacing w:line="480" w:lineRule="auto"/>
                    <w:jc w:val="center"/>
                    <w:rPr>
                      <w:sz w:val="16"/>
                      <w:szCs w:val="16"/>
                    </w:rPr>
                  </w:pPr>
                  <w:r w:rsidRPr="00FC5566">
                    <w:rPr>
                      <w:b/>
                      <w:bCs/>
                      <w:sz w:val="16"/>
                      <w:szCs w:val="16"/>
                    </w:rPr>
                    <w:t>Maximum Load</w:t>
                  </w:r>
                </w:p>
              </w:tc>
              <w:tc>
                <w:tcPr>
                  <w:tcW w:w="1296" w:type="dxa"/>
                  <w:tcBorders>
                    <w:top w:val="single" w:sz="4" w:space="0" w:color="auto"/>
                    <w:left w:val="nil"/>
                    <w:bottom w:val="single" w:sz="4" w:space="0" w:color="auto"/>
                    <w:right w:val="nil"/>
                  </w:tcBorders>
                  <w:hideMark/>
                </w:tcPr>
                <w:p w14:paraId="00F6DC68" w14:textId="77777777" w:rsidR="00FC5566" w:rsidRPr="00FC5566" w:rsidRDefault="00FC5566" w:rsidP="00FC5566">
                  <w:pPr>
                    <w:spacing w:line="480" w:lineRule="auto"/>
                    <w:jc w:val="center"/>
                    <w:rPr>
                      <w:sz w:val="16"/>
                      <w:szCs w:val="16"/>
                    </w:rPr>
                  </w:pPr>
                  <w:r w:rsidRPr="00FC5566">
                    <w:rPr>
                      <w:b/>
                      <w:bCs/>
                      <w:sz w:val="16"/>
                      <w:szCs w:val="16"/>
                    </w:rPr>
                    <w:t>10 A</w:t>
                  </w:r>
                </w:p>
              </w:tc>
              <w:tc>
                <w:tcPr>
                  <w:tcW w:w="1296" w:type="dxa"/>
                  <w:tcBorders>
                    <w:top w:val="single" w:sz="4" w:space="0" w:color="auto"/>
                    <w:left w:val="nil"/>
                    <w:bottom w:val="single" w:sz="4" w:space="0" w:color="auto"/>
                    <w:right w:val="nil"/>
                  </w:tcBorders>
                  <w:vAlign w:val="bottom"/>
                  <w:hideMark/>
                </w:tcPr>
                <w:p w14:paraId="19723961" w14:textId="77777777" w:rsidR="00FC5566" w:rsidRPr="00FC5566" w:rsidRDefault="00FC5566" w:rsidP="00FC5566">
                  <w:pPr>
                    <w:spacing w:line="480" w:lineRule="auto"/>
                    <w:jc w:val="center"/>
                    <w:rPr>
                      <w:sz w:val="16"/>
                      <w:szCs w:val="16"/>
                    </w:rPr>
                  </w:pPr>
                  <w:r w:rsidRPr="00FC5566">
                    <w:rPr>
                      <w:b/>
                      <w:bCs/>
                      <w:sz w:val="16"/>
                      <w:szCs w:val="16"/>
                    </w:rPr>
                    <w:t>15 A</w:t>
                  </w:r>
                </w:p>
              </w:tc>
              <w:tc>
                <w:tcPr>
                  <w:tcW w:w="1296" w:type="dxa"/>
                  <w:tcBorders>
                    <w:top w:val="single" w:sz="4" w:space="0" w:color="auto"/>
                    <w:left w:val="nil"/>
                    <w:bottom w:val="single" w:sz="4" w:space="0" w:color="auto"/>
                    <w:right w:val="nil"/>
                  </w:tcBorders>
                  <w:vAlign w:val="bottom"/>
                  <w:hideMark/>
                </w:tcPr>
                <w:p w14:paraId="4E100F89" w14:textId="77777777" w:rsidR="00FC5566" w:rsidRPr="00FC5566" w:rsidRDefault="00FC5566" w:rsidP="00FC5566">
                  <w:pPr>
                    <w:spacing w:line="480" w:lineRule="auto"/>
                    <w:jc w:val="center"/>
                    <w:rPr>
                      <w:sz w:val="16"/>
                      <w:szCs w:val="16"/>
                    </w:rPr>
                  </w:pPr>
                  <w:r w:rsidRPr="00FC5566">
                    <w:rPr>
                      <w:b/>
                      <w:bCs/>
                      <w:sz w:val="16"/>
                      <w:szCs w:val="16"/>
                    </w:rPr>
                    <w:t>20 A</w:t>
                  </w:r>
                </w:p>
              </w:tc>
              <w:tc>
                <w:tcPr>
                  <w:tcW w:w="1296" w:type="dxa"/>
                  <w:tcBorders>
                    <w:top w:val="single" w:sz="4" w:space="0" w:color="auto"/>
                    <w:left w:val="nil"/>
                    <w:bottom w:val="single" w:sz="4" w:space="0" w:color="auto"/>
                    <w:right w:val="nil"/>
                  </w:tcBorders>
                  <w:vAlign w:val="bottom"/>
                  <w:hideMark/>
                </w:tcPr>
                <w:p w14:paraId="5930E32E" w14:textId="77777777" w:rsidR="00FC5566" w:rsidRPr="00FC5566" w:rsidRDefault="00FC5566" w:rsidP="00FC5566">
                  <w:pPr>
                    <w:spacing w:line="480" w:lineRule="auto"/>
                    <w:jc w:val="center"/>
                    <w:rPr>
                      <w:sz w:val="16"/>
                      <w:szCs w:val="16"/>
                    </w:rPr>
                  </w:pPr>
                  <w:r w:rsidRPr="00FC5566">
                    <w:rPr>
                      <w:b/>
                      <w:bCs/>
                      <w:sz w:val="16"/>
                      <w:szCs w:val="16"/>
                    </w:rPr>
                    <w:t>30 A</w:t>
                  </w:r>
                </w:p>
              </w:tc>
              <w:tc>
                <w:tcPr>
                  <w:tcW w:w="1296" w:type="dxa"/>
                  <w:tcBorders>
                    <w:top w:val="single" w:sz="4" w:space="0" w:color="auto"/>
                    <w:left w:val="nil"/>
                    <w:bottom w:val="single" w:sz="4" w:space="0" w:color="auto"/>
                    <w:right w:val="nil"/>
                  </w:tcBorders>
                  <w:vAlign w:val="bottom"/>
                  <w:hideMark/>
                </w:tcPr>
                <w:p w14:paraId="43884D27" w14:textId="77777777" w:rsidR="00FC5566" w:rsidRPr="00FC5566" w:rsidRDefault="00FC5566" w:rsidP="00FC5566">
                  <w:pPr>
                    <w:spacing w:line="480" w:lineRule="auto"/>
                    <w:jc w:val="center"/>
                    <w:rPr>
                      <w:sz w:val="16"/>
                      <w:szCs w:val="16"/>
                    </w:rPr>
                  </w:pPr>
                  <w:r w:rsidRPr="00FC5566">
                    <w:rPr>
                      <w:b/>
                      <w:bCs/>
                      <w:sz w:val="16"/>
                      <w:szCs w:val="16"/>
                    </w:rPr>
                    <w:t>40 A</w:t>
                  </w:r>
                </w:p>
              </w:tc>
              <w:tc>
                <w:tcPr>
                  <w:tcW w:w="1296" w:type="dxa"/>
                  <w:tcBorders>
                    <w:top w:val="single" w:sz="4" w:space="0" w:color="auto"/>
                    <w:left w:val="nil"/>
                    <w:bottom w:val="single" w:sz="4" w:space="0" w:color="auto"/>
                    <w:right w:val="single" w:sz="4" w:space="0" w:color="auto"/>
                  </w:tcBorders>
                  <w:vAlign w:val="bottom"/>
                  <w:hideMark/>
                </w:tcPr>
                <w:p w14:paraId="5F04AB28" w14:textId="77777777" w:rsidR="00FC5566" w:rsidRPr="00FC5566" w:rsidRDefault="00FC5566" w:rsidP="00FC5566">
                  <w:pPr>
                    <w:spacing w:line="480" w:lineRule="auto"/>
                    <w:jc w:val="center"/>
                    <w:rPr>
                      <w:sz w:val="16"/>
                      <w:szCs w:val="16"/>
                    </w:rPr>
                  </w:pPr>
                  <w:r w:rsidRPr="00FC5566">
                    <w:rPr>
                      <w:b/>
                      <w:bCs/>
                      <w:sz w:val="16"/>
                      <w:szCs w:val="16"/>
                    </w:rPr>
                    <w:t>50 A</w:t>
                  </w:r>
                </w:p>
              </w:tc>
            </w:tr>
            <w:tr w:rsidR="00FC5566" w:rsidRPr="00FC5566" w14:paraId="2D3C9DAE" w14:textId="77777777" w:rsidTr="00B247D5">
              <w:trPr>
                <w:trHeight w:val="181"/>
                <w:jc w:val="center"/>
              </w:trPr>
              <w:tc>
                <w:tcPr>
                  <w:tcW w:w="2134" w:type="dxa"/>
                  <w:tcBorders>
                    <w:top w:val="single" w:sz="4" w:space="0" w:color="auto"/>
                    <w:left w:val="single" w:sz="4" w:space="0" w:color="auto"/>
                    <w:bottom w:val="single" w:sz="4" w:space="0" w:color="auto"/>
                    <w:right w:val="nil"/>
                  </w:tcBorders>
                  <w:hideMark/>
                </w:tcPr>
                <w:p w14:paraId="5FCA1F39" w14:textId="77777777" w:rsidR="00FC5566" w:rsidRPr="00FC5566" w:rsidRDefault="00FC5566" w:rsidP="00FC5566">
                  <w:pPr>
                    <w:spacing w:line="480" w:lineRule="auto"/>
                    <w:rPr>
                      <w:sz w:val="16"/>
                      <w:szCs w:val="16"/>
                    </w:rPr>
                  </w:pPr>
                  <w:r w:rsidRPr="00FC5566">
                    <w:rPr>
                      <w:sz w:val="16"/>
                      <w:szCs w:val="16"/>
                    </w:rPr>
                    <w:t xml:space="preserve"> Permissible load</w:t>
                  </w:r>
                </w:p>
              </w:tc>
              <w:tc>
                <w:tcPr>
                  <w:tcW w:w="1296" w:type="dxa"/>
                  <w:tcBorders>
                    <w:top w:val="single" w:sz="4" w:space="0" w:color="auto"/>
                    <w:left w:val="nil"/>
                    <w:bottom w:val="single" w:sz="4" w:space="0" w:color="auto"/>
                    <w:right w:val="nil"/>
                  </w:tcBorders>
                  <w:hideMark/>
                </w:tcPr>
                <w:p w14:paraId="681CC30B" w14:textId="77777777" w:rsidR="00FC5566" w:rsidRPr="00FC5566" w:rsidRDefault="00FC5566" w:rsidP="00FC5566">
                  <w:pPr>
                    <w:spacing w:line="480" w:lineRule="auto"/>
                    <w:jc w:val="center"/>
                    <w:rPr>
                      <w:sz w:val="16"/>
                      <w:szCs w:val="16"/>
                    </w:rPr>
                  </w:pPr>
                  <w:r w:rsidRPr="00FC5566">
                    <w:rPr>
                      <w:sz w:val="16"/>
                      <w:szCs w:val="16"/>
                    </w:rPr>
                    <w:t>See 210.23(A).</w:t>
                  </w:r>
                </w:p>
              </w:tc>
              <w:tc>
                <w:tcPr>
                  <w:tcW w:w="1296" w:type="dxa"/>
                  <w:tcBorders>
                    <w:top w:val="single" w:sz="4" w:space="0" w:color="auto"/>
                    <w:left w:val="nil"/>
                    <w:bottom w:val="single" w:sz="4" w:space="0" w:color="auto"/>
                    <w:right w:val="nil"/>
                  </w:tcBorders>
                  <w:hideMark/>
                </w:tcPr>
                <w:p w14:paraId="32736812" w14:textId="77777777" w:rsidR="00FC5566" w:rsidRPr="00FC5566" w:rsidRDefault="00FC5566" w:rsidP="00FC5566">
                  <w:pPr>
                    <w:spacing w:line="480" w:lineRule="auto"/>
                    <w:jc w:val="center"/>
                    <w:rPr>
                      <w:sz w:val="16"/>
                      <w:szCs w:val="16"/>
                    </w:rPr>
                  </w:pPr>
                  <w:r w:rsidRPr="00FC5566">
                    <w:rPr>
                      <w:sz w:val="16"/>
                      <w:szCs w:val="16"/>
                    </w:rPr>
                    <w:t>See 210.23(B).</w:t>
                  </w:r>
                </w:p>
              </w:tc>
              <w:tc>
                <w:tcPr>
                  <w:tcW w:w="1296" w:type="dxa"/>
                  <w:tcBorders>
                    <w:top w:val="single" w:sz="4" w:space="0" w:color="auto"/>
                    <w:left w:val="nil"/>
                    <w:bottom w:val="single" w:sz="4" w:space="0" w:color="auto"/>
                    <w:right w:val="nil"/>
                  </w:tcBorders>
                  <w:hideMark/>
                </w:tcPr>
                <w:p w14:paraId="106C43AC" w14:textId="77777777" w:rsidR="00FC5566" w:rsidRPr="00FC5566" w:rsidRDefault="00FC5566" w:rsidP="00FC5566">
                  <w:pPr>
                    <w:spacing w:line="480" w:lineRule="auto"/>
                    <w:jc w:val="center"/>
                    <w:rPr>
                      <w:sz w:val="16"/>
                      <w:szCs w:val="16"/>
                    </w:rPr>
                  </w:pPr>
                  <w:r w:rsidRPr="00FC5566">
                    <w:rPr>
                      <w:sz w:val="16"/>
                      <w:szCs w:val="16"/>
                    </w:rPr>
                    <w:t>See 210.23(B).</w:t>
                  </w:r>
                </w:p>
              </w:tc>
              <w:tc>
                <w:tcPr>
                  <w:tcW w:w="1296" w:type="dxa"/>
                  <w:tcBorders>
                    <w:top w:val="single" w:sz="4" w:space="0" w:color="auto"/>
                    <w:left w:val="nil"/>
                    <w:bottom w:val="single" w:sz="4" w:space="0" w:color="auto"/>
                    <w:right w:val="nil"/>
                  </w:tcBorders>
                  <w:hideMark/>
                </w:tcPr>
                <w:p w14:paraId="246CDBC0" w14:textId="77777777" w:rsidR="00FC5566" w:rsidRPr="00FC5566" w:rsidRDefault="00FC5566" w:rsidP="00FC5566">
                  <w:pPr>
                    <w:spacing w:line="480" w:lineRule="auto"/>
                    <w:jc w:val="center"/>
                    <w:rPr>
                      <w:sz w:val="16"/>
                      <w:szCs w:val="16"/>
                    </w:rPr>
                  </w:pPr>
                  <w:r w:rsidRPr="00FC5566">
                    <w:rPr>
                      <w:sz w:val="16"/>
                      <w:szCs w:val="16"/>
                    </w:rPr>
                    <w:t>See 210.23(C).</w:t>
                  </w:r>
                </w:p>
              </w:tc>
              <w:tc>
                <w:tcPr>
                  <w:tcW w:w="1296" w:type="dxa"/>
                  <w:tcBorders>
                    <w:top w:val="single" w:sz="4" w:space="0" w:color="auto"/>
                    <w:left w:val="nil"/>
                    <w:bottom w:val="single" w:sz="4" w:space="0" w:color="auto"/>
                    <w:right w:val="nil"/>
                  </w:tcBorders>
                  <w:hideMark/>
                </w:tcPr>
                <w:p w14:paraId="7F372C6A" w14:textId="77777777" w:rsidR="00FC5566" w:rsidRPr="00FC5566" w:rsidRDefault="00FC5566" w:rsidP="00FC5566">
                  <w:pPr>
                    <w:spacing w:line="480" w:lineRule="auto"/>
                    <w:jc w:val="center"/>
                    <w:rPr>
                      <w:sz w:val="16"/>
                      <w:szCs w:val="16"/>
                    </w:rPr>
                  </w:pPr>
                  <w:r w:rsidRPr="00FC5566">
                    <w:rPr>
                      <w:sz w:val="16"/>
                      <w:szCs w:val="16"/>
                    </w:rPr>
                    <w:t>See 210.23(D).</w:t>
                  </w:r>
                </w:p>
              </w:tc>
              <w:tc>
                <w:tcPr>
                  <w:tcW w:w="1296" w:type="dxa"/>
                  <w:tcBorders>
                    <w:top w:val="single" w:sz="4" w:space="0" w:color="auto"/>
                    <w:left w:val="nil"/>
                    <w:bottom w:val="single" w:sz="4" w:space="0" w:color="auto"/>
                    <w:right w:val="single" w:sz="4" w:space="0" w:color="auto"/>
                  </w:tcBorders>
                  <w:hideMark/>
                </w:tcPr>
                <w:p w14:paraId="02AFCC48" w14:textId="77777777" w:rsidR="00FC5566" w:rsidRPr="00FC5566" w:rsidRDefault="00FC5566" w:rsidP="00FC5566">
                  <w:pPr>
                    <w:spacing w:line="480" w:lineRule="auto"/>
                    <w:jc w:val="center"/>
                    <w:rPr>
                      <w:sz w:val="16"/>
                      <w:szCs w:val="16"/>
                    </w:rPr>
                  </w:pPr>
                  <w:r w:rsidRPr="00FC5566">
                    <w:rPr>
                      <w:sz w:val="16"/>
                      <w:szCs w:val="16"/>
                    </w:rPr>
                    <w:t>See 210.23(D).</w:t>
                  </w:r>
                </w:p>
              </w:tc>
            </w:tr>
          </w:tbl>
          <w:p w14:paraId="0979E68C" w14:textId="77777777" w:rsidR="00FC5566" w:rsidRPr="00FC5566" w:rsidRDefault="00FC5566" w:rsidP="00FC5566">
            <w:pPr>
              <w:widowControl w:val="0"/>
              <w:autoSpaceDE w:val="0"/>
              <w:autoSpaceDN w:val="0"/>
              <w:ind w:right="88"/>
              <w:rPr>
                <w:sz w:val="16"/>
                <w:szCs w:val="16"/>
              </w:rPr>
            </w:pPr>
            <w:r w:rsidRPr="00FC5566">
              <w:rPr>
                <w:rFonts w:ascii="Calibri" w:hAnsi="Calibri" w:cs="Calibri"/>
                <w:sz w:val="16"/>
                <w:szCs w:val="16"/>
                <w:vertAlign w:val="superscript"/>
              </w:rPr>
              <w:t xml:space="preserve">                    </w:t>
            </w:r>
            <w:r w:rsidRPr="00FC5566">
              <w:rPr>
                <w:sz w:val="16"/>
                <w:szCs w:val="16"/>
                <w:vertAlign w:val="superscript"/>
              </w:rPr>
              <w:t>1</w:t>
            </w:r>
            <w:r w:rsidRPr="00FC5566">
              <w:rPr>
                <w:sz w:val="16"/>
                <w:szCs w:val="16"/>
              </w:rPr>
              <w:t>For receptacle rating of cord-connected electric-discharge luminaires, see 410.62(C).</w:t>
            </w:r>
          </w:p>
          <w:p w14:paraId="248E342C" w14:textId="77777777" w:rsidR="00FC5566" w:rsidRPr="00FC5566" w:rsidRDefault="00FC5566" w:rsidP="00FC5566">
            <w:pPr>
              <w:widowControl w:val="0"/>
              <w:autoSpaceDE w:val="0"/>
              <w:autoSpaceDN w:val="0"/>
              <w:ind w:right="88"/>
              <w:rPr>
                <w:sz w:val="16"/>
                <w:szCs w:val="16"/>
                <w:vertAlign w:val="superscript"/>
              </w:rPr>
            </w:pPr>
            <w:r w:rsidRPr="00FC5566">
              <w:rPr>
                <w:sz w:val="16"/>
                <w:szCs w:val="16"/>
                <w:vertAlign w:val="superscript"/>
              </w:rPr>
              <w:t xml:space="preserve">                  2</w:t>
            </w:r>
            <w:r w:rsidRPr="00FC5566">
              <w:rPr>
                <w:sz w:val="16"/>
                <w:szCs w:val="16"/>
              </w:rPr>
              <w:t>Branch circuits rated 10-amperes shall not supply receptacle outlets</w:t>
            </w:r>
          </w:p>
        </w:tc>
      </w:tr>
      <w:tr w:rsidR="00FC5566" w:rsidRPr="00FC5566" w14:paraId="2E427BD2" w14:textId="77777777" w:rsidTr="00B247D5">
        <w:trPr>
          <w:trHeight w:val="184"/>
        </w:trPr>
        <w:tc>
          <w:tcPr>
            <w:tcW w:w="1127" w:type="dxa"/>
            <w:gridSpan w:val="2"/>
          </w:tcPr>
          <w:p w14:paraId="4A3C5451" w14:textId="77777777" w:rsidR="00FC5566" w:rsidRPr="00FC5566" w:rsidRDefault="00FC5566" w:rsidP="00FC5566">
            <w:pPr>
              <w:widowControl w:val="0"/>
              <w:autoSpaceDE w:val="0"/>
              <w:autoSpaceDN w:val="0"/>
              <w:jc w:val="center"/>
              <w:rPr>
                <w:sz w:val="16"/>
                <w:szCs w:val="16"/>
              </w:rPr>
            </w:pPr>
            <w:r w:rsidRPr="00FC5566">
              <w:rPr>
                <w:sz w:val="16"/>
                <w:szCs w:val="16"/>
              </w:rPr>
              <w:t xml:space="preserve">Amend </w:t>
            </w:r>
          </w:p>
        </w:tc>
        <w:tc>
          <w:tcPr>
            <w:tcW w:w="2340" w:type="dxa"/>
          </w:tcPr>
          <w:p w14:paraId="077B732F" w14:textId="77777777" w:rsidR="00FC5566" w:rsidRPr="00FC5566" w:rsidRDefault="00FC5566" w:rsidP="00FC5566">
            <w:pPr>
              <w:widowControl w:val="0"/>
              <w:autoSpaceDE w:val="0"/>
              <w:autoSpaceDN w:val="0"/>
              <w:ind w:left="107" w:right="46"/>
              <w:rPr>
                <w:sz w:val="16"/>
                <w:szCs w:val="16"/>
              </w:rPr>
            </w:pPr>
            <w:r w:rsidRPr="00FC5566">
              <w:rPr>
                <w:sz w:val="16"/>
                <w:szCs w:val="16"/>
              </w:rPr>
              <w:t xml:space="preserve">Table 210.24(2), Summary of Branch-Circuit Requirements – Aluminum and Copper Clad Aluminum Conductors </w:t>
            </w:r>
          </w:p>
        </w:tc>
        <w:tc>
          <w:tcPr>
            <w:tcW w:w="7063" w:type="dxa"/>
          </w:tcPr>
          <w:p w14:paraId="25FE77B1" w14:textId="77777777" w:rsidR="00FC5566" w:rsidRPr="00FC5566" w:rsidRDefault="00FC5566" w:rsidP="00FC5566">
            <w:pPr>
              <w:widowControl w:val="0"/>
              <w:autoSpaceDE w:val="0"/>
              <w:autoSpaceDN w:val="0"/>
              <w:ind w:right="88"/>
              <w:rPr>
                <w:sz w:val="16"/>
                <w:szCs w:val="16"/>
              </w:rPr>
            </w:pPr>
          </w:p>
        </w:tc>
      </w:tr>
      <w:tr w:rsidR="00FC5566" w:rsidRPr="00FC5566" w14:paraId="7E3FE399" w14:textId="77777777" w:rsidTr="00B247D5">
        <w:trPr>
          <w:trHeight w:val="5466"/>
        </w:trPr>
        <w:tc>
          <w:tcPr>
            <w:tcW w:w="10530" w:type="dxa"/>
            <w:gridSpan w:val="4"/>
          </w:tcPr>
          <w:p w14:paraId="4794FBCF" w14:textId="77777777" w:rsidR="00FC5566" w:rsidRPr="00FC5566" w:rsidRDefault="00FC5566" w:rsidP="00FC5566">
            <w:pPr>
              <w:widowControl w:val="0"/>
              <w:autoSpaceDE w:val="0"/>
              <w:autoSpaceDN w:val="0"/>
              <w:ind w:right="88"/>
              <w:jc w:val="center"/>
              <w:rPr>
                <w:b/>
                <w:bCs/>
                <w:sz w:val="16"/>
                <w:szCs w:val="16"/>
              </w:rPr>
            </w:pPr>
          </w:p>
          <w:p w14:paraId="398D09D8" w14:textId="77777777" w:rsidR="00FC5566" w:rsidRPr="00FC5566" w:rsidRDefault="00FC5566" w:rsidP="00FC5566">
            <w:pPr>
              <w:widowControl w:val="0"/>
              <w:autoSpaceDE w:val="0"/>
              <w:autoSpaceDN w:val="0"/>
              <w:ind w:right="88"/>
              <w:jc w:val="center"/>
              <w:rPr>
                <w:sz w:val="16"/>
                <w:szCs w:val="16"/>
              </w:rPr>
            </w:pPr>
            <w:r w:rsidRPr="00FC5566">
              <w:rPr>
                <w:b/>
                <w:bCs/>
                <w:sz w:val="16"/>
                <w:szCs w:val="16"/>
              </w:rPr>
              <w:t>Table 210.24(2) Summary of Branch-Circuit Requirements — Aluminum and Copper-Clad Aluminum Conductors</w:t>
            </w:r>
          </w:p>
          <w:p w14:paraId="72BF6E8B" w14:textId="77777777" w:rsidR="00FC5566" w:rsidRPr="00FC5566" w:rsidRDefault="00FC5566" w:rsidP="00FC5566">
            <w:pPr>
              <w:widowControl w:val="0"/>
              <w:autoSpaceDE w:val="0"/>
              <w:autoSpaceDN w:val="0"/>
              <w:ind w:left="108" w:right="88"/>
              <w:jc w:val="center"/>
              <w:rPr>
                <w:sz w:val="16"/>
                <w:szCs w:val="16"/>
              </w:rPr>
            </w:pPr>
          </w:p>
          <w:tbl>
            <w:tblPr>
              <w:tblW w:w="4737" w:type="pct"/>
              <w:jc w:val="center"/>
              <w:tblBorders>
                <w:top w:val="single" w:sz="24" w:space="0" w:color="AEB3C5"/>
                <w:bottom w:val="single" w:sz="24" w:space="0" w:color="AEB3C5"/>
              </w:tblBorders>
              <w:shd w:val="clear" w:color="auto" w:fill="FFFFFF"/>
              <w:tblCellMar>
                <w:left w:w="0" w:type="dxa"/>
                <w:right w:w="0" w:type="dxa"/>
              </w:tblCellMar>
              <w:tblLook w:val="04A0" w:firstRow="1" w:lastRow="0" w:firstColumn="1" w:lastColumn="0" w:noHBand="0" w:noVBand="1"/>
            </w:tblPr>
            <w:tblGrid>
              <w:gridCol w:w="2159"/>
              <w:gridCol w:w="1393"/>
              <w:gridCol w:w="1393"/>
              <w:gridCol w:w="1296"/>
              <w:gridCol w:w="1296"/>
              <w:gridCol w:w="1296"/>
              <w:gridCol w:w="1119"/>
            </w:tblGrid>
            <w:tr w:rsidR="00FC5566" w:rsidRPr="00FC5566" w14:paraId="07422518" w14:textId="77777777" w:rsidTr="00B247D5">
              <w:trPr>
                <w:trHeight w:val="388"/>
                <w:tblHeader/>
                <w:jc w:val="center"/>
              </w:trPr>
              <w:tc>
                <w:tcPr>
                  <w:tcW w:w="1085" w:type="pct"/>
                  <w:tcBorders>
                    <w:top w:val="single" w:sz="4" w:space="0" w:color="auto"/>
                    <w:left w:val="single" w:sz="4" w:space="0" w:color="auto"/>
                    <w:bottom w:val="single" w:sz="4" w:space="0" w:color="auto"/>
                    <w:right w:val="nil"/>
                  </w:tcBorders>
                  <w:shd w:val="clear" w:color="auto" w:fill="FFFFFF"/>
                  <w:vAlign w:val="bottom"/>
                  <w:hideMark/>
                </w:tcPr>
                <w:p w14:paraId="3500CAD9" w14:textId="77777777" w:rsidR="00FC5566" w:rsidRPr="00FC5566" w:rsidRDefault="00FC5566" w:rsidP="00FC5566">
                  <w:pPr>
                    <w:spacing w:line="278" w:lineRule="auto"/>
                    <w:rPr>
                      <w:rFonts w:eastAsia="Aptos"/>
                      <w:b/>
                      <w:bCs/>
                      <w:kern w:val="2"/>
                      <w:sz w:val="16"/>
                      <w:szCs w:val="16"/>
                    </w:rPr>
                  </w:pPr>
                  <w:r w:rsidRPr="00FC5566">
                    <w:rPr>
                      <w:rFonts w:eastAsia="Aptos"/>
                      <w:b/>
                      <w:bCs/>
                      <w:kern w:val="2"/>
                      <w:sz w:val="16"/>
                      <w:szCs w:val="16"/>
                    </w:rPr>
                    <w:t xml:space="preserve">  Circuit Rating</w:t>
                  </w:r>
                </w:p>
              </w:tc>
              <w:tc>
                <w:tcPr>
                  <w:tcW w:w="700" w:type="pct"/>
                  <w:tcBorders>
                    <w:top w:val="single" w:sz="4" w:space="0" w:color="auto"/>
                    <w:left w:val="nil"/>
                    <w:bottom w:val="single" w:sz="4" w:space="0" w:color="auto"/>
                    <w:right w:val="nil"/>
                  </w:tcBorders>
                  <w:shd w:val="clear" w:color="auto" w:fill="FFFFFF"/>
                  <w:vAlign w:val="bottom"/>
                  <w:hideMark/>
                </w:tcPr>
                <w:p w14:paraId="7A72C683" w14:textId="77777777" w:rsidR="00FC5566" w:rsidRPr="00FC5566" w:rsidRDefault="00FC5566" w:rsidP="00FC5566">
                  <w:pPr>
                    <w:spacing w:line="278" w:lineRule="auto"/>
                    <w:rPr>
                      <w:rFonts w:eastAsia="Aptos"/>
                      <w:b/>
                      <w:bCs/>
                      <w:kern w:val="2"/>
                      <w:sz w:val="16"/>
                      <w:szCs w:val="16"/>
                    </w:rPr>
                  </w:pPr>
                  <w:r w:rsidRPr="00FC5566">
                    <w:rPr>
                      <w:rFonts w:eastAsia="Aptos"/>
                      <w:b/>
                      <w:bCs/>
                      <w:kern w:val="2"/>
                      <w:sz w:val="16"/>
                      <w:szCs w:val="16"/>
                    </w:rPr>
                    <w:t>10 A</w:t>
                  </w:r>
                </w:p>
              </w:tc>
              <w:tc>
                <w:tcPr>
                  <w:tcW w:w="700" w:type="pct"/>
                  <w:tcBorders>
                    <w:top w:val="single" w:sz="4" w:space="0" w:color="auto"/>
                    <w:left w:val="nil"/>
                    <w:bottom w:val="single" w:sz="4" w:space="0" w:color="auto"/>
                    <w:right w:val="nil"/>
                  </w:tcBorders>
                  <w:shd w:val="clear" w:color="auto" w:fill="FFFFFF"/>
                  <w:vAlign w:val="bottom"/>
                  <w:hideMark/>
                </w:tcPr>
                <w:p w14:paraId="20368E12" w14:textId="77777777" w:rsidR="00FC5566" w:rsidRPr="00FC5566" w:rsidRDefault="00FC5566" w:rsidP="00FC5566">
                  <w:pPr>
                    <w:spacing w:line="278" w:lineRule="auto"/>
                    <w:rPr>
                      <w:rFonts w:eastAsia="Aptos"/>
                      <w:b/>
                      <w:bCs/>
                      <w:kern w:val="2"/>
                      <w:sz w:val="16"/>
                      <w:szCs w:val="16"/>
                    </w:rPr>
                  </w:pPr>
                  <w:r w:rsidRPr="00FC5566">
                    <w:rPr>
                      <w:rFonts w:eastAsia="Aptos"/>
                      <w:b/>
                      <w:bCs/>
                      <w:kern w:val="2"/>
                      <w:sz w:val="16"/>
                      <w:szCs w:val="16"/>
                    </w:rPr>
                    <w:t>15 A</w:t>
                  </w:r>
                </w:p>
              </w:tc>
              <w:tc>
                <w:tcPr>
                  <w:tcW w:w="651" w:type="pct"/>
                  <w:tcBorders>
                    <w:top w:val="single" w:sz="4" w:space="0" w:color="auto"/>
                    <w:left w:val="nil"/>
                    <w:bottom w:val="single" w:sz="4" w:space="0" w:color="auto"/>
                    <w:right w:val="nil"/>
                  </w:tcBorders>
                  <w:shd w:val="clear" w:color="auto" w:fill="FFFFFF"/>
                  <w:vAlign w:val="bottom"/>
                  <w:hideMark/>
                </w:tcPr>
                <w:p w14:paraId="67F51364" w14:textId="77777777" w:rsidR="00FC5566" w:rsidRPr="00FC5566" w:rsidRDefault="00FC5566" w:rsidP="00FC5566">
                  <w:pPr>
                    <w:spacing w:line="278" w:lineRule="auto"/>
                    <w:rPr>
                      <w:rFonts w:eastAsia="Aptos"/>
                      <w:b/>
                      <w:bCs/>
                      <w:kern w:val="2"/>
                      <w:sz w:val="16"/>
                      <w:szCs w:val="16"/>
                    </w:rPr>
                  </w:pPr>
                  <w:r w:rsidRPr="00FC5566">
                    <w:rPr>
                      <w:rFonts w:eastAsia="Aptos"/>
                      <w:b/>
                      <w:bCs/>
                      <w:kern w:val="2"/>
                      <w:sz w:val="16"/>
                      <w:szCs w:val="16"/>
                    </w:rPr>
                    <w:t>20 A</w:t>
                  </w:r>
                </w:p>
              </w:tc>
              <w:tc>
                <w:tcPr>
                  <w:tcW w:w="651" w:type="pct"/>
                  <w:tcBorders>
                    <w:top w:val="single" w:sz="4" w:space="0" w:color="auto"/>
                    <w:left w:val="nil"/>
                    <w:bottom w:val="single" w:sz="4" w:space="0" w:color="auto"/>
                    <w:right w:val="nil"/>
                  </w:tcBorders>
                  <w:shd w:val="clear" w:color="auto" w:fill="FFFFFF"/>
                  <w:vAlign w:val="bottom"/>
                  <w:hideMark/>
                </w:tcPr>
                <w:p w14:paraId="3FF5CEC7" w14:textId="77777777" w:rsidR="00FC5566" w:rsidRPr="00FC5566" w:rsidRDefault="00FC5566" w:rsidP="00FC5566">
                  <w:pPr>
                    <w:spacing w:line="278" w:lineRule="auto"/>
                    <w:rPr>
                      <w:rFonts w:eastAsia="Aptos"/>
                      <w:b/>
                      <w:bCs/>
                      <w:kern w:val="2"/>
                      <w:sz w:val="16"/>
                      <w:szCs w:val="16"/>
                    </w:rPr>
                  </w:pPr>
                  <w:r w:rsidRPr="00FC5566">
                    <w:rPr>
                      <w:rFonts w:eastAsia="Aptos"/>
                      <w:b/>
                      <w:bCs/>
                      <w:kern w:val="2"/>
                      <w:sz w:val="16"/>
                      <w:szCs w:val="16"/>
                    </w:rPr>
                    <w:t>30 A</w:t>
                  </w:r>
                </w:p>
              </w:tc>
              <w:tc>
                <w:tcPr>
                  <w:tcW w:w="651" w:type="pct"/>
                  <w:tcBorders>
                    <w:top w:val="single" w:sz="4" w:space="0" w:color="auto"/>
                    <w:left w:val="nil"/>
                    <w:bottom w:val="single" w:sz="4" w:space="0" w:color="auto"/>
                    <w:right w:val="nil"/>
                  </w:tcBorders>
                  <w:shd w:val="clear" w:color="auto" w:fill="FFFFFF"/>
                  <w:vAlign w:val="bottom"/>
                  <w:hideMark/>
                </w:tcPr>
                <w:p w14:paraId="540A6DE7" w14:textId="77777777" w:rsidR="00FC5566" w:rsidRPr="00FC5566" w:rsidRDefault="00FC5566" w:rsidP="00FC5566">
                  <w:pPr>
                    <w:spacing w:line="278" w:lineRule="auto"/>
                    <w:rPr>
                      <w:rFonts w:eastAsia="Aptos"/>
                      <w:b/>
                      <w:bCs/>
                      <w:kern w:val="2"/>
                      <w:sz w:val="16"/>
                      <w:szCs w:val="16"/>
                    </w:rPr>
                  </w:pPr>
                  <w:r w:rsidRPr="00FC5566">
                    <w:rPr>
                      <w:rFonts w:eastAsia="Aptos"/>
                      <w:b/>
                      <w:bCs/>
                      <w:kern w:val="2"/>
                      <w:sz w:val="16"/>
                      <w:szCs w:val="16"/>
                    </w:rPr>
                    <w:t>40 A</w:t>
                  </w:r>
                </w:p>
              </w:tc>
              <w:tc>
                <w:tcPr>
                  <w:tcW w:w="562" w:type="pct"/>
                  <w:tcBorders>
                    <w:top w:val="single" w:sz="4" w:space="0" w:color="auto"/>
                    <w:left w:val="nil"/>
                    <w:bottom w:val="single" w:sz="4" w:space="0" w:color="auto"/>
                    <w:right w:val="single" w:sz="4" w:space="0" w:color="auto"/>
                  </w:tcBorders>
                  <w:shd w:val="clear" w:color="auto" w:fill="FFFFFF"/>
                  <w:vAlign w:val="bottom"/>
                  <w:hideMark/>
                </w:tcPr>
                <w:p w14:paraId="2F2706F1" w14:textId="77777777" w:rsidR="00FC5566" w:rsidRPr="00FC5566" w:rsidRDefault="00FC5566" w:rsidP="00FC5566">
                  <w:pPr>
                    <w:spacing w:line="278" w:lineRule="auto"/>
                    <w:rPr>
                      <w:rFonts w:eastAsia="Aptos"/>
                      <w:b/>
                      <w:bCs/>
                      <w:kern w:val="2"/>
                      <w:sz w:val="16"/>
                      <w:szCs w:val="16"/>
                    </w:rPr>
                  </w:pPr>
                  <w:r w:rsidRPr="00FC5566">
                    <w:rPr>
                      <w:rFonts w:eastAsia="Aptos"/>
                      <w:b/>
                      <w:bCs/>
                      <w:kern w:val="2"/>
                      <w:sz w:val="16"/>
                      <w:szCs w:val="16"/>
                    </w:rPr>
                    <w:t>50 A</w:t>
                  </w:r>
                </w:p>
              </w:tc>
            </w:tr>
            <w:tr w:rsidR="00FC5566" w:rsidRPr="00FC5566" w14:paraId="08811121" w14:textId="77777777" w:rsidTr="00B247D5">
              <w:trPr>
                <w:trHeight w:val="388"/>
                <w:jc w:val="center"/>
              </w:trPr>
              <w:tc>
                <w:tcPr>
                  <w:tcW w:w="1085" w:type="pct"/>
                  <w:tcBorders>
                    <w:top w:val="single" w:sz="4" w:space="0" w:color="auto"/>
                    <w:left w:val="single" w:sz="4" w:space="0" w:color="auto"/>
                    <w:bottom w:val="nil"/>
                    <w:right w:val="nil"/>
                  </w:tcBorders>
                  <w:shd w:val="clear" w:color="auto" w:fill="FFFFFF"/>
                  <w:hideMark/>
                </w:tcPr>
                <w:p w14:paraId="0F95BF85" w14:textId="77777777" w:rsidR="00FC5566" w:rsidRPr="00FC5566" w:rsidRDefault="00FC5566" w:rsidP="00FC5566">
                  <w:pPr>
                    <w:spacing w:line="278" w:lineRule="auto"/>
                    <w:rPr>
                      <w:rFonts w:eastAsia="Aptos"/>
                      <w:kern w:val="2"/>
                      <w:sz w:val="16"/>
                      <w:szCs w:val="16"/>
                    </w:rPr>
                  </w:pPr>
                  <w:r w:rsidRPr="00FC5566">
                    <w:rPr>
                      <w:rFonts w:eastAsia="Aptos"/>
                      <w:kern w:val="2"/>
                      <w:sz w:val="16"/>
                      <w:szCs w:val="16"/>
                    </w:rPr>
                    <w:t xml:space="preserve">  Conductors (min. size):</w:t>
                  </w:r>
                </w:p>
              </w:tc>
              <w:tc>
                <w:tcPr>
                  <w:tcW w:w="700" w:type="pct"/>
                  <w:tcBorders>
                    <w:top w:val="single" w:sz="4" w:space="0" w:color="auto"/>
                    <w:left w:val="nil"/>
                    <w:bottom w:val="nil"/>
                    <w:right w:val="nil"/>
                  </w:tcBorders>
                  <w:shd w:val="clear" w:color="auto" w:fill="FFFFFF"/>
                  <w:vAlign w:val="bottom"/>
                  <w:hideMark/>
                </w:tcPr>
                <w:p w14:paraId="7EE114D3" w14:textId="77777777" w:rsidR="00FC5566" w:rsidRPr="00FC5566" w:rsidRDefault="00FC5566" w:rsidP="00FC5566">
                  <w:pPr>
                    <w:spacing w:line="278" w:lineRule="auto"/>
                    <w:rPr>
                      <w:rFonts w:eastAsia="Aptos"/>
                      <w:kern w:val="2"/>
                      <w:sz w:val="16"/>
                      <w:szCs w:val="16"/>
                    </w:rPr>
                  </w:pPr>
                </w:p>
              </w:tc>
              <w:tc>
                <w:tcPr>
                  <w:tcW w:w="700" w:type="pct"/>
                  <w:tcBorders>
                    <w:top w:val="single" w:sz="4" w:space="0" w:color="auto"/>
                    <w:left w:val="nil"/>
                    <w:bottom w:val="nil"/>
                    <w:right w:val="nil"/>
                  </w:tcBorders>
                  <w:shd w:val="clear" w:color="auto" w:fill="FFFFFF"/>
                  <w:vAlign w:val="bottom"/>
                  <w:hideMark/>
                </w:tcPr>
                <w:p w14:paraId="1BE8D5BF" w14:textId="77777777" w:rsidR="00FC5566" w:rsidRPr="00FC5566" w:rsidRDefault="00FC5566" w:rsidP="00FC5566">
                  <w:pPr>
                    <w:spacing w:line="278" w:lineRule="auto"/>
                    <w:rPr>
                      <w:rFonts w:eastAsia="Aptos"/>
                      <w:kern w:val="2"/>
                      <w:sz w:val="16"/>
                      <w:szCs w:val="16"/>
                    </w:rPr>
                  </w:pPr>
                </w:p>
              </w:tc>
              <w:tc>
                <w:tcPr>
                  <w:tcW w:w="651" w:type="pct"/>
                  <w:tcBorders>
                    <w:top w:val="single" w:sz="4" w:space="0" w:color="auto"/>
                    <w:left w:val="nil"/>
                    <w:bottom w:val="nil"/>
                    <w:right w:val="nil"/>
                  </w:tcBorders>
                  <w:shd w:val="clear" w:color="auto" w:fill="FFFFFF"/>
                  <w:vAlign w:val="bottom"/>
                  <w:hideMark/>
                </w:tcPr>
                <w:p w14:paraId="4E5CB3DD" w14:textId="77777777" w:rsidR="00FC5566" w:rsidRPr="00FC5566" w:rsidRDefault="00FC5566" w:rsidP="00FC5566">
                  <w:pPr>
                    <w:spacing w:line="278" w:lineRule="auto"/>
                    <w:rPr>
                      <w:rFonts w:eastAsia="Aptos"/>
                      <w:kern w:val="2"/>
                      <w:sz w:val="16"/>
                      <w:szCs w:val="16"/>
                    </w:rPr>
                  </w:pPr>
                </w:p>
              </w:tc>
              <w:tc>
                <w:tcPr>
                  <w:tcW w:w="651" w:type="pct"/>
                  <w:tcBorders>
                    <w:top w:val="single" w:sz="4" w:space="0" w:color="auto"/>
                    <w:left w:val="nil"/>
                    <w:bottom w:val="nil"/>
                    <w:right w:val="nil"/>
                  </w:tcBorders>
                  <w:shd w:val="clear" w:color="auto" w:fill="FFFFFF"/>
                  <w:vAlign w:val="bottom"/>
                  <w:hideMark/>
                </w:tcPr>
                <w:p w14:paraId="556CF6F5" w14:textId="77777777" w:rsidR="00FC5566" w:rsidRPr="00FC5566" w:rsidRDefault="00FC5566" w:rsidP="00FC5566">
                  <w:pPr>
                    <w:spacing w:line="278" w:lineRule="auto"/>
                    <w:rPr>
                      <w:rFonts w:eastAsia="Aptos"/>
                      <w:kern w:val="2"/>
                      <w:sz w:val="16"/>
                      <w:szCs w:val="16"/>
                    </w:rPr>
                  </w:pPr>
                </w:p>
              </w:tc>
              <w:tc>
                <w:tcPr>
                  <w:tcW w:w="651" w:type="pct"/>
                  <w:tcBorders>
                    <w:top w:val="single" w:sz="4" w:space="0" w:color="auto"/>
                    <w:left w:val="nil"/>
                    <w:bottom w:val="nil"/>
                    <w:right w:val="nil"/>
                  </w:tcBorders>
                  <w:shd w:val="clear" w:color="auto" w:fill="FFFFFF"/>
                  <w:vAlign w:val="bottom"/>
                  <w:hideMark/>
                </w:tcPr>
                <w:p w14:paraId="504AEE65" w14:textId="77777777" w:rsidR="00FC5566" w:rsidRPr="00FC5566" w:rsidRDefault="00FC5566" w:rsidP="00FC5566">
                  <w:pPr>
                    <w:spacing w:line="278" w:lineRule="auto"/>
                    <w:rPr>
                      <w:rFonts w:eastAsia="Aptos"/>
                      <w:kern w:val="2"/>
                      <w:sz w:val="16"/>
                      <w:szCs w:val="16"/>
                    </w:rPr>
                  </w:pPr>
                </w:p>
              </w:tc>
              <w:tc>
                <w:tcPr>
                  <w:tcW w:w="562" w:type="pct"/>
                  <w:tcBorders>
                    <w:top w:val="single" w:sz="4" w:space="0" w:color="auto"/>
                    <w:left w:val="nil"/>
                    <w:bottom w:val="nil"/>
                    <w:right w:val="single" w:sz="4" w:space="0" w:color="auto"/>
                  </w:tcBorders>
                  <w:shd w:val="clear" w:color="auto" w:fill="FFFFFF"/>
                  <w:vAlign w:val="bottom"/>
                  <w:hideMark/>
                </w:tcPr>
                <w:p w14:paraId="65A866EA" w14:textId="77777777" w:rsidR="00FC5566" w:rsidRPr="00FC5566" w:rsidRDefault="00FC5566" w:rsidP="00FC5566">
                  <w:pPr>
                    <w:spacing w:line="278" w:lineRule="auto"/>
                    <w:rPr>
                      <w:rFonts w:eastAsia="Aptos"/>
                      <w:kern w:val="2"/>
                      <w:sz w:val="16"/>
                      <w:szCs w:val="16"/>
                    </w:rPr>
                  </w:pPr>
                </w:p>
              </w:tc>
            </w:tr>
            <w:tr w:rsidR="00FC5566" w:rsidRPr="00FC5566" w14:paraId="39223365" w14:textId="77777777" w:rsidTr="00B247D5">
              <w:trPr>
                <w:trHeight w:val="388"/>
                <w:jc w:val="center"/>
              </w:trPr>
              <w:tc>
                <w:tcPr>
                  <w:tcW w:w="1085" w:type="pct"/>
                  <w:tcBorders>
                    <w:top w:val="nil"/>
                    <w:left w:val="single" w:sz="4" w:space="0" w:color="auto"/>
                    <w:bottom w:val="nil"/>
                    <w:right w:val="nil"/>
                  </w:tcBorders>
                  <w:shd w:val="clear" w:color="auto" w:fill="FFFFFF"/>
                  <w:hideMark/>
                </w:tcPr>
                <w:p w14:paraId="5A7AC49A" w14:textId="77777777" w:rsidR="00FC5566" w:rsidRPr="00FC5566" w:rsidRDefault="00FC5566" w:rsidP="00FC5566">
                  <w:pPr>
                    <w:spacing w:line="278" w:lineRule="auto"/>
                    <w:rPr>
                      <w:rFonts w:eastAsia="Aptos"/>
                      <w:kern w:val="2"/>
                      <w:sz w:val="16"/>
                      <w:szCs w:val="16"/>
                    </w:rPr>
                  </w:pPr>
                  <w:r w:rsidRPr="00FC5566">
                    <w:rPr>
                      <w:rFonts w:eastAsia="Aptos"/>
                      <w:kern w:val="2"/>
                      <w:sz w:val="16"/>
                      <w:szCs w:val="16"/>
                    </w:rPr>
                    <w:t xml:space="preserve">  Circuit wires</w:t>
                  </w:r>
                </w:p>
              </w:tc>
              <w:tc>
                <w:tcPr>
                  <w:tcW w:w="700" w:type="pct"/>
                  <w:tcBorders>
                    <w:top w:val="nil"/>
                    <w:left w:val="nil"/>
                    <w:bottom w:val="nil"/>
                    <w:right w:val="nil"/>
                  </w:tcBorders>
                  <w:shd w:val="clear" w:color="auto" w:fill="FFFFFF"/>
                  <w:hideMark/>
                </w:tcPr>
                <w:p w14:paraId="32D528D4" w14:textId="77777777" w:rsidR="00FC5566" w:rsidRPr="00FC5566" w:rsidRDefault="00FC5566" w:rsidP="00FC5566">
                  <w:pPr>
                    <w:spacing w:line="278" w:lineRule="auto"/>
                    <w:rPr>
                      <w:rFonts w:eastAsia="Aptos"/>
                      <w:kern w:val="2"/>
                      <w:sz w:val="16"/>
                      <w:szCs w:val="16"/>
                    </w:rPr>
                  </w:pPr>
                  <w:r w:rsidRPr="00FC5566">
                    <w:rPr>
                      <w:rFonts w:eastAsia="Aptos"/>
                      <w:kern w:val="2"/>
                      <w:sz w:val="16"/>
                      <w:szCs w:val="16"/>
                    </w:rPr>
                    <w:t>14</w:t>
                  </w:r>
                  <w:r w:rsidRPr="00FC5566">
                    <w:rPr>
                      <w:rFonts w:eastAsia="Aptos"/>
                      <w:kern w:val="2"/>
                      <w:sz w:val="16"/>
                      <w:szCs w:val="16"/>
                      <w:vertAlign w:val="superscript"/>
                    </w:rPr>
                    <w:t>1</w:t>
                  </w:r>
                </w:p>
              </w:tc>
              <w:tc>
                <w:tcPr>
                  <w:tcW w:w="700" w:type="pct"/>
                  <w:tcBorders>
                    <w:top w:val="nil"/>
                    <w:left w:val="nil"/>
                    <w:bottom w:val="nil"/>
                    <w:right w:val="nil"/>
                  </w:tcBorders>
                  <w:shd w:val="clear" w:color="auto" w:fill="FFFFFF"/>
                  <w:hideMark/>
                </w:tcPr>
                <w:p w14:paraId="368C2189" w14:textId="77777777" w:rsidR="00FC5566" w:rsidRPr="00FC5566" w:rsidRDefault="00FC5566" w:rsidP="00FC5566">
                  <w:pPr>
                    <w:spacing w:line="278" w:lineRule="auto"/>
                    <w:rPr>
                      <w:rFonts w:eastAsia="Aptos"/>
                      <w:kern w:val="2"/>
                      <w:sz w:val="16"/>
                      <w:szCs w:val="16"/>
                    </w:rPr>
                  </w:pPr>
                  <w:r w:rsidRPr="00FC5566">
                    <w:rPr>
                      <w:rFonts w:eastAsia="Aptos"/>
                      <w:kern w:val="2"/>
                      <w:sz w:val="16"/>
                      <w:szCs w:val="16"/>
                    </w:rPr>
                    <w:t>12</w:t>
                  </w:r>
                </w:p>
              </w:tc>
              <w:tc>
                <w:tcPr>
                  <w:tcW w:w="651" w:type="pct"/>
                  <w:tcBorders>
                    <w:top w:val="nil"/>
                    <w:left w:val="nil"/>
                    <w:bottom w:val="nil"/>
                    <w:right w:val="nil"/>
                  </w:tcBorders>
                  <w:shd w:val="clear" w:color="auto" w:fill="FFFFFF"/>
                  <w:hideMark/>
                </w:tcPr>
                <w:p w14:paraId="38EF5A6A" w14:textId="77777777" w:rsidR="00FC5566" w:rsidRPr="00FC5566" w:rsidRDefault="00FC5566" w:rsidP="00FC5566">
                  <w:pPr>
                    <w:spacing w:line="278" w:lineRule="auto"/>
                    <w:rPr>
                      <w:rFonts w:eastAsia="Aptos"/>
                      <w:kern w:val="2"/>
                      <w:sz w:val="16"/>
                      <w:szCs w:val="16"/>
                    </w:rPr>
                  </w:pPr>
                  <w:r w:rsidRPr="00FC5566">
                    <w:rPr>
                      <w:rFonts w:eastAsia="Aptos"/>
                      <w:kern w:val="2"/>
                      <w:sz w:val="16"/>
                      <w:szCs w:val="16"/>
                    </w:rPr>
                    <w:t>10</w:t>
                  </w:r>
                </w:p>
              </w:tc>
              <w:tc>
                <w:tcPr>
                  <w:tcW w:w="651" w:type="pct"/>
                  <w:tcBorders>
                    <w:top w:val="nil"/>
                    <w:left w:val="nil"/>
                    <w:bottom w:val="nil"/>
                    <w:right w:val="nil"/>
                  </w:tcBorders>
                  <w:shd w:val="clear" w:color="auto" w:fill="FFFFFF"/>
                  <w:hideMark/>
                </w:tcPr>
                <w:p w14:paraId="516C5F96" w14:textId="77777777" w:rsidR="00FC5566" w:rsidRPr="00FC5566" w:rsidRDefault="00FC5566" w:rsidP="00FC5566">
                  <w:pPr>
                    <w:spacing w:line="278" w:lineRule="auto"/>
                    <w:rPr>
                      <w:rFonts w:eastAsia="Aptos"/>
                      <w:kern w:val="2"/>
                      <w:sz w:val="16"/>
                      <w:szCs w:val="16"/>
                    </w:rPr>
                  </w:pPr>
                  <w:r w:rsidRPr="00FC5566">
                    <w:rPr>
                      <w:rFonts w:eastAsia="Aptos"/>
                      <w:kern w:val="2"/>
                      <w:sz w:val="16"/>
                      <w:szCs w:val="16"/>
                    </w:rPr>
                    <w:t>8</w:t>
                  </w:r>
                </w:p>
              </w:tc>
              <w:tc>
                <w:tcPr>
                  <w:tcW w:w="651" w:type="pct"/>
                  <w:tcBorders>
                    <w:top w:val="nil"/>
                    <w:left w:val="nil"/>
                    <w:bottom w:val="nil"/>
                    <w:right w:val="nil"/>
                  </w:tcBorders>
                  <w:shd w:val="clear" w:color="auto" w:fill="FFFFFF"/>
                  <w:hideMark/>
                </w:tcPr>
                <w:p w14:paraId="459BD77B" w14:textId="77777777" w:rsidR="00FC5566" w:rsidRPr="00FC5566" w:rsidRDefault="00FC5566" w:rsidP="00FC5566">
                  <w:pPr>
                    <w:spacing w:line="278" w:lineRule="auto"/>
                    <w:rPr>
                      <w:rFonts w:eastAsia="Aptos"/>
                      <w:kern w:val="2"/>
                      <w:sz w:val="16"/>
                      <w:szCs w:val="16"/>
                    </w:rPr>
                  </w:pPr>
                  <w:r w:rsidRPr="00FC5566">
                    <w:rPr>
                      <w:rFonts w:eastAsia="Aptos"/>
                      <w:kern w:val="2"/>
                      <w:sz w:val="16"/>
                      <w:szCs w:val="16"/>
                    </w:rPr>
                    <w:t>6</w:t>
                  </w:r>
                </w:p>
              </w:tc>
              <w:tc>
                <w:tcPr>
                  <w:tcW w:w="562" w:type="pct"/>
                  <w:tcBorders>
                    <w:top w:val="nil"/>
                    <w:left w:val="nil"/>
                    <w:bottom w:val="nil"/>
                    <w:right w:val="single" w:sz="4" w:space="0" w:color="auto"/>
                  </w:tcBorders>
                  <w:shd w:val="clear" w:color="auto" w:fill="FFFFFF"/>
                  <w:hideMark/>
                </w:tcPr>
                <w:p w14:paraId="06A6694C" w14:textId="77777777" w:rsidR="00FC5566" w:rsidRPr="00FC5566" w:rsidRDefault="00FC5566" w:rsidP="00FC5566">
                  <w:pPr>
                    <w:spacing w:line="278" w:lineRule="auto"/>
                    <w:rPr>
                      <w:rFonts w:eastAsia="Aptos"/>
                      <w:kern w:val="2"/>
                      <w:sz w:val="16"/>
                      <w:szCs w:val="16"/>
                    </w:rPr>
                  </w:pPr>
                  <w:r w:rsidRPr="00FC5566">
                    <w:rPr>
                      <w:rFonts w:eastAsia="Aptos"/>
                      <w:kern w:val="2"/>
                      <w:sz w:val="16"/>
                      <w:szCs w:val="16"/>
                    </w:rPr>
                    <w:t>4</w:t>
                  </w:r>
                </w:p>
              </w:tc>
            </w:tr>
            <w:tr w:rsidR="00FC5566" w:rsidRPr="00FC5566" w14:paraId="0B3F005D" w14:textId="77777777" w:rsidTr="00B247D5">
              <w:trPr>
                <w:trHeight w:val="388"/>
                <w:jc w:val="center"/>
              </w:trPr>
              <w:tc>
                <w:tcPr>
                  <w:tcW w:w="1085" w:type="pct"/>
                  <w:tcBorders>
                    <w:top w:val="nil"/>
                    <w:left w:val="single" w:sz="4" w:space="0" w:color="auto"/>
                    <w:bottom w:val="nil"/>
                    <w:right w:val="nil"/>
                  </w:tcBorders>
                  <w:shd w:val="clear" w:color="auto" w:fill="FFFFFF"/>
                  <w:hideMark/>
                </w:tcPr>
                <w:p w14:paraId="701A78AA" w14:textId="77777777" w:rsidR="00FC5566" w:rsidRPr="00FC5566" w:rsidRDefault="00FC5566" w:rsidP="00FC5566">
                  <w:pPr>
                    <w:spacing w:line="278" w:lineRule="auto"/>
                    <w:rPr>
                      <w:rFonts w:eastAsia="Aptos"/>
                      <w:kern w:val="2"/>
                      <w:sz w:val="16"/>
                      <w:szCs w:val="16"/>
                    </w:rPr>
                  </w:pPr>
                  <w:r w:rsidRPr="00FC5566">
                    <w:rPr>
                      <w:rFonts w:eastAsia="Aptos"/>
                      <w:kern w:val="2"/>
                      <w:sz w:val="16"/>
                      <w:szCs w:val="16"/>
                    </w:rPr>
                    <w:t xml:space="preserve">  Taps</w:t>
                  </w:r>
                </w:p>
              </w:tc>
              <w:tc>
                <w:tcPr>
                  <w:tcW w:w="700" w:type="pct"/>
                  <w:tcBorders>
                    <w:top w:val="nil"/>
                    <w:left w:val="nil"/>
                    <w:bottom w:val="nil"/>
                    <w:right w:val="nil"/>
                  </w:tcBorders>
                  <w:shd w:val="clear" w:color="auto" w:fill="FFFFFF"/>
                  <w:hideMark/>
                </w:tcPr>
                <w:p w14:paraId="4293FCD5" w14:textId="77777777" w:rsidR="00FC5566" w:rsidRPr="00FC5566" w:rsidRDefault="00FC5566" w:rsidP="00FC5566">
                  <w:pPr>
                    <w:spacing w:line="278" w:lineRule="auto"/>
                    <w:rPr>
                      <w:rFonts w:eastAsia="Aptos"/>
                      <w:kern w:val="2"/>
                      <w:sz w:val="16"/>
                      <w:szCs w:val="16"/>
                    </w:rPr>
                  </w:pPr>
                  <w:r w:rsidRPr="00FC5566">
                    <w:rPr>
                      <w:rFonts w:eastAsia="Aptos"/>
                      <w:kern w:val="2"/>
                      <w:sz w:val="16"/>
                      <w:szCs w:val="16"/>
                    </w:rPr>
                    <w:t>12</w:t>
                  </w:r>
                </w:p>
              </w:tc>
              <w:tc>
                <w:tcPr>
                  <w:tcW w:w="700" w:type="pct"/>
                  <w:tcBorders>
                    <w:top w:val="nil"/>
                    <w:left w:val="nil"/>
                    <w:bottom w:val="nil"/>
                    <w:right w:val="nil"/>
                  </w:tcBorders>
                  <w:shd w:val="clear" w:color="auto" w:fill="FFFFFF"/>
                  <w:hideMark/>
                </w:tcPr>
                <w:p w14:paraId="42574096" w14:textId="77777777" w:rsidR="00FC5566" w:rsidRPr="00FC5566" w:rsidRDefault="00FC5566" w:rsidP="00FC5566">
                  <w:pPr>
                    <w:spacing w:line="278" w:lineRule="auto"/>
                    <w:rPr>
                      <w:rFonts w:eastAsia="Aptos"/>
                      <w:kern w:val="2"/>
                      <w:sz w:val="16"/>
                      <w:szCs w:val="16"/>
                    </w:rPr>
                  </w:pPr>
                  <w:r w:rsidRPr="00FC5566">
                    <w:rPr>
                      <w:rFonts w:eastAsia="Aptos"/>
                      <w:kern w:val="2"/>
                      <w:sz w:val="16"/>
                      <w:szCs w:val="16"/>
                    </w:rPr>
                    <w:t>12</w:t>
                  </w:r>
                </w:p>
              </w:tc>
              <w:tc>
                <w:tcPr>
                  <w:tcW w:w="651" w:type="pct"/>
                  <w:tcBorders>
                    <w:top w:val="nil"/>
                    <w:left w:val="nil"/>
                    <w:bottom w:val="nil"/>
                    <w:right w:val="nil"/>
                  </w:tcBorders>
                  <w:shd w:val="clear" w:color="auto" w:fill="FFFFFF"/>
                  <w:hideMark/>
                </w:tcPr>
                <w:p w14:paraId="28557FBA" w14:textId="77777777" w:rsidR="00FC5566" w:rsidRPr="00FC5566" w:rsidRDefault="00FC5566" w:rsidP="00FC5566">
                  <w:pPr>
                    <w:spacing w:line="278" w:lineRule="auto"/>
                    <w:rPr>
                      <w:rFonts w:eastAsia="Aptos"/>
                      <w:kern w:val="2"/>
                      <w:sz w:val="16"/>
                      <w:szCs w:val="16"/>
                    </w:rPr>
                  </w:pPr>
                  <w:r w:rsidRPr="00FC5566">
                    <w:rPr>
                      <w:rFonts w:eastAsia="Aptos"/>
                      <w:kern w:val="2"/>
                      <w:sz w:val="16"/>
                      <w:szCs w:val="16"/>
                    </w:rPr>
                    <w:t>12</w:t>
                  </w:r>
                </w:p>
              </w:tc>
              <w:tc>
                <w:tcPr>
                  <w:tcW w:w="651" w:type="pct"/>
                  <w:tcBorders>
                    <w:top w:val="nil"/>
                    <w:left w:val="nil"/>
                    <w:bottom w:val="nil"/>
                    <w:right w:val="nil"/>
                  </w:tcBorders>
                  <w:shd w:val="clear" w:color="auto" w:fill="FFFFFF"/>
                  <w:hideMark/>
                </w:tcPr>
                <w:p w14:paraId="7311D61D" w14:textId="77777777" w:rsidR="00FC5566" w:rsidRPr="00FC5566" w:rsidRDefault="00FC5566" w:rsidP="00FC5566">
                  <w:pPr>
                    <w:spacing w:line="278" w:lineRule="auto"/>
                    <w:rPr>
                      <w:rFonts w:eastAsia="Aptos"/>
                      <w:kern w:val="2"/>
                      <w:sz w:val="16"/>
                      <w:szCs w:val="16"/>
                    </w:rPr>
                  </w:pPr>
                  <w:r w:rsidRPr="00FC5566">
                    <w:rPr>
                      <w:rFonts w:eastAsia="Aptos"/>
                      <w:kern w:val="2"/>
                      <w:sz w:val="16"/>
                      <w:szCs w:val="16"/>
                    </w:rPr>
                    <w:t>12</w:t>
                  </w:r>
                </w:p>
              </w:tc>
              <w:tc>
                <w:tcPr>
                  <w:tcW w:w="651" w:type="pct"/>
                  <w:tcBorders>
                    <w:top w:val="nil"/>
                    <w:left w:val="nil"/>
                    <w:bottom w:val="nil"/>
                    <w:right w:val="nil"/>
                  </w:tcBorders>
                  <w:shd w:val="clear" w:color="auto" w:fill="FFFFFF"/>
                  <w:hideMark/>
                </w:tcPr>
                <w:p w14:paraId="0E5004AF" w14:textId="77777777" w:rsidR="00FC5566" w:rsidRPr="00FC5566" w:rsidRDefault="00FC5566" w:rsidP="00FC5566">
                  <w:pPr>
                    <w:spacing w:line="278" w:lineRule="auto"/>
                    <w:rPr>
                      <w:rFonts w:eastAsia="Aptos"/>
                      <w:kern w:val="2"/>
                      <w:sz w:val="16"/>
                      <w:szCs w:val="16"/>
                    </w:rPr>
                  </w:pPr>
                  <w:r w:rsidRPr="00FC5566">
                    <w:rPr>
                      <w:rFonts w:eastAsia="Aptos"/>
                      <w:kern w:val="2"/>
                      <w:sz w:val="16"/>
                      <w:szCs w:val="16"/>
                    </w:rPr>
                    <w:t>10</w:t>
                  </w:r>
                </w:p>
              </w:tc>
              <w:tc>
                <w:tcPr>
                  <w:tcW w:w="562" w:type="pct"/>
                  <w:tcBorders>
                    <w:top w:val="nil"/>
                    <w:left w:val="nil"/>
                    <w:bottom w:val="nil"/>
                    <w:right w:val="single" w:sz="4" w:space="0" w:color="auto"/>
                  </w:tcBorders>
                  <w:shd w:val="clear" w:color="auto" w:fill="FFFFFF"/>
                  <w:hideMark/>
                </w:tcPr>
                <w:p w14:paraId="2ED061A7" w14:textId="77777777" w:rsidR="00FC5566" w:rsidRPr="00FC5566" w:rsidRDefault="00FC5566" w:rsidP="00FC5566">
                  <w:pPr>
                    <w:spacing w:line="278" w:lineRule="auto"/>
                    <w:rPr>
                      <w:rFonts w:eastAsia="Aptos"/>
                      <w:kern w:val="2"/>
                      <w:sz w:val="16"/>
                      <w:szCs w:val="16"/>
                    </w:rPr>
                  </w:pPr>
                  <w:r w:rsidRPr="00FC5566">
                    <w:rPr>
                      <w:rFonts w:eastAsia="Aptos"/>
                      <w:kern w:val="2"/>
                      <w:sz w:val="16"/>
                      <w:szCs w:val="16"/>
                    </w:rPr>
                    <w:t>10</w:t>
                  </w:r>
                </w:p>
              </w:tc>
            </w:tr>
            <w:tr w:rsidR="00FC5566" w:rsidRPr="00FC5566" w14:paraId="3CAAD3E7" w14:textId="77777777" w:rsidTr="00B247D5">
              <w:trPr>
                <w:trHeight w:val="378"/>
                <w:jc w:val="center"/>
              </w:trPr>
              <w:tc>
                <w:tcPr>
                  <w:tcW w:w="1085" w:type="pct"/>
                  <w:tcBorders>
                    <w:top w:val="nil"/>
                    <w:left w:val="single" w:sz="4" w:space="0" w:color="auto"/>
                    <w:bottom w:val="single" w:sz="4" w:space="0" w:color="auto"/>
                    <w:right w:val="nil"/>
                  </w:tcBorders>
                  <w:shd w:val="clear" w:color="auto" w:fill="FFFFFF"/>
                  <w:hideMark/>
                </w:tcPr>
                <w:p w14:paraId="0AFDA836" w14:textId="77777777" w:rsidR="00FC5566" w:rsidRPr="00FC5566" w:rsidRDefault="00FC5566" w:rsidP="00FC5566">
                  <w:pPr>
                    <w:spacing w:line="278" w:lineRule="auto"/>
                    <w:rPr>
                      <w:rFonts w:eastAsia="Aptos"/>
                      <w:kern w:val="2"/>
                      <w:sz w:val="16"/>
                      <w:szCs w:val="16"/>
                    </w:rPr>
                  </w:pPr>
                  <w:r w:rsidRPr="00FC5566">
                    <w:rPr>
                      <w:rFonts w:eastAsia="Aptos"/>
                      <w:kern w:val="2"/>
                      <w:sz w:val="16"/>
                      <w:szCs w:val="16"/>
                    </w:rPr>
                    <w:t xml:space="preserve">  Fixture wires and cords</w:t>
                  </w:r>
                </w:p>
              </w:tc>
              <w:tc>
                <w:tcPr>
                  <w:tcW w:w="700" w:type="pct"/>
                  <w:tcBorders>
                    <w:top w:val="nil"/>
                    <w:left w:val="nil"/>
                    <w:bottom w:val="single" w:sz="4" w:space="0" w:color="auto"/>
                    <w:right w:val="nil"/>
                  </w:tcBorders>
                  <w:shd w:val="clear" w:color="auto" w:fill="FFFFFF"/>
                  <w:hideMark/>
                </w:tcPr>
                <w:p w14:paraId="402ACA7A" w14:textId="77777777" w:rsidR="00FC5566" w:rsidRPr="00FC5566" w:rsidRDefault="00FC5566" w:rsidP="00FC5566">
                  <w:pPr>
                    <w:spacing w:line="278" w:lineRule="auto"/>
                    <w:rPr>
                      <w:rFonts w:eastAsia="Aptos"/>
                      <w:kern w:val="2"/>
                      <w:sz w:val="16"/>
                      <w:szCs w:val="16"/>
                    </w:rPr>
                  </w:pPr>
                </w:p>
              </w:tc>
              <w:tc>
                <w:tcPr>
                  <w:tcW w:w="700" w:type="pct"/>
                  <w:tcBorders>
                    <w:top w:val="nil"/>
                    <w:left w:val="nil"/>
                    <w:bottom w:val="single" w:sz="4" w:space="0" w:color="auto"/>
                    <w:right w:val="nil"/>
                  </w:tcBorders>
                  <w:shd w:val="clear" w:color="auto" w:fill="FFFFFF"/>
                  <w:hideMark/>
                </w:tcPr>
                <w:p w14:paraId="44A68043" w14:textId="77777777" w:rsidR="00FC5566" w:rsidRPr="00FC5566" w:rsidRDefault="00FC5566" w:rsidP="00FC5566">
                  <w:pPr>
                    <w:spacing w:line="278" w:lineRule="auto"/>
                    <w:rPr>
                      <w:rFonts w:eastAsia="Aptos"/>
                      <w:kern w:val="2"/>
                      <w:sz w:val="16"/>
                      <w:szCs w:val="16"/>
                    </w:rPr>
                  </w:pPr>
                </w:p>
              </w:tc>
              <w:tc>
                <w:tcPr>
                  <w:tcW w:w="651" w:type="pct"/>
                  <w:tcBorders>
                    <w:top w:val="nil"/>
                    <w:left w:val="nil"/>
                    <w:bottom w:val="single" w:sz="4" w:space="0" w:color="auto"/>
                    <w:right w:val="nil"/>
                  </w:tcBorders>
                  <w:shd w:val="clear" w:color="auto" w:fill="FFFFFF"/>
                  <w:hideMark/>
                </w:tcPr>
                <w:p w14:paraId="4293714B" w14:textId="77777777" w:rsidR="00FC5566" w:rsidRPr="00FC5566" w:rsidRDefault="00FC5566" w:rsidP="00FC5566">
                  <w:pPr>
                    <w:spacing w:line="278" w:lineRule="auto"/>
                    <w:rPr>
                      <w:rFonts w:eastAsia="Aptos"/>
                      <w:kern w:val="2"/>
                      <w:sz w:val="16"/>
                      <w:szCs w:val="16"/>
                    </w:rPr>
                  </w:pPr>
                </w:p>
              </w:tc>
              <w:tc>
                <w:tcPr>
                  <w:tcW w:w="651" w:type="pct"/>
                  <w:tcBorders>
                    <w:top w:val="nil"/>
                    <w:left w:val="nil"/>
                    <w:bottom w:val="single" w:sz="4" w:space="0" w:color="auto"/>
                    <w:right w:val="nil"/>
                  </w:tcBorders>
                  <w:shd w:val="clear" w:color="auto" w:fill="FFFFFF"/>
                  <w:hideMark/>
                </w:tcPr>
                <w:p w14:paraId="2D6E13C1" w14:textId="77777777" w:rsidR="00FC5566" w:rsidRPr="00FC5566" w:rsidRDefault="00FC5566" w:rsidP="00FC5566">
                  <w:pPr>
                    <w:spacing w:line="278" w:lineRule="auto"/>
                    <w:rPr>
                      <w:rFonts w:eastAsia="Aptos"/>
                      <w:kern w:val="2"/>
                      <w:sz w:val="16"/>
                      <w:szCs w:val="16"/>
                    </w:rPr>
                  </w:pPr>
                  <w:r w:rsidRPr="00FC5566">
                    <w:rPr>
                      <w:rFonts w:eastAsia="Aptos"/>
                      <w:kern w:val="2"/>
                      <w:sz w:val="16"/>
                      <w:szCs w:val="16"/>
                    </w:rPr>
                    <w:t>See 240.5.</w:t>
                  </w:r>
                </w:p>
              </w:tc>
              <w:tc>
                <w:tcPr>
                  <w:tcW w:w="651" w:type="pct"/>
                  <w:tcBorders>
                    <w:top w:val="nil"/>
                    <w:left w:val="nil"/>
                    <w:bottom w:val="single" w:sz="4" w:space="0" w:color="auto"/>
                    <w:right w:val="nil"/>
                  </w:tcBorders>
                  <w:shd w:val="clear" w:color="auto" w:fill="FFFFFF"/>
                  <w:hideMark/>
                </w:tcPr>
                <w:p w14:paraId="72F88DDB" w14:textId="77777777" w:rsidR="00FC5566" w:rsidRPr="00FC5566" w:rsidRDefault="00FC5566" w:rsidP="00FC5566">
                  <w:pPr>
                    <w:spacing w:line="278" w:lineRule="auto"/>
                    <w:rPr>
                      <w:rFonts w:eastAsia="Aptos"/>
                      <w:kern w:val="2"/>
                      <w:sz w:val="16"/>
                      <w:szCs w:val="16"/>
                    </w:rPr>
                  </w:pPr>
                </w:p>
              </w:tc>
              <w:tc>
                <w:tcPr>
                  <w:tcW w:w="562" w:type="pct"/>
                  <w:tcBorders>
                    <w:top w:val="nil"/>
                    <w:left w:val="nil"/>
                    <w:bottom w:val="single" w:sz="4" w:space="0" w:color="auto"/>
                    <w:right w:val="single" w:sz="4" w:space="0" w:color="auto"/>
                  </w:tcBorders>
                  <w:shd w:val="clear" w:color="auto" w:fill="FFFFFF"/>
                  <w:hideMark/>
                </w:tcPr>
                <w:p w14:paraId="4466F3FC" w14:textId="77777777" w:rsidR="00FC5566" w:rsidRPr="00FC5566" w:rsidRDefault="00FC5566" w:rsidP="00FC5566">
                  <w:pPr>
                    <w:spacing w:line="278" w:lineRule="auto"/>
                    <w:rPr>
                      <w:rFonts w:eastAsia="Aptos"/>
                      <w:kern w:val="2"/>
                      <w:sz w:val="16"/>
                      <w:szCs w:val="16"/>
                    </w:rPr>
                  </w:pPr>
                </w:p>
              </w:tc>
            </w:tr>
            <w:tr w:rsidR="00FC5566" w:rsidRPr="00FC5566" w14:paraId="7C1B615B" w14:textId="77777777" w:rsidTr="00B247D5">
              <w:trPr>
                <w:trHeight w:val="388"/>
                <w:jc w:val="center"/>
              </w:trPr>
              <w:tc>
                <w:tcPr>
                  <w:tcW w:w="1085" w:type="pct"/>
                  <w:tcBorders>
                    <w:top w:val="single" w:sz="4" w:space="0" w:color="auto"/>
                    <w:left w:val="single" w:sz="4" w:space="0" w:color="auto"/>
                    <w:bottom w:val="single" w:sz="4" w:space="0" w:color="auto"/>
                    <w:right w:val="nil"/>
                  </w:tcBorders>
                  <w:shd w:val="clear" w:color="auto" w:fill="FFFFFF"/>
                  <w:hideMark/>
                </w:tcPr>
                <w:p w14:paraId="00901818" w14:textId="77777777" w:rsidR="00FC5566" w:rsidRPr="00FC5566" w:rsidRDefault="00FC5566" w:rsidP="00FC5566">
                  <w:pPr>
                    <w:spacing w:line="278" w:lineRule="auto"/>
                    <w:rPr>
                      <w:rFonts w:eastAsia="Aptos"/>
                      <w:kern w:val="2"/>
                      <w:sz w:val="16"/>
                      <w:szCs w:val="16"/>
                    </w:rPr>
                  </w:pPr>
                  <w:r w:rsidRPr="00FC5566">
                    <w:rPr>
                      <w:rFonts w:eastAsia="Aptos"/>
                      <w:b/>
                      <w:bCs/>
                      <w:kern w:val="2"/>
                      <w:sz w:val="16"/>
                      <w:szCs w:val="16"/>
                    </w:rPr>
                    <w:t xml:space="preserve">  Overcurrent Protection</w:t>
                  </w:r>
                </w:p>
              </w:tc>
              <w:tc>
                <w:tcPr>
                  <w:tcW w:w="700" w:type="pct"/>
                  <w:tcBorders>
                    <w:top w:val="single" w:sz="4" w:space="0" w:color="auto"/>
                    <w:left w:val="nil"/>
                    <w:bottom w:val="single" w:sz="4" w:space="0" w:color="auto"/>
                    <w:right w:val="nil"/>
                  </w:tcBorders>
                  <w:shd w:val="clear" w:color="auto" w:fill="FFFFFF"/>
                  <w:vAlign w:val="bottom"/>
                  <w:hideMark/>
                </w:tcPr>
                <w:p w14:paraId="32F8F5A9" w14:textId="77777777" w:rsidR="00FC5566" w:rsidRPr="00FC5566" w:rsidRDefault="00FC5566" w:rsidP="00FC5566">
                  <w:pPr>
                    <w:spacing w:line="278" w:lineRule="auto"/>
                    <w:rPr>
                      <w:rFonts w:eastAsia="Aptos"/>
                      <w:kern w:val="2"/>
                      <w:sz w:val="16"/>
                      <w:szCs w:val="16"/>
                    </w:rPr>
                  </w:pPr>
                  <w:r w:rsidRPr="00FC5566">
                    <w:rPr>
                      <w:rFonts w:eastAsia="Aptos"/>
                      <w:b/>
                      <w:bCs/>
                      <w:kern w:val="2"/>
                      <w:sz w:val="16"/>
                      <w:szCs w:val="16"/>
                    </w:rPr>
                    <w:t>10 A</w:t>
                  </w:r>
                </w:p>
              </w:tc>
              <w:tc>
                <w:tcPr>
                  <w:tcW w:w="700" w:type="pct"/>
                  <w:tcBorders>
                    <w:top w:val="single" w:sz="4" w:space="0" w:color="auto"/>
                    <w:left w:val="nil"/>
                    <w:bottom w:val="single" w:sz="4" w:space="0" w:color="auto"/>
                    <w:right w:val="nil"/>
                  </w:tcBorders>
                  <w:shd w:val="clear" w:color="auto" w:fill="FFFFFF"/>
                  <w:vAlign w:val="bottom"/>
                  <w:hideMark/>
                </w:tcPr>
                <w:p w14:paraId="13F51CEE" w14:textId="77777777" w:rsidR="00FC5566" w:rsidRPr="00FC5566" w:rsidRDefault="00FC5566" w:rsidP="00FC5566">
                  <w:pPr>
                    <w:spacing w:line="278" w:lineRule="auto"/>
                    <w:rPr>
                      <w:rFonts w:eastAsia="Aptos"/>
                      <w:kern w:val="2"/>
                      <w:sz w:val="16"/>
                      <w:szCs w:val="16"/>
                    </w:rPr>
                  </w:pPr>
                  <w:r w:rsidRPr="00FC5566">
                    <w:rPr>
                      <w:rFonts w:eastAsia="Aptos"/>
                      <w:b/>
                      <w:bCs/>
                      <w:kern w:val="2"/>
                      <w:sz w:val="16"/>
                      <w:szCs w:val="16"/>
                    </w:rPr>
                    <w:t>15 A</w:t>
                  </w:r>
                </w:p>
              </w:tc>
              <w:tc>
                <w:tcPr>
                  <w:tcW w:w="651" w:type="pct"/>
                  <w:tcBorders>
                    <w:top w:val="single" w:sz="4" w:space="0" w:color="auto"/>
                    <w:left w:val="nil"/>
                    <w:bottom w:val="single" w:sz="4" w:space="0" w:color="auto"/>
                    <w:right w:val="nil"/>
                  </w:tcBorders>
                  <w:shd w:val="clear" w:color="auto" w:fill="FFFFFF"/>
                  <w:vAlign w:val="bottom"/>
                  <w:hideMark/>
                </w:tcPr>
                <w:p w14:paraId="3D638ED8" w14:textId="77777777" w:rsidR="00FC5566" w:rsidRPr="00FC5566" w:rsidRDefault="00FC5566" w:rsidP="00FC5566">
                  <w:pPr>
                    <w:spacing w:line="278" w:lineRule="auto"/>
                    <w:rPr>
                      <w:rFonts w:eastAsia="Aptos"/>
                      <w:kern w:val="2"/>
                      <w:sz w:val="16"/>
                      <w:szCs w:val="16"/>
                    </w:rPr>
                  </w:pPr>
                  <w:r w:rsidRPr="00FC5566">
                    <w:rPr>
                      <w:rFonts w:eastAsia="Aptos"/>
                      <w:b/>
                      <w:bCs/>
                      <w:kern w:val="2"/>
                      <w:sz w:val="16"/>
                      <w:szCs w:val="16"/>
                    </w:rPr>
                    <w:t>20 A</w:t>
                  </w:r>
                </w:p>
              </w:tc>
              <w:tc>
                <w:tcPr>
                  <w:tcW w:w="651" w:type="pct"/>
                  <w:tcBorders>
                    <w:top w:val="single" w:sz="4" w:space="0" w:color="auto"/>
                    <w:left w:val="nil"/>
                    <w:bottom w:val="single" w:sz="4" w:space="0" w:color="auto"/>
                    <w:right w:val="nil"/>
                  </w:tcBorders>
                  <w:shd w:val="clear" w:color="auto" w:fill="FFFFFF"/>
                  <w:vAlign w:val="bottom"/>
                  <w:hideMark/>
                </w:tcPr>
                <w:p w14:paraId="2F6BD564" w14:textId="77777777" w:rsidR="00FC5566" w:rsidRPr="00FC5566" w:rsidRDefault="00FC5566" w:rsidP="00FC5566">
                  <w:pPr>
                    <w:spacing w:line="278" w:lineRule="auto"/>
                    <w:rPr>
                      <w:rFonts w:eastAsia="Aptos"/>
                      <w:kern w:val="2"/>
                      <w:sz w:val="16"/>
                      <w:szCs w:val="16"/>
                    </w:rPr>
                  </w:pPr>
                  <w:r w:rsidRPr="00FC5566">
                    <w:rPr>
                      <w:rFonts w:eastAsia="Aptos"/>
                      <w:b/>
                      <w:bCs/>
                      <w:kern w:val="2"/>
                      <w:sz w:val="16"/>
                      <w:szCs w:val="16"/>
                    </w:rPr>
                    <w:t>30 A</w:t>
                  </w:r>
                </w:p>
              </w:tc>
              <w:tc>
                <w:tcPr>
                  <w:tcW w:w="651" w:type="pct"/>
                  <w:tcBorders>
                    <w:top w:val="single" w:sz="4" w:space="0" w:color="auto"/>
                    <w:left w:val="nil"/>
                    <w:bottom w:val="single" w:sz="4" w:space="0" w:color="auto"/>
                    <w:right w:val="nil"/>
                  </w:tcBorders>
                  <w:shd w:val="clear" w:color="auto" w:fill="FFFFFF"/>
                  <w:vAlign w:val="bottom"/>
                  <w:hideMark/>
                </w:tcPr>
                <w:p w14:paraId="56E6221C" w14:textId="77777777" w:rsidR="00FC5566" w:rsidRPr="00FC5566" w:rsidRDefault="00FC5566" w:rsidP="00FC5566">
                  <w:pPr>
                    <w:spacing w:line="278" w:lineRule="auto"/>
                    <w:rPr>
                      <w:rFonts w:eastAsia="Aptos"/>
                      <w:kern w:val="2"/>
                      <w:sz w:val="16"/>
                      <w:szCs w:val="16"/>
                    </w:rPr>
                  </w:pPr>
                  <w:r w:rsidRPr="00FC5566">
                    <w:rPr>
                      <w:rFonts w:eastAsia="Aptos"/>
                      <w:b/>
                      <w:bCs/>
                      <w:kern w:val="2"/>
                      <w:sz w:val="16"/>
                      <w:szCs w:val="16"/>
                    </w:rPr>
                    <w:t>40 A</w:t>
                  </w:r>
                </w:p>
              </w:tc>
              <w:tc>
                <w:tcPr>
                  <w:tcW w:w="562" w:type="pct"/>
                  <w:tcBorders>
                    <w:top w:val="single" w:sz="4" w:space="0" w:color="auto"/>
                    <w:left w:val="nil"/>
                    <w:bottom w:val="single" w:sz="4" w:space="0" w:color="auto"/>
                    <w:right w:val="single" w:sz="4" w:space="0" w:color="auto"/>
                  </w:tcBorders>
                  <w:shd w:val="clear" w:color="auto" w:fill="FFFFFF"/>
                  <w:vAlign w:val="bottom"/>
                  <w:hideMark/>
                </w:tcPr>
                <w:p w14:paraId="55B782A2" w14:textId="77777777" w:rsidR="00FC5566" w:rsidRPr="00FC5566" w:rsidRDefault="00FC5566" w:rsidP="00FC5566">
                  <w:pPr>
                    <w:spacing w:line="278" w:lineRule="auto"/>
                    <w:rPr>
                      <w:rFonts w:eastAsia="Aptos"/>
                      <w:kern w:val="2"/>
                      <w:sz w:val="16"/>
                      <w:szCs w:val="16"/>
                    </w:rPr>
                  </w:pPr>
                  <w:r w:rsidRPr="00FC5566">
                    <w:rPr>
                      <w:rFonts w:eastAsia="Aptos"/>
                      <w:b/>
                      <w:bCs/>
                      <w:kern w:val="2"/>
                      <w:sz w:val="16"/>
                      <w:szCs w:val="16"/>
                    </w:rPr>
                    <w:t>50 A</w:t>
                  </w:r>
                </w:p>
              </w:tc>
            </w:tr>
            <w:tr w:rsidR="00FC5566" w:rsidRPr="00FC5566" w14:paraId="637C4C6B" w14:textId="77777777" w:rsidTr="00B247D5">
              <w:trPr>
                <w:trHeight w:val="388"/>
                <w:jc w:val="center"/>
              </w:trPr>
              <w:tc>
                <w:tcPr>
                  <w:tcW w:w="1085" w:type="pct"/>
                  <w:tcBorders>
                    <w:top w:val="single" w:sz="4" w:space="0" w:color="auto"/>
                    <w:left w:val="single" w:sz="4" w:space="0" w:color="auto"/>
                    <w:bottom w:val="nil"/>
                    <w:right w:val="nil"/>
                  </w:tcBorders>
                  <w:shd w:val="clear" w:color="auto" w:fill="FFFFFF"/>
                  <w:hideMark/>
                </w:tcPr>
                <w:p w14:paraId="4172DE76" w14:textId="77777777" w:rsidR="00FC5566" w:rsidRPr="00FC5566" w:rsidRDefault="00FC5566" w:rsidP="00FC5566">
                  <w:pPr>
                    <w:spacing w:line="278" w:lineRule="auto"/>
                    <w:rPr>
                      <w:rFonts w:eastAsia="Aptos"/>
                      <w:kern w:val="2"/>
                      <w:sz w:val="16"/>
                      <w:szCs w:val="16"/>
                    </w:rPr>
                  </w:pPr>
                  <w:r w:rsidRPr="00FC5566">
                    <w:rPr>
                      <w:rFonts w:eastAsia="Aptos"/>
                      <w:kern w:val="2"/>
                      <w:sz w:val="16"/>
                      <w:szCs w:val="16"/>
                    </w:rPr>
                    <w:t xml:space="preserve">  Outlet devices:</w:t>
                  </w:r>
                </w:p>
              </w:tc>
              <w:tc>
                <w:tcPr>
                  <w:tcW w:w="700" w:type="pct"/>
                  <w:tcBorders>
                    <w:top w:val="single" w:sz="4" w:space="0" w:color="auto"/>
                    <w:left w:val="nil"/>
                    <w:bottom w:val="nil"/>
                    <w:right w:val="nil"/>
                  </w:tcBorders>
                  <w:shd w:val="clear" w:color="auto" w:fill="FFFFFF"/>
                  <w:vAlign w:val="bottom"/>
                  <w:hideMark/>
                </w:tcPr>
                <w:p w14:paraId="6ECD3F30" w14:textId="77777777" w:rsidR="00FC5566" w:rsidRPr="00FC5566" w:rsidRDefault="00FC5566" w:rsidP="00FC5566">
                  <w:pPr>
                    <w:spacing w:line="278" w:lineRule="auto"/>
                    <w:rPr>
                      <w:rFonts w:eastAsia="Aptos"/>
                      <w:kern w:val="2"/>
                      <w:sz w:val="16"/>
                      <w:szCs w:val="16"/>
                    </w:rPr>
                  </w:pPr>
                </w:p>
              </w:tc>
              <w:tc>
                <w:tcPr>
                  <w:tcW w:w="700" w:type="pct"/>
                  <w:tcBorders>
                    <w:top w:val="single" w:sz="4" w:space="0" w:color="auto"/>
                    <w:left w:val="nil"/>
                    <w:bottom w:val="nil"/>
                    <w:right w:val="nil"/>
                  </w:tcBorders>
                  <w:shd w:val="clear" w:color="auto" w:fill="FFFFFF"/>
                  <w:vAlign w:val="bottom"/>
                  <w:hideMark/>
                </w:tcPr>
                <w:p w14:paraId="52FE0AF9" w14:textId="77777777" w:rsidR="00FC5566" w:rsidRPr="00FC5566" w:rsidRDefault="00FC5566" w:rsidP="00FC5566">
                  <w:pPr>
                    <w:spacing w:line="278" w:lineRule="auto"/>
                    <w:rPr>
                      <w:rFonts w:eastAsia="Aptos"/>
                      <w:kern w:val="2"/>
                      <w:sz w:val="16"/>
                      <w:szCs w:val="16"/>
                    </w:rPr>
                  </w:pPr>
                </w:p>
              </w:tc>
              <w:tc>
                <w:tcPr>
                  <w:tcW w:w="651" w:type="pct"/>
                  <w:tcBorders>
                    <w:top w:val="single" w:sz="4" w:space="0" w:color="auto"/>
                    <w:left w:val="nil"/>
                    <w:bottom w:val="nil"/>
                    <w:right w:val="nil"/>
                  </w:tcBorders>
                  <w:shd w:val="clear" w:color="auto" w:fill="FFFFFF"/>
                  <w:vAlign w:val="bottom"/>
                  <w:hideMark/>
                </w:tcPr>
                <w:p w14:paraId="76F7DA14" w14:textId="77777777" w:rsidR="00FC5566" w:rsidRPr="00FC5566" w:rsidRDefault="00FC5566" w:rsidP="00FC5566">
                  <w:pPr>
                    <w:spacing w:line="278" w:lineRule="auto"/>
                    <w:rPr>
                      <w:rFonts w:eastAsia="Aptos"/>
                      <w:kern w:val="2"/>
                      <w:sz w:val="16"/>
                      <w:szCs w:val="16"/>
                    </w:rPr>
                  </w:pPr>
                </w:p>
              </w:tc>
              <w:tc>
                <w:tcPr>
                  <w:tcW w:w="651" w:type="pct"/>
                  <w:tcBorders>
                    <w:top w:val="single" w:sz="4" w:space="0" w:color="auto"/>
                    <w:left w:val="nil"/>
                    <w:bottom w:val="nil"/>
                    <w:right w:val="nil"/>
                  </w:tcBorders>
                  <w:shd w:val="clear" w:color="auto" w:fill="FFFFFF"/>
                  <w:vAlign w:val="bottom"/>
                  <w:hideMark/>
                </w:tcPr>
                <w:p w14:paraId="1D76397D" w14:textId="77777777" w:rsidR="00FC5566" w:rsidRPr="00FC5566" w:rsidRDefault="00FC5566" w:rsidP="00FC5566">
                  <w:pPr>
                    <w:spacing w:line="278" w:lineRule="auto"/>
                    <w:rPr>
                      <w:rFonts w:eastAsia="Aptos"/>
                      <w:kern w:val="2"/>
                      <w:sz w:val="16"/>
                      <w:szCs w:val="16"/>
                    </w:rPr>
                  </w:pPr>
                </w:p>
              </w:tc>
              <w:tc>
                <w:tcPr>
                  <w:tcW w:w="651" w:type="pct"/>
                  <w:tcBorders>
                    <w:top w:val="single" w:sz="4" w:space="0" w:color="auto"/>
                    <w:left w:val="nil"/>
                    <w:bottom w:val="nil"/>
                    <w:right w:val="nil"/>
                  </w:tcBorders>
                  <w:shd w:val="clear" w:color="auto" w:fill="FFFFFF"/>
                  <w:vAlign w:val="bottom"/>
                  <w:hideMark/>
                </w:tcPr>
                <w:p w14:paraId="5B882C94" w14:textId="77777777" w:rsidR="00FC5566" w:rsidRPr="00FC5566" w:rsidRDefault="00FC5566" w:rsidP="00FC5566">
                  <w:pPr>
                    <w:spacing w:line="278" w:lineRule="auto"/>
                    <w:rPr>
                      <w:rFonts w:eastAsia="Aptos"/>
                      <w:kern w:val="2"/>
                      <w:sz w:val="16"/>
                      <w:szCs w:val="16"/>
                    </w:rPr>
                  </w:pPr>
                </w:p>
              </w:tc>
              <w:tc>
                <w:tcPr>
                  <w:tcW w:w="562" w:type="pct"/>
                  <w:tcBorders>
                    <w:top w:val="single" w:sz="4" w:space="0" w:color="auto"/>
                    <w:left w:val="nil"/>
                    <w:bottom w:val="nil"/>
                    <w:right w:val="single" w:sz="4" w:space="0" w:color="auto"/>
                  </w:tcBorders>
                  <w:shd w:val="clear" w:color="auto" w:fill="FFFFFF"/>
                  <w:vAlign w:val="bottom"/>
                  <w:hideMark/>
                </w:tcPr>
                <w:p w14:paraId="1222FE23" w14:textId="77777777" w:rsidR="00FC5566" w:rsidRPr="00FC5566" w:rsidRDefault="00FC5566" w:rsidP="00FC5566">
                  <w:pPr>
                    <w:spacing w:line="278" w:lineRule="auto"/>
                    <w:rPr>
                      <w:rFonts w:eastAsia="Aptos"/>
                      <w:kern w:val="2"/>
                      <w:sz w:val="16"/>
                      <w:szCs w:val="16"/>
                    </w:rPr>
                  </w:pPr>
                </w:p>
              </w:tc>
            </w:tr>
            <w:tr w:rsidR="00FC5566" w:rsidRPr="00FC5566" w14:paraId="7896D0A7" w14:textId="77777777" w:rsidTr="00B247D5">
              <w:trPr>
                <w:trHeight w:val="388"/>
                <w:jc w:val="center"/>
              </w:trPr>
              <w:tc>
                <w:tcPr>
                  <w:tcW w:w="1085" w:type="pct"/>
                  <w:tcBorders>
                    <w:top w:val="nil"/>
                    <w:left w:val="single" w:sz="4" w:space="0" w:color="auto"/>
                    <w:bottom w:val="nil"/>
                    <w:right w:val="nil"/>
                  </w:tcBorders>
                  <w:shd w:val="clear" w:color="auto" w:fill="FFFFFF"/>
                  <w:hideMark/>
                </w:tcPr>
                <w:p w14:paraId="328C9E8E" w14:textId="77777777" w:rsidR="00FC5566" w:rsidRPr="00FC5566" w:rsidRDefault="00FC5566" w:rsidP="00FC5566">
                  <w:pPr>
                    <w:spacing w:line="278" w:lineRule="auto"/>
                    <w:rPr>
                      <w:rFonts w:eastAsia="Aptos"/>
                      <w:kern w:val="2"/>
                      <w:sz w:val="16"/>
                      <w:szCs w:val="16"/>
                    </w:rPr>
                  </w:pPr>
                  <w:r w:rsidRPr="00FC5566">
                    <w:rPr>
                      <w:rFonts w:eastAsia="Aptos"/>
                      <w:kern w:val="2"/>
                      <w:sz w:val="16"/>
                      <w:szCs w:val="16"/>
                    </w:rPr>
                    <w:t xml:space="preserve">  Lampholders permitted</w:t>
                  </w:r>
                </w:p>
              </w:tc>
              <w:tc>
                <w:tcPr>
                  <w:tcW w:w="700" w:type="pct"/>
                  <w:tcBorders>
                    <w:top w:val="nil"/>
                    <w:left w:val="nil"/>
                    <w:bottom w:val="nil"/>
                    <w:right w:val="nil"/>
                  </w:tcBorders>
                  <w:shd w:val="clear" w:color="auto" w:fill="FFFFFF"/>
                  <w:hideMark/>
                </w:tcPr>
                <w:p w14:paraId="57AB86D3" w14:textId="77777777" w:rsidR="00FC5566" w:rsidRPr="00FC5566" w:rsidRDefault="00FC5566" w:rsidP="00FC5566">
                  <w:pPr>
                    <w:spacing w:line="278" w:lineRule="auto"/>
                    <w:rPr>
                      <w:rFonts w:eastAsia="Aptos"/>
                      <w:kern w:val="2"/>
                      <w:sz w:val="16"/>
                      <w:szCs w:val="16"/>
                    </w:rPr>
                  </w:pPr>
                  <w:r w:rsidRPr="00FC5566">
                    <w:rPr>
                      <w:rFonts w:eastAsia="Aptos"/>
                      <w:kern w:val="2"/>
                      <w:sz w:val="16"/>
                      <w:szCs w:val="16"/>
                    </w:rPr>
                    <w:t>Any type</w:t>
                  </w:r>
                </w:p>
              </w:tc>
              <w:tc>
                <w:tcPr>
                  <w:tcW w:w="700" w:type="pct"/>
                  <w:tcBorders>
                    <w:top w:val="nil"/>
                    <w:left w:val="nil"/>
                    <w:bottom w:val="nil"/>
                    <w:right w:val="nil"/>
                  </w:tcBorders>
                  <w:shd w:val="clear" w:color="auto" w:fill="FFFFFF"/>
                  <w:hideMark/>
                </w:tcPr>
                <w:p w14:paraId="6A60334D" w14:textId="77777777" w:rsidR="00FC5566" w:rsidRPr="00FC5566" w:rsidRDefault="00FC5566" w:rsidP="00FC5566">
                  <w:pPr>
                    <w:spacing w:line="278" w:lineRule="auto"/>
                    <w:rPr>
                      <w:rFonts w:eastAsia="Aptos"/>
                      <w:kern w:val="2"/>
                      <w:sz w:val="16"/>
                      <w:szCs w:val="16"/>
                    </w:rPr>
                  </w:pPr>
                  <w:r w:rsidRPr="00FC5566">
                    <w:rPr>
                      <w:rFonts w:eastAsia="Aptos"/>
                      <w:kern w:val="2"/>
                      <w:sz w:val="16"/>
                      <w:szCs w:val="16"/>
                    </w:rPr>
                    <w:t>Any type</w:t>
                  </w:r>
                </w:p>
              </w:tc>
              <w:tc>
                <w:tcPr>
                  <w:tcW w:w="651" w:type="pct"/>
                  <w:tcBorders>
                    <w:top w:val="nil"/>
                    <w:left w:val="nil"/>
                    <w:bottom w:val="nil"/>
                    <w:right w:val="nil"/>
                  </w:tcBorders>
                  <w:shd w:val="clear" w:color="auto" w:fill="FFFFFF"/>
                  <w:hideMark/>
                </w:tcPr>
                <w:p w14:paraId="079D0B56" w14:textId="77777777" w:rsidR="00FC5566" w:rsidRPr="00FC5566" w:rsidRDefault="00FC5566" w:rsidP="00FC5566">
                  <w:pPr>
                    <w:spacing w:line="278" w:lineRule="auto"/>
                    <w:rPr>
                      <w:rFonts w:eastAsia="Aptos"/>
                      <w:kern w:val="2"/>
                      <w:sz w:val="16"/>
                      <w:szCs w:val="16"/>
                    </w:rPr>
                  </w:pPr>
                  <w:r w:rsidRPr="00FC5566">
                    <w:rPr>
                      <w:rFonts w:eastAsia="Aptos"/>
                      <w:kern w:val="2"/>
                      <w:sz w:val="16"/>
                      <w:szCs w:val="16"/>
                    </w:rPr>
                    <w:t>Any type</w:t>
                  </w:r>
                </w:p>
              </w:tc>
              <w:tc>
                <w:tcPr>
                  <w:tcW w:w="651" w:type="pct"/>
                  <w:tcBorders>
                    <w:top w:val="nil"/>
                    <w:left w:val="nil"/>
                    <w:bottom w:val="nil"/>
                    <w:right w:val="nil"/>
                  </w:tcBorders>
                  <w:shd w:val="clear" w:color="auto" w:fill="FFFFFF"/>
                  <w:hideMark/>
                </w:tcPr>
                <w:p w14:paraId="2EC8871C" w14:textId="77777777" w:rsidR="00FC5566" w:rsidRPr="00FC5566" w:rsidRDefault="00FC5566" w:rsidP="00FC5566">
                  <w:pPr>
                    <w:spacing w:line="278" w:lineRule="auto"/>
                    <w:rPr>
                      <w:rFonts w:eastAsia="Aptos"/>
                      <w:kern w:val="2"/>
                      <w:sz w:val="16"/>
                      <w:szCs w:val="16"/>
                    </w:rPr>
                  </w:pPr>
                  <w:r w:rsidRPr="00FC5566">
                    <w:rPr>
                      <w:rFonts w:eastAsia="Aptos"/>
                      <w:kern w:val="2"/>
                      <w:sz w:val="16"/>
                      <w:szCs w:val="16"/>
                    </w:rPr>
                    <w:t>Heavy duty</w:t>
                  </w:r>
                </w:p>
              </w:tc>
              <w:tc>
                <w:tcPr>
                  <w:tcW w:w="651" w:type="pct"/>
                  <w:tcBorders>
                    <w:top w:val="nil"/>
                    <w:left w:val="nil"/>
                    <w:bottom w:val="nil"/>
                    <w:right w:val="nil"/>
                  </w:tcBorders>
                  <w:shd w:val="clear" w:color="auto" w:fill="FFFFFF"/>
                  <w:hideMark/>
                </w:tcPr>
                <w:p w14:paraId="5DF3FEBC" w14:textId="77777777" w:rsidR="00FC5566" w:rsidRPr="00FC5566" w:rsidRDefault="00FC5566" w:rsidP="00FC5566">
                  <w:pPr>
                    <w:spacing w:line="278" w:lineRule="auto"/>
                    <w:rPr>
                      <w:rFonts w:eastAsia="Aptos"/>
                      <w:kern w:val="2"/>
                      <w:sz w:val="16"/>
                      <w:szCs w:val="16"/>
                    </w:rPr>
                  </w:pPr>
                  <w:r w:rsidRPr="00FC5566">
                    <w:rPr>
                      <w:rFonts w:eastAsia="Aptos"/>
                      <w:kern w:val="2"/>
                      <w:sz w:val="16"/>
                      <w:szCs w:val="16"/>
                    </w:rPr>
                    <w:t>Heavy duty</w:t>
                  </w:r>
                </w:p>
              </w:tc>
              <w:tc>
                <w:tcPr>
                  <w:tcW w:w="562" w:type="pct"/>
                  <w:tcBorders>
                    <w:top w:val="nil"/>
                    <w:left w:val="nil"/>
                    <w:bottom w:val="nil"/>
                    <w:right w:val="single" w:sz="4" w:space="0" w:color="auto"/>
                  </w:tcBorders>
                  <w:shd w:val="clear" w:color="auto" w:fill="FFFFFF"/>
                  <w:hideMark/>
                </w:tcPr>
                <w:p w14:paraId="748049A9" w14:textId="77777777" w:rsidR="00FC5566" w:rsidRPr="00FC5566" w:rsidRDefault="00FC5566" w:rsidP="00FC5566">
                  <w:pPr>
                    <w:spacing w:line="278" w:lineRule="auto"/>
                    <w:rPr>
                      <w:rFonts w:eastAsia="Aptos"/>
                      <w:kern w:val="2"/>
                      <w:sz w:val="16"/>
                      <w:szCs w:val="16"/>
                    </w:rPr>
                  </w:pPr>
                  <w:r w:rsidRPr="00FC5566">
                    <w:rPr>
                      <w:rFonts w:eastAsia="Aptos"/>
                      <w:kern w:val="2"/>
                      <w:sz w:val="16"/>
                      <w:szCs w:val="16"/>
                    </w:rPr>
                    <w:t>Heavy duty</w:t>
                  </w:r>
                </w:p>
              </w:tc>
            </w:tr>
            <w:tr w:rsidR="00FC5566" w:rsidRPr="00FC5566" w14:paraId="0F885B28" w14:textId="77777777" w:rsidTr="00B247D5">
              <w:trPr>
                <w:trHeight w:val="388"/>
                <w:jc w:val="center"/>
              </w:trPr>
              <w:tc>
                <w:tcPr>
                  <w:tcW w:w="1085" w:type="pct"/>
                  <w:tcBorders>
                    <w:top w:val="nil"/>
                    <w:left w:val="single" w:sz="4" w:space="0" w:color="auto"/>
                    <w:bottom w:val="single" w:sz="4" w:space="0" w:color="auto"/>
                    <w:right w:val="nil"/>
                  </w:tcBorders>
                  <w:shd w:val="clear" w:color="auto" w:fill="FFFFFF"/>
                  <w:hideMark/>
                </w:tcPr>
                <w:p w14:paraId="4CCF8509" w14:textId="77777777" w:rsidR="00FC5566" w:rsidRPr="00FC5566" w:rsidRDefault="00FC5566" w:rsidP="00FC5566">
                  <w:pPr>
                    <w:spacing w:line="278" w:lineRule="auto"/>
                    <w:rPr>
                      <w:rFonts w:eastAsia="Aptos"/>
                      <w:kern w:val="2"/>
                      <w:sz w:val="16"/>
                      <w:szCs w:val="16"/>
                    </w:rPr>
                  </w:pPr>
                  <w:r w:rsidRPr="00FC5566">
                    <w:rPr>
                      <w:rFonts w:eastAsia="Aptos"/>
                      <w:kern w:val="2"/>
                      <w:sz w:val="16"/>
                      <w:szCs w:val="16"/>
                    </w:rPr>
                    <w:t xml:space="preserve">  Receptacle rating</w:t>
                  </w:r>
                  <w:r w:rsidRPr="00FC5566">
                    <w:rPr>
                      <w:rFonts w:eastAsia="Aptos"/>
                      <w:kern w:val="2"/>
                      <w:sz w:val="16"/>
                      <w:szCs w:val="16"/>
                      <w:vertAlign w:val="superscript"/>
                    </w:rPr>
                    <w:t>2</w:t>
                  </w:r>
                </w:p>
              </w:tc>
              <w:tc>
                <w:tcPr>
                  <w:tcW w:w="700" w:type="pct"/>
                  <w:tcBorders>
                    <w:top w:val="nil"/>
                    <w:left w:val="nil"/>
                    <w:bottom w:val="single" w:sz="4" w:space="0" w:color="auto"/>
                    <w:right w:val="nil"/>
                  </w:tcBorders>
                  <w:shd w:val="clear" w:color="auto" w:fill="FFFFFF"/>
                  <w:hideMark/>
                </w:tcPr>
                <w:p w14:paraId="502F998A" w14:textId="77777777" w:rsidR="00FC5566" w:rsidRPr="00FC5566" w:rsidRDefault="00FC5566" w:rsidP="00FC5566">
                  <w:pPr>
                    <w:spacing w:line="278" w:lineRule="auto"/>
                    <w:rPr>
                      <w:rFonts w:eastAsia="Aptos"/>
                      <w:kern w:val="2"/>
                      <w:sz w:val="16"/>
                      <w:szCs w:val="16"/>
                    </w:rPr>
                  </w:pPr>
                  <w:r w:rsidRPr="00FC5566">
                    <w:rPr>
                      <w:rFonts w:eastAsia="Aptos"/>
                      <w:kern w:val="2"/>
                      <w:sz w:val="16"/>
                      <w:szCs w:val="16"/>
                    </w:rPr>
                    <w:t>Not applicable</w:t>
                  </w:r>
                  <w:r w:rsidRPr="00FC5566">
                    <w:rPr>
                      <w:rFonts w:eastAsia="Aptos"/>
                      <w:kern w:val="2"/>
                      <w:sz w:val="16"/>
                      <w:szCs w:val="16"/>
                      <w:vertAlign w:val="superscript"/>
                    </w:rPr>
                    <w:t>3</w:t>
                  </w:r>
                </w:p>
              </w:tc>
              <w:tc>
                <w:tcPr>
                  <w:tcW w:w="700" w:type="pct"/>
                  <w:tcBorders>
                    <w:top w:val="nil"/>
                    <w:left w:val="nil"/>
                    <w:bottom w:val="single" w:sz="4" w:space="0" w:color="auto"/>
                    <w:right w:val="nil"/>
                  </w:tcBorders>
                  <w:shd w:val="clear" w:color="auto" w:fill="FFFFFF"/>
                  <w:hideMark/>
                </w:tcPr>
                <w:p w14:paraId="4D2212DB" w14:textId="77777777" w:rsidR="00FC5566" w:rsidRPr="00FC5566" w:rsidRDefault="00FC5566" w:rsidP="00FC5566">
                  <w:pPr>
                    <w:spacing w:line="278" w:lineRule="auto"/>
                    <w:rPr>
                      <w:rFonts w:eastAsia="Aptos"/>
                      <w:kern w:val="2"/>
                      <w:sz w:val="16"/>
                      <w:szCs w:val="16"/>
                    </w:rPr>
                  </w:pPr>
                  <w:r w:rsidRPr="00FC5566">
                    <w:rPr>
                      <w:rFonts w:eastAsia="Aptos"/>
                      <w:kern w:val="2"/>
                      <w:sz w:val="16"/>
                      <w:szCs w:val="16"/>
                    </w:rPr>
                    <w:t>15 A max.</w:t>
                  </w:r>
                </w:p>
              </w:tc>
              <w:tc>
                <w:tcPr>
                  <w:tcW w:w="651" w:type="pct"/>
                  <w:tcBorders>
                    <w:top w:val="nil"/>
                    <w:left w:val="nil"/>
                    <w:bottom w:val="single" w:sz="4" w:space="0" w:color="auto"/>
                    <w:right w:val="nil"/>
                  </w:tcBorders>
                  <w:shd w:val="clear" w:color="auto" w:fill="FFFFFF"/>
                  <w:hideMark/>
                </w:tcPr>
                <w:p w14:paraId="2F3A3F97" w14:textId="77777777" w:rsidR="00FC5566" w:rsidRPr="00FC5566" w:rsidRDefault="00FC5566" w:rsidP="00FC5566">
                  <w:pPr>
                    <w:spacing w:line="278" w:lineRule="auto"/>
                    <w:rPr>
                      <w:rFonts w:eastAsia="Aptos"/>
                      <w:kern w:val="2"/>
                      <w:sz w:val="16"/>
                      <w:szCs w:val="16"/>
                    </w:rPr>
                  </w:pPr>
                  <w:r w:rsidRPr="00FC5566">
                    <w:rPr>
                      <w:rFonts w:eastAsia="Aptos"/>
                      <w:kern w:val="2"/>
                      <w:sz w:val="16"/>
                      <w:szCs w:val="16"/>
                    </w:rPr>
                    <w:t>15 A or 20 A</w:t>
                  </w:r>
                </w:p>
              </w:tc>
              <w:tc>
                <w:tcPr>
                  <w:tcW w:w="651" w:type="pct"/>
                  <w:tcBorders>
                    <w:top w:val="nil"/>
                    <w:left w:val="nil"/>
                    <w:bottom w:val="single" w:sz="4" w:space="0" w:color="auto"/>
                    <w:right w:val="nil"/>
                  </w:tcBorders>
                  <w:shd w:val="clear" w:color="auto" w:fill="FFFFFF"/>
                  <w:hideMark/>
                </w:tcPr>
                <w:p w14:paraId="68A64A23" w14:textId="77777777" w:rsidR="00FC5566" w:rsidRPr="00FC5566" w:rsidRDefault="00FC5566" w:rsidP="00FC5566">
                  <w:pPr>
                    <w:spacing w:line="278" w:lineRule="auto"/>
                    <w:rPr>
                      <w:rFonts w:eastAsia="Aptos"/>
                      <w:kern w:val="2"/>
                      <w:sz w:val="16"/>
                      <w:szCs w:val="16"/>
                    </w:rPr>
                  </w:pPr>
                  <w:r w:rsidRPr="00FC5566">
                    <w:rPr>
                      <w:rFonts w:eastAsia="Aptos"/>
                      <w:kern w:val="2"/>
                      <w:sz w:val="16"/>
                      <w:szCs w:val="16"/>
                    </w:rPr>
                    <w:t>30 A</w:t>
                  </w:r>
                </w:p>
              </w:tc>
              <w:tc>
                <w:tcPr>
                  <w:tcW w:w="651" w:type="pct"/>
                  <w:tcBorders>
                    <w:top w:val="nil"/>
                    <w:left w:val="nil"/>
                    <w:bottom w:val="single" w:sz="4" w:space="0" w:color="auto"/>
                    <w:right w:val="nil"/>
                  </w:tcBorders>
                  <w:shd w:val="clear" w:color="auto" w:fill="FFFFFF"/>
                  <w:hideMark/>
                </w:tcPr>
                <w:p w14:paraId="4E770917" w14:textId="77777777" w:rsidR="00FC5566" w:rsidRPr="00FC5566" w:rsidRDefault="00FC5566" w:rsidP="00FC5566">
                  <w:pPr>
                    <w:spacing w:line="278" w:lineRule="auto"/>
                    <w:rPr>
                      <w:rFonts w:eastAsia="Aptos"/>
                      <w:kern w:val="2"/>
                      <w:sz w:val="16"/>
                      <w:szCs w:val="16"/>
                    </w:rPr>
                  </w:pPr>
                  <w:r w:rsidRPr="00FC5566">
                    <w:rPr>
                      <w:rFonts w:eastAsia="Aptos"/>
                      <w:kern w:val="2"/>
                      <w:sz w:val="16"/>
                      <w:szCs w:val="16"/>
                    </w:rPr>
                    <w:t>40 A or 50 A</w:t>
                  </w:r>
                </w:p>
              </w:tc>
              <w:tc>
                <w:tcPr>
                  <w:tcW w:w="562" w:type="pct"/>
                  <w:tcBorders>
                    <w:top w:val="nil"/>
                    <w:left w:val="nil"/>
                    <w:bottom w:val="single" w:sz="4" w:space="0" w:color="auto"/>
                    <w:right w:val="single" w:sz="4" w:space="0" w:color="auto"/>
                  </w:tcBorders>
                  <w:shd w:val="clear" w:color="auto" w:fill="FFFFFF"/>
                  <w:hideMark/>
                </w:tcPr>
                <w:p w14:paraId="47A4922B" w14:textId="77777777" w:rsidR="00FC5566" w:rsidRPr="00FC5566" w:rsidRDefault="00FC5566" w:rsidP="00FC5566">
                  <w:pPr>
                    <w:spacing w:line="278" w:lineRule="auto"/>
                    <w:rPr>
                      <w:rFonts w:eastAsia="Aptos"/>
                      <w:kern w:val="2"/>
                      <w:sz w:val="16"/>
                      <w:szCs w:val="16"/>
                    </w:rPr>
                  </w:pPr>
                  <w:r w:rsidRPr="00FC5566">
                    <w:rPr>
                      <w:rFonts w:eastAsia="Aptos"/>
                      <w:kern w:val="2"/>
                      <w:sz w:val="16"/>
                      <w:szCs w:val="16"/>
                    </w:rPr>
                    <w:t>50 A</w:t>
                  </w:r>
                </w:p>
              </w:tc>
            </w:tr>
            <w:tr w:rsidR="00FC5566" w:rsidRPr="00FC5566" w14:paraId="4585668C" w14:textId="77777777" w:rsidTr="00B247D5">
              <w:trPr>
                <w:trHeight w:val="388"/>
                <w:jc w:val="center"/>
              </w:trPr>
              <w:tc>
                <w:tcPr>
                  <w:tcW w:w="1085" w:type="pct"/>
                  <w:tcBorders>
                    <w:top w:val="single" w:sz="4" w:space="0" w:color="auto"/>
                    <w:left w:val="single" w:sz="4" w:space="0" w:color="auto"/>
                    <w:bottom w:val="single" w:sz="4" w:space="0" w:color="auto"/>
                    <w:right w:val="nil"/>
                  </w:tcBorders>
                  <w:shd w:val="clear" w:color="auto" w:fill="FFFFFF"/>
                  <w:hideMark/>
                </w:tcPr>
                <w:p w14:paraId="7D1DD7B5" w14:textId="77777777" w:rsidR="00FC5566" w:rsidRPr="00FC5566" w:rsidRDefault="00FC5566" w:rsidP="00FC5566">
                  <w:pPr>
                    <w:spacing w:line="278" w:lineRule="auto"/>
                    <w:rPr>
                      <w:rFonts w:eastAsia="Aptos"/>
                      <w:kern w:val="2"/>
                      <w:sz w:val="16"/>
                      <w:szCs w:val="16"/>
                    </w:rPr>
                  </w:pPr>
                  <w:r w:rsidRPr="00FC5566">
                    <w:rPr>
                      <w:rFonts w:eastAsia="Aptos"/>
                      <w:b/>
                      <w:bCs/>
                      <w:kern w:val="2"/>
                      <w:sz w:val="16"/>
                      <w:szCs w:val="16"/>
                    </w:rPr>
                    <w:t xml:space="preserve">  Maximum Load</w:t>
                  </w:r>
                </w:p>
              </w:tc>
              <w:tc>
                <w:tcPr>
                  <w:tcW w:w="700" w:type="pct"/>
                  <w:tcBorders>
                    <w:top w:val="single" w:sz="4" w:space="0" w:color="auto"/>
                    <w:left w:val="nil"/>
                    <w:bottom w:val="single" w:sz="4" w:space="0" w:color="auto"/>
                    <w:right w:val="nil"/>
                  </w:tcBorders>
                  <w:shd w:val="clear" w:color="auto" w:fill="FFFFFF"/>
                  <w:vAlign w:val="bottom"/>
                  <w:hideMark/>
                </w:tcPr>
                <w:p w14:paraId="7CE93436" w14:textId="77777777" w:rsidR="00FC5566" w:rsidRPr="00FC5566" w:rsidRDefault="00FC5566" w:rsidP="00FC5566">
                  <w:pPr>
                    <w:spacing w:line="278" w:lineRule="auto"/>
                    <w:rPr>
                      <w:rFonts w:eastAsia="Aptos"/>
                      <w:kern w:val="2"/>
                      <w:sz w:val="16"/>
                      <w:szCs w:val="16"/>
                    </w:rPr>
                  </w:pPr>
                  <w:r w:rsidRPr="00FC5566">
                    <w:rPr>
                      <w:rFonts w:eastAsia="Aptos"/>
                      <w:b/>
                      <w:bCs/>
                      <w:kern w:val="2"/>
                      <w:sz w:val="16"/>
                      <w:szCs w:val="16"/>
                    </w:rPr>
                    <w:t>10 A</w:t>
                  </w:r>
                </w:p>
              </w:tc>
              <w:tc>
                <w:tcPr>
                  <w:tcW w:w="700" w:type="pct"/>
                  <w:tcBorders>
                    <w:top w:val="single" w:sz="4" w:space="0" w:color="auto"/>
                    <w:left w:val="nil"/>
                    <w:bottom w:val="single" w:sz="4" w:space="0" w:color="auto"/>
                    <w:right w:val="nil"/>
                  </w:tcBorders>
                  <w:shd w:val="clear" w:color="auto" w:fill="FFFFFF"/>
                  <w:vAlign w:val="bottom"/>
                  <w:hideMark/>
                </w:tcPr>
                <w:p w14:paraId="1984E665" w14:textId="77777777" w:rsidR="00FC5566" w:rsidRPr="00FC5566" w:rsidRDefault="00FC5566" w:rsidP="00FC5566">
                  <w:pPr>
                    <w:spacing w:line="278" w:lineRule="auto"/>
                    <w:rPr>
                      <w:rFonts w:eastAsia="Aptos"/>
                      <w:kern w:val="2"/>
                      <w:sz w:val="16"/>
                      <w:szCs w:val="16"/>
                    </w:rPr>
                  </w:pPr>
                  <w:r w:rsidRPr="00FC5566">
                    <w:rPr>
                      <w:rFonts w:eastAsia="Aptos"/>
                      <w:b/>
                      <w:bCs/>
                      <w:kern w:val="2"/>
                      <w:sz w:val="16"/>
                      <w:szCs w:val="16"/>
                    </w:rPr>
                    <w:t>15 A</w:t>
                  </w:r>
                </w:p>
              </w:tc>
              <w:tc>
                <w:tcPr>
                  <w:tcW w:w="651" w:type="pct"/>
                  <w:tcBorders>
                    <w:top w:val="single" w:sz="4" w:space="0" w:color="auto"/>
                    <w:left w:val="nil"/>
                    <w:bottom w:val="single" w:sz="4" w:space="0" w:color="auto"/>
                    <w:right w:val="nil"/>
                  </w:tcBorders>
                  <w:shd w:val="clear" w:color="auto" w:fill="FFFFFF"/>
                  <w:vAlign w:val="bottom"/>
                  <w:hideMark/>
                </w:tcPr>
                <w:p w14:paraId="1A875E07" w14:textId="77777777" w:rsidR="00FC5566" w:rsidRPr="00FC5566" w:rsidRDefault="00FC5566" w:rsidP="00FC5566">
                  <w:pPr>
                    <w:spacing w:line="278" w:lineRule="auto"/>
                    <w:rPr>
                      <w:rFonts w:eastAsia="Aptos"/>
                      <w:kern w:val="2"/>
                      <w:sz w:val="16"/>
                      <w:szCs w:val="16"/>
                    </w:rPr>
                  </w:pPr>
                  <w:r w:rsidRPr="00FC5566">
                    <w:rPr>
                      <w:rFonts w:eastAsia="Aptos"/>
                      <w:b/>
                      <w:bCs/>
                      <w:kern w:val="2"/>
                      <w:sz w:val="16"/>
                      <w:szCs w:val="16"/>
                    </w:rPr>
                    <w:t>20 A</w:t>
                  </w:r>
                </w:p>
              </w:tc>
              <w:tc>
                <w:tcPr>
                  <w:tcW w:w="651" w:type="pct"/>
                  <w:tcBorders>
                    <w:top w:val="single" w:sz="4" w:space="0" w:color="auto"/>
                    <w:left w:val="nil"/>
                    <w:bottom w:val="single" w:sz="4" w:space="0" w:color="auto"/>
                    <w:right w:val="nil"/>
                  </w:tcBorders>
                  <w:shd w:val="clear" w:color="auto" w:fill="FFFFFF"/>
                  <w:vAlign w:val="bottom"/>
                  <w:hideMark/>
                </w:tcPr>
                <w:p w14:paraId="562EE1E6" w14:textId="77777777" w:rsidR="00FC5566" w:rsidRPr="00FC5566" w:rsidRDefault="00FC5566" w:rsidP="00FC5566">
                  <w:pPr>
                    <w:spacing w:line="278" w:lineRule="auto"/>
                    <w:rPr>
                      <w:rFonts w:eastAsia="Aptos"/>
                      <w:kern w:val="2"/>
                      <w:sz w:val="16"/>
                      <w:szCs w:val="16"/>
                    </w:rPr>
                  </w:pPr>
                  <w:r w:rsidRPr="00FC5566">
                    <w:rPr>
                      <w:rFonts w:eastAsia="Aptos"/>
                      <w:b/>
                      <w:bCs/>
                      <w:kern w:val="2"/>
                      <w:sz w:val="16"/>
                      <w:szCs w:val="16"/>
                    </w:rPr>
                    <w:t>30 A</w:t>
                  </w:r>
                </w:p>
              </w:tc>
              <w:tc>
                <w:tcPr>
                  <w:tcW w:w="651" w:type="pct"/>
                  <w:tcBorders>
                    <w:top w:val="single" w:sz="4" w:space="0" w:color="auto"/>
                    <w:left w:val="nil"/>
                    <w:bottom w:val="single" w:sz="4" w:space="0" w:color="auto"/>
                    <w:right w:val="nil"/>
                  </w:tcBorders>
                  <w:shd w:val="clear" w:color="auto" w:fill="FFFFFF"/>
                  <w:vAlign w:val="bottom"/>
                  <w:hideMark/>
                </w:tcPr>
                <w:p w14:paraId="5F9D0699" w14:textId="77777777" w:rsidR="00FC5566" w:rsidRPr="00FC5566" w:rsidRDefault="00FC5566" w:rsidP="00FC5566">
                  <w:pPr>
                    <w:spacing w:line="278" w:lineRule="auto"/>
                    <w:rPr>
                      <w:rFonts w:eastAsia="Aptos"/>
                      <w:kern w:val="2"/>
                      <w:sz w:val="16"/>
                      <w:szCs w:val="16"/>
                    </w:rPr>
                  </w:pPr>
                  <w:r w:rsidRPr="00FC5566">
                    <w:rPr>
                      <w:rFonts w:eastAsia="Aptos"/>
                      <w:b/>
                      <w:bCs/>
                      <w:kern w:val="2"/>
                      <w:sz w:val="16"/>
                      <w:szCs w:val="16"/>
                    </w:rPr>
                    <w:t>40 A</w:t>
                  </w:r>
                </w:p>
              </w:tc>
              <w:tc>
                <w:tcPr>
                  <w:tcW w:w="562" w:type="pct"/>
                  <w:tcBorders>
                    <w:top w:val="single" w:sz="4" w:space="0" w:color="auto"/>
                    <w:left w:val="nil"/>
                    <w:bottom w:val="single" w:sz="4" w:space="0" w:color="auto"/>
                    <w:right w:val="single" w:sz="4" w:space="0" w:color="auto"/>
                  </w:tcBorders>
                  <w:shd w:val="clear" w:color="auto" w:fill="FFFFFF"/>
                  <w:vAlign w:val="bottom"/>
                  <w:hideMark/>
                </w:tcPr>
                <w:p w14:paraId="261317D1" w14:textId="77777777" w:rsidR="00FC5566" w:rsidRPr="00FC5566" w:rsidRDefault="00FC5566" w:rsidP="00FC5566">
                  <w:pPr>
                    <w:spacing w:line="278" w:lineRule="auto"/>
                    <w:rPr>
                      <w:rFonts w:eastAsia="Aptos"/>
                      <w:kern w:val="2"/>
                      <w:sz w:val="16"/>
                      <w:szCs w:val="16"/>
                    </w:rPr>
                  </w:pPr>
                  <w:r w:rsidRPr="00FC5566">
                    <w:rPr>
                      <w:rFonts w:eastAsia="Aptos"/>
                      <w:b/>
                      <w:bCs/>
                      <w:kern w:val="2"/>
                      <w:sz w:val="16"/>
                      <w:szCs w:val="16"/>
                    </w:rPr>
                    <w:t>50 A</w:t>
                  </w:r>
                </w:p>
              </w:tc>
            </w:tr>
            <w:tr w:rsidR="00FC5566" w:rsidRPr="00FC5566" w14:paraId="7AD3E89F" w14:textId="77777777" w:rsidTr="00B247D5">
              <w:trPr>
                <w:trHeight w:val="388"/>
                <w:jc w:val="center"/>
              </w:trPr>
              <w:tc>
                <w:tcPr>
                  <w:tcW w:w="1085" w:type="pct"/>
                  <w:tcBorders>
                    <w:top w:val="single" w:sz="4" w:space="0" w:color="auto"/>
                    <w:left w:val="single" w:sz="4" w:space="0" w:color="auto"/>
                    <w:bottom w:val="single" w:sz="4" w:space="0" w:color="auto"/>
                    <w:right w:val="nil"/>
                  </w:tcBorders>
                  <w:shd w:val="clear" w:color="auto" w:fill="FFFFFF"/>
                  <w:hideMark/>
                </w:tcPr>
                <w:p w14:paraId="29BBD67D" w14:textId="77777777" w:rsidR="00FC5566" w:rsidRPr="00FC5566" w:rsidRDefault="00FC5566" w:rsidP="00FC5566">
                  <w:pPr>
                    <w:spacing w:line="278" w:lineRule="auto"/>
                    <w:rPr>
                      <w:rFonts w:eastAsia="Aptos"/>
                      <w:kern w:val="2"/>
                      <w:sz w:val="16"/>
                      <w:szCs w:val="16"/>
                    </w:rPr>
                  </w:pPr>
                  <w:r w:rsidRPr="00FC5566">
                    <w:rPr>
                      <w:rFonts w:eastAsia="Aptos"/>
                      <w:kern w:val="2"/>
                      <w:sz w:val="16"/>
                      <w:szCs w:val="16"/>
                    </w:rPr>
                    <w:t xml:space="preserve">  Permissible load</w:t>
                  </w:r>
                </w:p>
              </w:tc>
              <w:tc>
                <w:tcPr>
                  <w:tcW w:w="700" w:type="pct"/>
                  <w:tcBorders>
                    <w:top w:val="single" w:sz="4" w:space="0" w:color="auto"/>
                    <w:left w:val="nil"/>
                    <w:bottom w:val="single" w:sz="4" w:space="0" w:color="auto"/>
                    <w:right w:val="nil"/>
                  </w:tcBorders>
                  <w:shd w:val="clear" w:color="auto" w:fill="FFFFFF"/>
                  <w:vAlign w:val="bottom"/>
                  <w:hideMark/>
                </w:tcPr>
                <w:p w14:paraId="262033C8" w14:textId="77777777" w:rsidR="00FC5566" w:rsidRPr="00FC5566" w:rsidRDefault="00FC5566" w:rsidP="00FC5566">
                  <w:pPr>
                    <w:spacing w:line="278" w:lineRule="auto"/>
                    <w:rPr>
                      <w:rFonts w:eastAsia="Aptos"/>
                      <w:kern w:val="2"/>
                      <w:sz w:val="16"/>
                      <w:szCs w:val="16"/>
                    </w:rPr>
                  </w:pPr>
                  <w:r w:rsidRPr="00FC5566">
                    <w:rPr>
                      <w:rFonts w:eastAsia="Aptos"/>
                      <w:kern w:val="2"/>
                      <w:sz w:val="16"/>
                      <w:szCs w:val="16"/>
                    </w:rPr>
                    <w:t>See 210.23(A).</w:t>
                  </w:r>
                </w:p>
              </w:tc>
              <w:tc>
                <w:tcPr>
                  <w:tcW w:w="700" w:type="pct"/>
                  <w:tcBorders>
                    <w:top w:val="single" w:sz="4" w:space="0" w:color="auto"/>
                    <w:left w:val="nil"/>
                    <w:bottom w:val="single" w:sz="4" w:space="0" w:color="auto"/>
                    <w:right w:val="nil"/>
                  </w:tcBorders>
                  <w:shd w:val="clear" w:color="auto" w:fill="FFFFFF"/>
                  <w:vAlign w:val="bottom"/>
                  <w:hideMark/>
                </w:tcPr>
                <w:p w14:paraId="3C6F463D" w14:textId="77777777" w:rsidR="00FC5566" w:rsidRPr="00FC5566" w:rsidRDefault="00FC5566" w:rsidP="00FC5566">
                  <w:pPr>
                    <w:spacing w:line="278" w:lineRule="auto"/>
                    <w:rPr>
                      <w:rFonts w:eastAsia="Aptos"/>
                      <w:kern w:val="2"/>
                      <w:sz w:val="16"/>
                      <w:szCs w:val="16"/>
                    </w:rPr>
                  </w:pPr>
                  <w:r w:rsidRPr="00FC5566">
                    <w:rPr>
                      <w:rFonts w:eastAsia="Aptos"/>
                      <w:kern w:val="2"/>
                      <w:sz w:val="16"/>
                      <w:szCs w:val="16"/>
                    </w:rPr>
                    <w:t>See 210.23(B).</w:t>
                  </w:r>
                </w:p>
              </w:tc>
              <w:tc>
                <w:tcPr>
                  <w:tcW w:w="651" w:type="pct"/>
                  <w:tcBorders>
                    <w:top w:val="single" w:sz="4" w:space="0" w:color="auto"/>
                    <w:left w:val="nil"/>
                    <w:bottom w:val="single" w:sz="4" w:space="0" w:color="auto"/>
                    <w:right w:val="nil"/>
                  </w:tcBorders>
                  <w:shd w:val="clear" w:color="auto" w:fill="FFFFFF"/>
                  <w:vAlign w:val="bottom"/>
                  <w:hideMark/>
                </w:tcPr>
                <w:p w14:paraId="13E6700C" w14:textId="77777777" w:rsidR="00FC5566" w:rsidRPr="00FC5566" w:rsidRDefault="00FC5566" w:rsidP="00FC5566">
                  <w:pPr>
                    <w:spacing w:line="278" w:lineRule="auto"/>
                    <w:rPr>
                      <w:rFonts w:eastAsia="Aptos"/>
                      <w:kern w:val="2"/>
                      <w:sz w:val="16"/>
                      <w:szCs w:val="16"/>
                    </w:rPr>
                  </w:pPr>
                  <w:r w:rsidRPr="00FC5566">
                    <w:rPr>
                      <w:rFonts w:eastAsia="Aptos"/>
                      <w:kern w:val="2"/>
                      <w:sz w:val="16"/>
                      <w:szCs w:val="16"/>
                    </w:rPr>
                    <w:t>See 210.23(B).</w:t>
                  </w:r>
                </w:p>
              </w:tc>
              <w:tc>
                <w:tcPr>
                  <w:tcW w:w="651" w:type="pct"/>
                  <w:tcBorders>
                    <w:top w:val="single" w:sz="4" w:space="0" w:color="auto"/>
                    <w:left w:val="nil"/>
                    <w:bottom w:val="single" w:sz="4" w:space="0" w:color="auto"/>
                    <w:right w:val="nil"/>
                  </w:tcBorders>
                  <w:shd w:val="clear" w:color="auto" w:fill="FFFFFF"/>
                  <w:vAlign w:val="bottom"/>
                  <w:hideMark/>
                </w:tcPr>
                <w:p w14:paraId="0A6546B1" w14:textId="77777777" w:rsidR="00FC5566" w:rsidRPr="00FC5566" w:rsidRDefault="00FC5566" w:rsidP="00FC5566">
                  <w:pPr>
                    <w:spacing w:line="278" w:lineRule="auto"/>
                    <w:rPr>
                      <w:rFonts w:eastAsia="Aptos"/>
                      <w:kern w:val="2"/>
                      <w:sz w:val="16"/>
                      <w:szCs w:val="16"/>
                    </w:rPr>
                  </w:pPr>
                  <w:r w:rsidRPr="00FC5566">
                    <w:rPr>
                      <w:rFonts w:eastAsia="Aptos"/>
                      <w:kern w:val="2"/>
                      <w:sz w:val="16"/>
                      <w:szCs w:val="16"/>
                    </w:rPr>
                    <w:t>See 210.23(C).</w:t>
                  </w:r>
                </w:p>
              </w:tc>
              <w:tc>
                <w:tcPr>
                  <w:tcW w:w="651" w:type="pct"/>
                  <w:tcBorders>
                    <w:top w:val="single" w:sz="4" w:space="0" w:color="auto"/>
                    <w:left w:val="nil"/>
                    <w:bottom w:val="single" w:sz="4" w:space="0" w:color="auto"/>
                    <w:right w:val="nil"/>
                  </w:tcBorders>
                  <w:shd w:val="clear" w:color="auto" w:fill="FFFFFF"/>
                  <w:vAlign w:val="bottom"/>
                  <w:hideMark/>
                </w:tcPr>
                <w:p w14:paraId="6A55AEF8" w14:textId="77777777" w:rsidR="00FC5566" w:rsidRPr="00FC5566" w:rsidRDefault="00FC5566" w:rsidP="00FC5566">
                  <w:pPr>
                    <w:spacing w:line="278" w:lineRule="auto"/>
                    <w:rPr>
                      <w:rFonts w:eastAsia="Aptos"/>
                      <w:kern w:val="2"/>
                      <w:sz w:val="16"/>
                      <w:szCs w:val="16"/>
                    </w:rPr>
                  </w:pPr>
                  <w:r w:rsidRPr="00FC5566">
                    <w:rPr>
                      <w:rFonts w:eastAsia="Aptos"/>
                      <w:kern w:val="2"/>
                      <w:sz w:val="16"/>
                      <w:szCs w:val="16"/>
                    </w:rPr>
                    <w:t>See 210.23(D).</w:t>
                  </w:r>
                </w:p>
              </w:tc>
              <w:tc>
                <w:tcPr>
                  <w:tcW w:w="562" w:type="pct"/>
                  <w:tcBorders>
                    <w:top w:val="single" w:sz="4" w:space="0" w:color="auto"/>
                    <w:left w:val="nil"/>
                    <w:bottom w:val="single" w:sz="4" w:space="0" w:color="auto"/>
                    <w:right w:val="single" w:sz="4" w:space="0" w:color="auto"/>
                  </w:tcBorders>
                  <w:shd w:val="clear" w:color="auto" w:fill="FFFFFF"/>
                  <w:vAlign w:val="bottom"/>
                  <w:hideMark/>
                </w:tcPr>
                <w:p w14:paraId="7426428C" w14:textId="77777777" w:rsidR="00FC5566" w:rsidRPr="00FC5566" w:rsidRDefault="00FC5566" w:rsidP="00FC5566">
                  <w:pPr>
                    <w:spacing w:line="278" w:lineRule="auto"/>
                    <w:rPr>
                      <w:rFonts w:eastAsia="Aptos"/>
                      <w:kern w:val="2"/>
                      <w:sz w:val="16"/>
                      <w:szCs w:val="16"/>
                    </w:rPr>
                  </w:pPr>
                  <w:r w:rsidRPr="00FC5566">
                    <w:rPr>
                      <w:rFonts w:eastAsia="Aptos"/>
                      <w:kern w:val="2"/>
                      <w:sz w:val="16"/>
                      <w:szCs w:val="16"/>
                    </w:rPr>
                    <w:t>See 210.23(D).</w:t>
                  </w:r>
                </w:p>
              </w:tc>
            </w:tr>
          </w:tbl>
          <w:p w14:paraId="2E900E07" w14:textId="77777777" w:rsidR="00FC5566" w:rsidRPr="00FC5566" w:rsidRDefault="00FC5566" w:rsidP="00FC5566">
            <w:pPr>
              <w:widowControl w:val="0"/>
              <w:autoSpaceDE w:val="0"/>
              <w:autoSpaceDN w:val="0"/>
              <w:ind w:right="88"/>
              <w:rPr>
                <w:sz w:val="16"/>
                <w:szCs w:val="16"/>
              </w:rPr>
            </w:pPr>
            <w:r w:rsidRPr="00FC5566">
              <w:rPr>
                <w:sz w:val="16"/>
                <w:szCs w:val="16"/>
                <w:vertAlign w:val="superscript"/>
              </w:rPr>
              <w:t xml:space="preserve">                    1</w:t>
            </w:r>
            <w:r w:rsidRPr="00FC5566">
              <w:rPr>
                <w:sz w:val="16"/>
                <w:szCs w:val="16"/>
              </w:rPr>
              <w:t>Ampacity shall be applicable only to copper-clad aluminum conductors.</w:t>
            </w:r>
          </w:p>
          <w:p w14:paraId="6776FC88" w14:textId="77777777" w:rsidR="00FC5566" w:rsidRPr="00FC5566" w:rsidRDefault="00FC5566" w:rsidP="00FC5566">
            <w:pPr>
              <w:widowControl w:val="0"/>
              <w:autoSpaceDE w:val="0"/>
              <w:autoSpaceDN w:val="0"/>
              <w:ind w:left="108" w:right="88"/>
              <w:rPr>
                <w:sz w:val="16"/>
                <w:szCs w:val="16"/>
              </w:rPr>
            </w:pPr>
            <w:r w:rsidRPr="00FC5566">
              <w:rPr>
                <w:sz w:val="16"/>
                <w:szCs w:val="16"/>
                <w:vertAlign w:val="superscript"/>
              </w:rPr>
              <w:t xml:space="preserve">                2 </w:t>
            </w:r>
            <w:r w:rsidRPr="00FC5566">
              <w:rPr>
                <w:sz w:val="16"/>
                <w:szCs w:val="16"/>
              </w:rPr>
              <w:t>For receptacle rating of cord-connected electric-discharge luminaires, see 410.62(C).</w:t>
            </w:r>
          </w:p>
          <w:p w14:paraId="5AC2CD03" w14:textId="77777777" w:rsidR="00FC5566" w:rsidRPr="00FC5566" w:rsidRDefault="00FC5566" w:rsidP="00FC5566">
            <w:pPr>
              <w:widowControl w:val="0"/>
              <w:autoSpaceDE w:val="0"/>
              <w:autoSpaceDN w:val="0"/>
              <w:ind w:left="108" w:right="88"/>
              <w:rPr>
                <w:sz w:val="16"/>
                <w:szCs w:val="16"/>
              </w:rPr>
            </w:pPr>
            <w:r w:rsidRPr="00FC5566">
              <w:rPr>
                <w:sz w:val="16"/>
                <w:szCs w:val="16"/>
                <w:vertAlign w:val="superscript"/>
              </w:rPr>
              <w:t xml:space="preserve">                3 </w:t>
            </w:r>
            <w:r w:rsidRPr="00FC5566">
              <w:rPr>
                <w:sz w:val="16"/>
                <w:szCs w:val="16"/>
              </w:rPr>
              <w:t>Branch circuits rated 10-amperes shall not supply receptacle outlets.</w:t>
            </w:r>
          </w:p>
        </w:tc>
      </w:tr>
      <w:tr w:rsidR="00FC5566" w:rsidRPr="00FC5566" w14:paraId="7D2481D9" w14:textId="77777777" w:rsidTr="00B247D5">
        <w:trPr>
          <w:trHeight w:val="144"/>
        </w:trPr>
        <w:tc>
          <w:tcPr>
            <w:tcW w:w="1127" w:type="dxa"/>
            <w:gridSpan w:val="2"/>
          </w:tcPr>
          <w:p w14:paraId="740B59EB" w14:textId="77777777" w:rsidR="00FC5566" w:rsidRPr="00FC5566" w:rsidRDefault="00FC5566" w:rsidP="00FC5566">
            <w:pPr>
              <w:widowControl w:val="0"/>
              <w:autoSpaceDE w:val="0"/>
              <w:autoSpaceDN w:val="0"/>
              <w:jc w:val="center"/>
              <w:rPr>
                <w:sz w:val="16"/>
                <w:szCs w:val="16"/>
              </w:rPr>
            </w:pPr>
            <w:r w:rsidRPr="00FC5566">
              <w:rPr>
                <w:sz w:val="16"/>
                <w:szCs w:val="16"/>
              </w:rPr>
              <w:t>Amend</w:t>
            </w:r>
          </w:p>
        </w:tc>
        <w:tc>
          <w:tcPr>
            <w:tcW w:w="2340" w:type="dxa"/>
          </w:tcPr>
          <w:p w14:paraId="72857797" w14:textId="77777777" w:rsidR="00FC5566" w:rsidRPr="00FC5566" w:rsidRDefault="00FC5566" w:rsidP="00FC5566">
            <w:pPr>
              <w:widowControl w:val="0"/>
              <w:autoSpaceDE w:val="0"/>
              <w:autoSpaceDN w:val="0"/>
              <w:ind w:left="107" w:right="46"/>
              <w:rPr>
                <w:sz w:val="16"/>
                <w:szCs w:val="16"/>
              </w:rPr>
            </w:pPr>
            <w:r w:rsidRPr="00FC5566">
              <w:rPr>
                <w:sz w:val="16"/>
                <w:szCs w:val="16"/>
              </w:rPr>
              <w:t>Chapter 3, Wiring Methods and Materials</w:t>
            </w:r>
          </w:p>
        </w:tc>
        <w:tc>
          <w:tcPr>
            <w:tcW w:w="7063" w:type="dxa"/>
          </w:tcPr>
          <w:p w14:paraId="0549D95D" w14:textId="77777777" w:rsidR="00FC5566" w:rsidRPr="00FC5566" w:rsidRDefault="00FC5566" w:rsidP="00FC5566">
            <w:pPr>
              <w:widowControl w:val="0"/>
              <w:autoSpaceDE w:val="0"/>
              <w:autoSpaceDN w:val="0"/>
              <w:ind w:left="108" w:right="88"/>
              <w:rPr>
                <w:sz w:val="16"/>
                <w:szCs w:val="16"/>
              </w:rPr>
            </w:pPr>
          </w:p>
        </w:tc>
      </w:tr>
      <w:tr w:rsidR="00FC5566" w:rsidRPr="00FC5566" w14:paraId="1658D549" w14:textId="77777777" w:rsidTr="00B247D5">
        <w:trPr>
          <w:trHeight w:val="259"/>
        </w:trPr>
        <w:tc>
          <w:tcPr>
            <w:tcW w:w="1127" w:type="dxa"/>
            <w:gridSpan w:val="2"/>
          </w:tcPr>
          <w:p w14:paraId="7C966374" w14:textId="77777777" w:rsidR="00FC5566" w:rsidRPr="00FC5566" w:rsidRDefault="00FC5566" w:rsidP="00FC5566">
            <w:pPr>
              <w:widowControl w:val="0"/>
              <w:autoSpaceDE w:val="0"/>
              <w:autoSpaceDN w:val="0"/>
              <w:jc w:val="center"/>
              <w:rPr>
                <w:sz w:val="16"/>
                <w:szCs w:val="16"/>
              </w:rPr>
            </w:pPr>
            <w:r w:rsidRPr="00FC5566">
              <w:rPr>
                <w:sz w:val="16"/>
                <w:szCs w:val="16"/>
              </w:rPr>
              <w:t>Amend</w:t>
            </w:r>
          </w:p>
        </w:tc>
        <w:tc>
          <w:tcPr>
            <w:tcW w:w="2340" w:type="dxa"/>
          </w:tcPr>
          <w:p w14:paraId="307262A3" w14:textId="77777777" w:rsidR="00FC5566" w:rsidRPr="00FC5566" w:rsidRDefault="00FC5566" w:rsidP="00FC5566">
            <w:pPr>
              <w:widowControl w:val="0"/>
              <w:autoSpaceDE w:val="0"/>
              <w:autoSpaceDN w:val="0"/>
              <w:ind w:left="107" w:right="46"/>
              <w:rPr>
                <w:sz w:val="16"/>
                <w:szCs w:val="16"/>
              </w:rPr>
            </w:pPr>
            <w:r w:rsidRPr="00FC5566">
              <w:rPr>
                <w:sz w:val="16"/>
                <w:szCs w:val="16"/>
              </w:rPr>
              <w:t>Article 310.3, Conductors.</w:t>
            </w:r>
          </w:p>
        </w:tc>
        <w:tc>
          <w:tcPr>
            <w:tcW w:w="7063" w:type="dxa"/>
          </w:tcPr>
          <w:p w14:paraId="2F3EC6AE" w14:textId="77777777" w:rsidR="00FC5566" w:rsidRPr="00FC5566" w:rsidRDefault="00FC5566" w:rsidP="00FC5566">
            <w:pPr>
              <w:widowControl w:val="0"/>
              <w:autoSpaceDE w:val="0"/>
              <w:autoSpaceDN w:val="0"/>
              <w:ind w:left="108" w:right="88"/>
              <w:rPr>
                <w:sz w:val="16"/>
                <w:szCs w:val="16"/>
              </w:rPr>
            </w:pPr>
          </w:p>
        </w:tc>
      </w:tr>
      <w:tr w:rsidR="00FC5566" w:rsidRPr="00FC5566" w14:paraId="40C097F9" w14:textId="77777777" w:rsidTr="00B247D5">
        <w:trPr>
          <w:trHeight w:val="360"/>
        </w:trPr>
        <w:tc>
          <w:tcPr>
            <w:tcW w:w="1127" w:type="dxa"/>
            <w:gridSpan w:val="2"/>
          </w:tcPr>
          <w:p w14:paraId="68FAFD5A" w14:textId="77777777" w:rsidR="00FC5566" w:rsidRPr="00FC5566" w:rsidRDefault="00FC5566" w:rsidP="00FC5566">
            <w:pPr>
              <w:widowControl w:val="0"/>
              <w:autoSpaceDE w:val="0"/>
              <w:autoSpaceDN w:val="0"/>
              <w:jc w:val="center"/>
              <w:rPr>
                <w:sz w:val="16"/>
                <w:szCs w:val="16"/>
              </w:rPr>
            </w:pPr>
            <w:r w:rsidRPr="00FC5566">
              <w:rPr>
                <w:sz w:val="16"/>
                <w:szCs w:val="16"/>
              </w:rPr>
              <w:t xml:space="preserve">Amend </w:t>
            </w:r>
          </w:p>
        </w:tc>
        <w:tc>
          <w:tcPr>
            <w:tcW w:w="2340" w:type="dxa"/>
          </w:tcPr>
          <w:p w14:paraId="7FD6497F" w14:textId="77777777" w:rsidR="00FC5566" w:rsidRPr="00FC5566" w:rsidRDefault="00FC5566" w:rsidP="00FC5566">
            <w:pPr>
              <w:widowControl w:val="0"/>
              <w:autoSpaceDE w:val="0"/>
              <w:autoSpaceDN w:val="0"/>
              <w:ind w:left="107" w:right="46"/>
              <w:rPr>
                <w:sz w:val="16"/>
                <w:szCs w:val="16"/>
              </w:rPr>
            </w:pPr>
            <w:r w:rsidRPr="00FC5566">
              <w:rPr>
                <w:sz w:val="16"/>
                <w:szCs w:val="16"/>
              </w:rPr>
              <w:t>Item (A), Minimum Size of Conductors.</w:t>
            </w:r>
          </w:p>
        </w:tc>
        <w:tc>
          <w:tcPr>
            <w:tcW w:w="7063" w:type="dxa"/>
          </w:tcPr>
          <w:p w14:paraId="5ACE8B3D" w14:textId="77777777" w:rsidR="00FC5566" w:rsidRPr="00FC5566" w:rsidRDefault="00FC5566" w:rsidP="00FC5566">
            <w:pPr>
              <w:widowControl w:val="0"/>
              <w:autoSpaceDE w:val="0"/>
              <w:autoSpaceDN w:val="0"/>
              <w:ind w:left="108" w:right="88"/>
              <w:rPr>
                <w:sz w:val="16"/>
                <w:szCs w:val="16"/>
              </w:rPr>
            </w:pPr>
            <w:r w:rsidRPr="00FC5566">
              <w:rPr>
                <w:sz w:val="16"/>
                <w:szCs w:val="16"/>
              </w:rPr>
              <w:t xml:space="preserve">The minimum size of conductors for voltage ratings up to and including 2000 volts shall be 16 AWG copper or 14 AWG copper-clad aluminum, except as permitted elsewhere in this Code. </w:t>
            </w:r>
          </w:p>
        </w:tc>
      </w:tr>
      <w:tr w:rsidR="00FC5566" w:rsidRPr="00FC5566" w14:paraId="61F43889" w14:textId="77777777" w:rsidTr="00B247D5">
        <w:trPr>
          <w:trHeight w:val="368"/>
        </w:trPr>
        <w:tc>
          <w:tcPr>
            <w:tcW w:w="1127" w:type="dxa"/>
            <w:gridSpan w:val="2"/>
          </w:tcPr>
          <w:p w14:paraId="37930C1E" w14:textId="77777777" w:rsidR="00FC5566" w:rsidRPr="00FC5566" w:rsidRDefault="00FC5566" w:rsidP="00FC5566">
            <w:pPr>
              <w:widowControl w:val="0"/>
              <w:autoSpaceDE w:val="0"/>
              <w:autoSpaceDN w:val="0"/>
              <w:jc w:val="center"/>
              <w:rPr>
                <w:sz w:val="16"/>
                <w:szCs w:val="16"/>
              </w:rPr>
            </w:pPr>
            <w:r w:rsidRPr="00FC5566">
              <w:rPr>
                <w:sz w:val="16"/>
                <w:szCs w:val="16"/>
              </w:rPr>
              <w:t>Amend</w:t>
            </w:r>
          </w:p>
        </w:tc>
        <w:tc>
          <w:tcPr>
            <w:tcW w:w="2340" w:type="dxa"/>
          </w:tcPr>
          <w:p w14:paraId="1F449A84" w14:textId="77777777" w:rsidR="00FC5566" w:rsidRPr="00FC5566" w:rsidRDefault="00FC5566" w:rsidP="00FC5566">
            <w:pPr>
              <w:widowControl w:val="0"/>
              <w:autoSpaceDE w:val="0"/>
              <w:autoSpaceDN w:val="0"/>
              <w:ind w:left="107" w:right="46"/>
              <w:rPr>
                <w:sz w:val="16"/>
                <w:szCs w:val="16"/>
              </w:rPr>
            </w:pPr>
            <w:r w:rsidRPr="00FC5566">
              <w:rPr>
                <w:sz w:val="16"/>
                <w:szCs w:val="16"/>
              </w:rPr>
              <w:t>Table 310.16, Ampacities of Insulated Conductors with Not More than Three Current-Carrying Conductors in Raceway, Cable, or Earth (Directly Buried)</w:t>
            </w:r>
          </w:p>
        </w:tc>
        <w:tc>
          <w:tcPr>
            <w:tcW w:w="7063" w:type="dxa"/>
          </w:tcPr>
          <w:p w14:paraId="25E87599" w14:textId="77777777" w:rsidR="00FC5566" w:rsidRPr="00FC5566" w:rsidRDefault="00FC5566" w:rsidP="00FC5566">
            <w:pPr>
              <w:widowControl w:val="0"/>
              <w:autoSpaceDE w:val="0"/>
              <w:autoSpaceDN w:val="0"/>
              <w:ind w:left="108" w:right="88"/>
              <w:rPr>
                <w:sz w:val="16"/>
                <w:szCs w:val="16"/>
              </w:rPr>
            </w:pPr>
          </w:p>
        </w:tc>
      </w:tr>
      <w:tr w:rsidR="00FC5566" w:rsidRPr="00FC5566" w14:paraId="7657FEA1" w14:textId="77777777" w:rsidTr="00B247D5">
        <w:trPr>
          <w:trHeight w:val="10326"/>
        </w:trPr>
        <w:tc>
          <w:tcPr>
            <w:tcW w:w="10530" w:type="dxa"/>
            <w:gridSpan w:val="4"/>
          </w:tcPr>
          <w:p w14:paraId="7129C452" w14:textId="77777777" w:rsidR="00FC5566" w:rsidRPr="00FC5566" w:rsidRDefault="00FC5566" w:rsidP="00FC5566">
            <w:pPr>
              <w:widowControl w:val="0"/>
              <w:autoSpaceDE w:val="0"/>
              <w:autoSpaceDN w:val="0"/>
              <w:ind w:left="108" w:right="88"/>
              <w:jc w:val="center"/>
              <w:rPr>
                <w:b/>
                <w:bCs/>
                <w:sz w:val="16"/>
                <w:szCs w:val="16"/>
              </w:rPr>
            </w:pPr>
          </w:p>
          <w:p w14:paraId="6A5D74D9" w14:textId="77777777" w:rsidR="00FC5566" w:rsidRPr="00FC5566" w:rsidRDefault="00FC5566" w:rsidP="00FC5566">
            <w:pPr>
              <w:widowControl w:val="0"/>
              <w:autoSpaceDE w:val="0"/>
              <w:autoSpaceDN w:val="0"/>
              <w:ind w:left="108" w:right="88"/>
              <w:jc w:val="center"/>
              <w:rPr>
                <w:b/>
                <w:bCs/>
                <w:sz w:val="16"/>
                <w:szCs w:val="16"/>
              </w:rPr>
            </w:pPr>
            <w:r w:rsidRPr="00FC5566">
              <w:rPr>
                <w:b/>
                <w:bCs/>
                <w:sz w:val="16"/>
                <w:szCs w:val="16"/>
              </w:rPr>
              <w:t>Table 310.16 Ampacities of Insulated Conductors with Not More Than Three Current-Carrying Conductors in Raceway, Cable, or Earth (Directly Buried)</w:t>
            </w:r>
          </w:p>
          <w:p w14:paraId="1E589ACD" w14:textId="77777777" w:rsidR="00FC5566" w:rsidRPr="00FC5566" w:rsidRDefault="00FC5566" w:rsidP="00FC5566">
            <w:pPr>
              <w:widowControl w:val="0"/>
              <w:autoSpaceDE w:val="0"/>
              <w:autoSpaceDN w:val="0"/>
              <w:ind w:right="88"/>
              <w:rPr>
                <w:b/>
                <w:bCs/>
                <w:sz w:val="16"/>
                <w:szCs w:val="16"/>
              </w:rPr>
            </w:pPr>
          </w:p>
          <w:tbl>
            <w:tblPr>
              <w:tblW w:w="0" w:type="auto"/>
              <w:jc w:val="center"/>
              <w:tblBorders>
                <w:top w:val="single" w:sz="24" w:space="0" w:color="AEB3C5"/>
                <w:bottom w:val="single" w:sz="24" w:space="0" w:color="AEB3C5"/>
              </w:tblBorders>
              <w:tblCellMar>
                <w:left w:w="0" w:type="dxa"/>
                <w:right w:w="0" w:type="dxa"/>
              </w:tblCellMar>
              <w:tblLook w:val="04A0" w:firstRow="1" w:lastRow="0" w:firstColumn="1" w:lastColumn="0" w:noHBand="0" w:noVBand="1"/>
            </w:tblPr>
            <w:tblGrid>
              <w:gridCol w:w="1255"/>
              <w:gridCol w:w="1170"/>
              <w:gridCol w:w="1260"/>
              <w:gridCol w:w="1440"/>
              <w:gridCol w:w="1124"/>
              <w:gridCol w:w="1126"/>
              <w:gridCol w:w="1440"/>
              <w:gridCol w:w="1175"/>
            </w:tblGrid>
            <w:tr w:rsidR="00FC5566" w:rsidRPr="00FC5566" w14:paraId="24F915F0" w14:textId="77777777" w:rsidTr="00B247D5">
              <w:trPr>
                <w:tblHeader/>
                <w:jc w:val="center"/>
              </w:trPr>
              <w:tc>
                <w:tcPr>
                  <w:tcW w:w="1255" w:type="dxa"/>
                  <w:vMerge w:val="restart"/>
                  <w:tcBorders>
                    <w:top w:val="single" w:sz="4" w:space="0" w:color="auto"/>
                    <w:left w:val="single" w:sz="4" w:space="0" w:color="auto"/>
                    <w:bottom w:val="single" w:sz="4" w:space="0" w:color="auto"/>
                    <w:right w:val="single" w:sz="4" w:space="0" w:color="auto"/>
                  </w:tcBorders>
                  <w:shd w:val="clear" w:color="auto" w:fill="D9D9D9"/>
                  <w:vAlign w:val="bottom"/>
                  <w:hideMark/>
                </w:tcPr>
                <w:p w14:paraId="48376883" w14:textId="77777777" w:rsidR="00FC5566" w:rsidRPr="00FC5566" w:rsidRDefault="00FC5566" w:rsidP="00FC5566">
                  <w:pPr>
                    <w:jc w:val="center"/>
                    <w:rPr>
                      <w:b/>
                      <w:bCs/>
                      <w:sz w:val="16"/>
                      <w:szCs w:val="16"/>
                    </w:rPr>
                  </w:pPr>
                  <w:r w:rsidRPr="00FC5566">
                    <w:rPr>
                      <w:b/>
                      <w:bCs/>
                      <w:sz w:val="16"/>
                      <w:szCs w:val="16"/>
                    </w:rPr>
                    <w:t>Size AWG or kcmil</w:t>
                  </w:r>
                </w:p>
              </w:tc>
              <w:tc>
                <w:tcPr>
                  <w:tcW w:w="7560" w:type="dxa"/>
                  <w:gridSpan w:val="6"/>
                  <w:tcBorders>
                    <w:top w:val="single" w:sz="4" w:space="0" w:color="auto"/>
                    <w:left w:val="single" w:sz="4" w:space="0" w:color="auto"/>
                    <w:bottom w:val="single" w:sz="4" w:space="0" w:color="auto"/>
                    <w:right w:val="single" w:sz="4" w:space="0" w:color="auto"/>
                  </w:tcBorders>
                  <w:shd w:val="clear" w:color="auto" w:fill="D9D9D9"/>
                  <w:vAlign w:val="bottom"/>
                  <w:hideMark/>
                </w:tcPr>
                <w:p w14:paraId="10B152B8" w14:textId="77777777" w:rsidR="00FC5566" w:rsidRPr="00FC5566" w:rsidRDefault="00FC5566" w:rsidP="00FC5566">
                  <w:pPr>
                    <w:jc w:val="center"/>
                    <w:rPr>
                      <w:b/>
                      <w:bCs/>
                      <w:sz w:val="16"/>
                      <w:szCs w:val="16"/>
                    </w:rPr>
                  </w:pPr>
                  <w:r w:rsidRPr="00FC5566">
                    <w:rPr>
                      <w:b/>
                      <w:bCs/>
                      <w:sz w:val="16"/>
                      <w:szCs w:val="16"/>
                    </w:rPr>
                    <w:t>Temperature Rating of Conductor [See Table 310.4(1)]</w:t>
                  </w:r>
                </w:p>
              </w:tc>
              <w:tc>
                <w:tcPr>
                  <w:tcW w:w="1175" w:type="dxa"/>
                  <w:vMerge w:val="restart"/>
                  <w:tcBorders>
                    <w:top w:val="single" w:sz="4" w:space="0" w:color="auto"/>
                    <w:left w:val="single" w:sz="4" w:space="0" w:color="auto"/>
                    <w:bottom w:val="single" w:sz="4" w:space="0" w:color="auto"/>
                    <w:right w:val="single" w:sz="4" w:space="0" w:color="auto"/>
                  </w:tcBorders>
                  <w:shd w:val="clear" w:color="auto" w:fill="D9D9D9"/>
                  <w:vAlign w:val="bottom"/>
                  <w:hideMark/>
                </w:tcPr>
                <w:p w14:paraId="7DBF0A3F" w14:textId="77777777" w:rsidR="00FC5566" w:rsidRPr="00FC5566" w:rsidRDefault="00FC5566" w:rsidP="00FC5566">
                  <w:pPr>
                    <w:jc w:val="center"/>
                    <w:rPr>
                      <w:b/>
                      <w:bCs/>
                      <w:sz w:val="16"/>
                      <w:szCs w:val="16"/>
                    </w:rPr>
                  </w:pPr>
                  <w:r w:rsidRPr="00FC5566">
                    <w:rPr>
                      <w:b/>
                      <w:bCs/>
                      <w:sz w:val="16"/>
                      <w:szCs w:val="16"/>
                    </w:rPr>
                    <w:t>Size AWG or kcmil</w:t>
                  </w:r>
                </w:p>
              </w:tc>
            </w:tr>
            <w:tr w:rsidR="00FC5566" w:rsidRPr="00FC5566" w14:paraId="1EEECB0D" w14:textId="77777777" w:rsidTr="00B247D5">
              <w:trPr>
                <w:tblHeader/>
                <w:jc w:val="center"/>
              </w:trPr>
              <w:tc>
                <w:tcPr>
                  <w:tcW w:w="1255" w:type="dxa"/>
                  <w:vMerge/>
                  <w:tcBorders>
                    <w:top w:val="single" w:sz="24" w:space="0" w:color="AEB3C5"/>
                    <w:left w:val="single" w:sz="4" w:space="0" w:color="auto"/>
                    <w:bottom w:val="single" w:sz="4" w:space="0" w:color="auto"/>
                    <w:right w:val="single" w:sz="4" w:space="0" w:color="auto"/>
                  </w:tcBorders>
                  <w:vAlign w:val="center"/>
                  <w:hideMark/>
                </w:tcPr>
                <w:p w14:paraId="02CB6631" w14:textId="77777777" w:rsidR="00FC5566" w:rsidRPr="00FC5566" w:rsidRDefault="00FC5566" w:rsidP="00FC5566">
                  <w:pPr>
                    <w:rPr>
                      <w:b/>
                      <w:bCs/>
                      <w:sz w:val="16"/>
                      <w:szCs w:val="16"/>
                    </w:rPr>
                  </w:pPr>
                </w:p>
              </w:tc>
              <w:tc>
                <w:tcPr>
                  <w:tcW w:w="117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501C1CA6" w14:textId="77777777" w:rsidR="00FC5566" w:rsidRPr="00FC5566" w:rsidRDefault="00FC5566" w:rsidP="00FC5566">
                  <w:pPr>
                    <w:jc w:val="center"/>
                    <w:rPr>
                      <w:b/>
                      <w:bCs/>
                      <w:sz w:val="16"/>
                      <w:szCs w:val="16"/>
                    </w:rPr>
                  </w:pPr>
                  <w:r w:rsidRPr="00FC5566">
                    <w:rPr>
                      <w:b/>
                      <w:bCs/>
                      <w:sz w:val="16"/>
                      <w:szCs w:val="16"/>
                    </w:rPr>
                    <w:t>60°C (140°F)</w:t>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6183E4A5" w14:textId="77777777" w:rsidR="00FC5566" w:rsidRPr="00FC5566" w:rsidRDefault="00FC5566" w:rsidP="00FC5566">
                  <w:pPr>
                    <w:jc w:val="center"/>
                    <w:rPr>
                      <w:b/>
                      <w:bCs/>
                      <w:sz w:val="16"/>
                      <w:szCs w:val="16"/>
                    </w:rPr>
                  </w:pPr>
                  <w:r w:rsidRPr="00FC5566">
                    <w:rPr>
                      <w:b/>
                      <w:bCs/>
                      <w:sz w:val="16"/>
                      <w:szCs w:val="16"/>
                    </w:rPr>
                    <w:t>75°C (167°F)</w:t>
                  </w:r>
                </w:p>
              </w:tc>
              <w:tc>
                <w:tcPr>
                  <w:tcW w:w="144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1BE784B5" w14:textId="77777777" w:rsidR="00FC5566" w:rsidRPr="00FC5566" w:rsidRDefault="00FC5566" w:rsidP="00FC5566">
                  <w:pPr>
                    <w:jc w:val="center"/>
                    <w:rPr>
                      <w:b/>
                      <w:bCs/>
                      <w:sz w:val="16"/>
                      <w:szCs w:val="16"/>
                    </w:rPr>
                  </w:pPr>
                  <w:r w:rsidRPr="00FC5566">
                    <w:rPr>
                      <w:b/>
                      <w:bCs/>
                      <w:sz w:val="16"/>
                      <w:szCs w:val="16"/>
                    </w:rPr>
                    <w:t>90°C (194°F)</w:t>
                  </w:r>
                </w:p>
              </w:tc>
              <w:tc>
                <w:tcPr>
                  <w:tcW w:w="1124"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1BDAC369" w14:textId="77777777" w:rsidR="00FC5566" w:rsidRPr="00FC5566" w:rsidRDefault="00FC5566" w:rsidP="00FC5566">
                  <w:pPr>
                    <w:jc w:val="center"/>
                    <w:rPr>
                      <w:b/>
                      <w:bCs/>
                      <w:sz w:val="16"/>
                      <w:szCs w:val="16"/>
                    </w:rPr>
                  </w:pPr>
                  <w:r w:rsidRPr="00FC5566">
                    <w:rPr>
                      <w:b/>
                      <w:bCs/>
                      <w:sz w:val="16"/>
                      <w:szCs w:val="16"/>
                    </w:rPr>
                    <w:t>60°C (140°F)</w:t>
                  </w:r>
                </w:p>
              </w:tc>
              <w:tc>
                <w:tcPr>
                  <w:tcW w:w="1126"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32875AB4" w14:textId="77777777" w:rsidR="00FC5566" w:rsidRPr="00FC5566" w:rsidRDefault="00FC5566" w:rsidP="00FC5566">
                  <w:pPr>
                    <w:jc w:val="center"/>
                    <w:rPr>
                      <w:b/>
                      <w:bCs/>
                      <w:sz w:val="16"/>
                      <w:szCs w:val="16"/>
                    </w:rPr>
                  </w:pPr>
                  <w:r w:rsidRPr="00FC5566">
                    <w:rPr>
                      <w:b/>
                      <w:bCs/>
                      <w:sz w:val="16"/>
                      <w:szCs w:val="16"/>
                    </w:rPr>
                    <w:t>75°C (167°F)</w:t>
                  </w:r>
                </w:p>
              </w:tc>
              <w:tc>
                <w:tcPr>
                  <w:tcW w:w="144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0DAF70C7" w14:textId="77777777" w:rsidR="00FC5566" w:rsidRPr="00FC5566" w:rsidRDefault="00FC5566" w:rsidP="00FC5566">
                  <w:pPr>
                    <w:jc w:val="center"/>
                    <w:rPr>
                      <w:b/>
                      <w:bCs/>
                      <w:sz w:val="16"/>
                      <w:szCs w:val="16"/>
                    </w:rPr>
                  </w:pPr>
                  <w:r w:rsidRPr="00FC5566">
                    <w:rPr>
                      <w:b/>
                      <w:bCs/>
                      <w:sz w:val="16"/>
                      <w:szCs w:val="16"/>
                    </w:rPr>
                    <w:t>90°C (194°F)</w:t>
                  </w:r>
                </w:p>
              </w:tc>
              <w:tc>
                <w:tcPr>
                  <w:tcW w:w="1175" w:type="dxa"/>
                  <w:vMerge/>
                  <w:tcBorders>
                    <w:top w:val="nil"/>
                    <w:left w:val="single" w:sz="4" w:space="0" w:color="auto"/>
                    <w:bottom w:val="single" w:sz="4" w:space="0" w:color="auto"/>
                    <w:right w:val="single" w:sz="4" w:space="0" w:color="auto"/>
                  </w:tcBorders>
                  <w:vAlign w:val="center"/>
                  <w:hideMark/>
                </w:tcPr>
                <w:p w14:paraId="1E863D6A" w14:textId="77777777" w:rsidR="00FC5566" w:rsidRPr="00FC5566" w:rsidRDefault="00FC5566" w:rsidP="00FC5566">
                  <w:pPr>
                    <w:rPr>
                      <w:b/>
                      <w:bCs/>
                      <w:sz w:val="16"/>
                      <w:szCs w:val="16"/>
                    </w:rPr>
                  </w:pPr>
                </w:p>
              </w:tc>
            </w:tr>
            <w:tr w:rsidR="00FC5566" w:rsidRPr="00FC5566" w14:paraId="2526CE44" w14:textId="77777777" w:rsidTr="00B247D5">
              <w:trPr>
                <w:tblHeader/>
                <w:jc w:val="center"/>
              </w:trPr>
              <w:tc>
                <w:tcPr>
                  <w:tcW w:w="1255" w:type="dxa"/>
                  <w:vMerge/>
                  <w:tcBorders>
                    <w:top w:val="single" w:sz="24" w:space="0" w:color="AEB3C5"/>
                    <w:left w:val="single" w:sz="4" w:space="0" w:color="auto"/>
                    <w:bottom w:val="single" w:sz="4" w:space="0" w:color="auto"/>
                    <w:right w:val="single" w:sz="4" w:space="0" w:color="auto"/>
                  </w:tcBorders>
                  <w:vAlign w:val="center"/>
                  <w:hideMark/>
                </w:tcPr>
                <w:p w14:paraId="49F06666" w14:textId="77777777" w:rsidR="00FC5566" w:rsidRPr="00FC5566" w:rsidRDefault="00FC5566" w:rsidP="00FC5566">
                  <w:pPr>
                    <w:rPr>
                      <w:b/>
                      <w:bCs/>
                      <w:sz w:val="16"/>
                      <w:szCs w:val="16"/>
                    </w:rPr>
                  </w:pPr>
                </w:p>
              </w:tc>
              <w:tc>
                <w:tcPr>
                  <w:tcW w:w="117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26952522" w14:textId="77777777" w:rsidR="00FC5566" w:rsidRPr="00FC5566" w:rsidRDefault="00FC5566" w:rsidP="00FC5566">
                  <w:pPr>
                    <w:jc w:val="center"/>
                    <w:rPr>
                      <w:b/>
                      <w:bCs/>
                      <w:sz w:val="16"/>
                      <w:szCs w:val="16"/>
                    </w:rPr>
                  </w:pPr>
                  <w:r w:rsidRPr="00FC5566">
                    <w:rPr>
                      <w:b/>
                      <w:bCs/>
                      <w:sz w:val="16"/>
                      <w:szCs w:val="16"/>
                    </w:rPr>
                    <w:t>Types TW, UF</w:t>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42BE472B" w14:textId="77777777" w:rsidR="00FC5566" w:rsidRPr="00FC5566" w:rsidRDefault="00FC5566" w:rsidP="00FC5566">
                  <w:pPr>
                    <w:jc w:val="center"/>
                    <w:rPr>
                      <w:b/>
                      <w:bCs/>
                      <w:sz w:val="16"/>
                      <w:szCs w:val="16"/>
                    </w:rPr>
                  </w:pPr>
                  <w:r w:rsidRPr="00FC5566">
                    <w:rPr>
                      <w:b/>
                      <w:bCs/>
                      <w:sz w:val="16"/>
                      <w:szCs w:val="16"/>
                    </w:rPr>
                    <w:t>Types RHW, THHW, THW, THWN, XHHW, XHWN, USE, ZW</w:t>
                  </w:r>
                </w:p>
              </w:tc>
              <w:tc>
                <w:tcPr>
                  <w:tcW w:w="144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18BD10D8" w14:textId="77777777" w:rsidR="00FC5566" w:rsidRPr="00FC5566" w:rsidRDefault="00FC5566" w:rsidP="00FC5566">
                  <w:pPr>
                    <w:jc w:val="center"/>
                    <w:rPr>
                      <w:b/>
                      <w:bCs/>
                      <w:sz w:val="16"/>
                      <w:szCs w:val="16"/>
                    </w:rPr>
                  </w:pPr>
                  <w:r w:rsidRPr="00FC5566">
                    <w:rPr>
                      <w:b/>
                      <w:bCs/>
                      <w:sz w:val="16"/>
                      <w:szCs w:val="16"/>
                    </w:rPr>
                    <w:t>Types TBS, SA, SIS, FEP, FEPB, MI, PFA, RHH, RHW-2, THHN, THHW, THW-2, THWN-2, USE-2, XHH, XHHW, XHHW-2, XHWN-2, XHHN, Z, ZW-2</w:t>
                  </w:r>
                </w:p>
              </w:tc>
              <w:tc>
                <w:tcPr>
                  <w:tcW w:w="1124"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283BE83E" w14:textId="77777777" w:rsidR="00FC5566" w:rsidRPr="00FC5566" w:rsidRDefault="00FC5566" w:rsidP="00FC5566">
                  <w:pPr>
                    <w:jc w:val="center"/>
                    <w:rPr>
                      <w:b/>
                      <w:bCs/>
                      <w:sz w:val="16"/>
                      <w:szCs w:val="16"/>
                    </w:rPr>
                  </w:pPr>
                  <w:r w:rsidRPr="00FC5566">
                    <w:rPr>
                      <w:b/>
                      <w:bCs/>
                      <w:sz w:val="16"/>
                      <w:szCs w:val="16"/>
                    </w:rPr>
                    <w:t>Types TW, UF</w:t>
                  </w:r>
                </w:p>
              </w:tc>
              <w:tc>
                <w:tcPr>
                  <w:tcW w:w="1126"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1D4947BA" w14:textId="77777777" w:rsidR="00FC5566" w:rsidRPr="00FC5566" w:rsidRDefault="00FC5566" w:rsidP="00FC5566">
                  <w:pPr>
                    <w:jc w:val="center"/>
                    <w:rPr>
                      <w:b/>
                      <w:bCs/>
                      <w:sz w:val="16"/>
                      <w:szCs w:val="16"/>
                    </w:rPr>
                  </w:pPr>
                  <w:r w:rsidRPr="00FC5566">
                    <w:rPr>
                      <w:b/>
                      <w:bCs/>
                      <w:sz w:val="16"/>
                      <w:szCs w:val="16"/>
                    </w:rPr>
                    <w:t>Types RHW, THHW, THW, THWN, XHHW, XHWN, USE</w:t>
                  </w:r>
                </w:p>
              </w:tc>
              <w:tc>
                <w:tcPr>
                  <w:tcW w:w="144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1F515CB3" w14:textId="77777777" w:rsidR="00FC5566" w:rsidRPr="00FC5566" w:rsidRDefault="00FC5566" w:rsidP="00FC5566">
                  <w:pPr>
                    <w:jc w:val="center"/>
                    <w:rPr>
                      <w:b/>
                      <w:bCs/>
                      <w:sz w:val="16"/>
                      <w:szCs w:val="16"/>
                    </w:rPr>
                  </w:pPr>
                  <w:r w:rsidRPr="00FC5566">
                    <w:rPr>
                      <w:b/>
                      <w:bCs/>
                      <w:sz w:val="16"/>
                      <w:szCs w:val="16"/>
                    </w:rPr>
                    <w:t>Types TBS, SA, SIS, THHN, THHW, THW-2, THWN-2, RHH, RHW-2, USE-2, XHH, XHHW, XHHW-2, XHWN-2, XHHN</w:t>
                  </w:r>
                </w:p>
              </w:tc>
              <w:tc>
                <w:tcPr>
                  <w:tcW w:w="1175" w:type="dxa"/>
                  <w:vMerge/>
                  <w:tcBorders>
                    <w:top w:val="nil"/>
                    <w:left w:val="single" w:sz="4" w:space="0" w:color="auto"/>
                    <w:bottom w:val="single" w:sz="4" w:space="0" w:color="auto"/>
                    <w:right w:val="single" w:sz="4" w:space="0" w:color="auto"/>
                  </w:tcBorders>
                  <w:vAlign w:val="center"/>
                  <w:hideMark/>
                </w:tcPr>
                <w:p w14:paraId="0F5E065D" w14:textId="77777777" w:rsidR="00FC5566" w:rsidRPr="00FC5566" w:rsidRDefault="00FC5566" w:rsidP="00FC5566">
                  <w:pPr>
                    <w:rPr>
                      <w:b/>
                      <w:bCs/>
                      <w:sz w:val="16"/>
                      <w:szCs w:val="16"/>
                    </w:rPr>
                  </w:pPr>
                </w:p>
              </w:tc>
            </w:tr>
            <w:tr w:rsidR="00FC5566" w:rsidRPr="00FC5566" w14:paraId="32886FDA" w14:textId="77777777" w:rsidTr="00B247D5">
              <w:trPr>
                <w:tblHeader/>
                <w:jc w:val="center"/>
              </w:trPr>
              <w:tc>
                <w:tcPr>
                  <w:tcW w:w="1255" w:type="dxa"/>
                  <w:vMerge/>
                  <w:tcBorders>
                    <w:top w:val="single" w:sz="24" w:space="0" w:color="AEB3C5"/>
                    <w:left w:val="single" w:sz="4" w:space="0" w:color="auto"/>
                    <w:bottom w:val="single" w:sz="4" w:space="0" w:color="auto"/>
                    <w:right w:val="single" w:sz="4" w:space="0" w:color="auto"/>
                  </w:tcBorders>
                  <w:vAlign w:val="center"/>
                  <w:hideMark/>
                </w:tcPr>
                <w:p w14:paraId="5CC3CE2F" w14:textId="77777777" w:rsidR="00FC5566" w:rsidRPr="00FC5566" w:rsidRDefault="00FC5566" w:rsidP="00FC5566">
                  <w:pPr>
                    <w:rPr>
                      <w:b/>
                      <w:bCs/>
                      <w:sz w:val="16"/>
                      <w:szCs w:val="16"/>
                    </w:rPr>
                  </w:pPr>
                </w:p>
              </w:tc>
              <w:tc>
                <w:tcPr>
                  <w:tcW w:w="3870" w:type="dxa"/>
                  <w:gridSpan w:val="3"/>
                  <w:tcBorders>
                    <w:top w:val="single" w:sz="4" w:space="0" w:color="auto"/>
                    <w:left w:val="single" w:sz="4" w:space="0" w:color="auto"/>
                    <w:bottom w:val="single" w:sz="4" w:space="0" w:color="auto"/>
                    <w:right w:val="single" w:sz="4" w:space="0" w:color="auto"/>
                  </w:tcBorders>
                  <w:shd w:val="clear" w:color="auto" w:fill="D9D9D9"/>
                  <w:vAlign w:val="bottom"/>
                  <w:hideMark/>
                </w:tcPr>
                <w:p w14:paraId="5EC9C5DA" w14:textId="77777777" w:rsidR="00FC5566" w:rsidRPr="00FC5566" w:rsidRDefault="00FC5566" w:rsidP="00FC5566">
                  <w:pPr>
                    <w:jc w:val="center"/>
                    <w:rPr>
                      <w:b/>
                      <w:bCs/>
                      <w:sz w:val="16"/>
                      <w:szCs w:val="16"/>
                    </w:rPr>
                  </w:pPr>
                  <w:r w:rsidRPr="00FC5566">
                    <w:rPr>
                      <w:b/>
                      <w:bCs/>
                      <w:sz w:val="16"/>
                      <w:szCs w:val="16"/>
                    </w:rPr>
                    <w:t>COPPER</w:t>
                  </w:r>
                </w:p>
              </w:tc>
              <w:tc>
                <w:tcPr>
                  <w:tcW w:w="3690" w:type="dxa"/>
                  <w:gridSpan w:val="3"/>
                  <w:tcBorders>
                    <w:top w:val="single" w:sz="4" w:space="0" w:color="auto"/>
                    <w:left w:val="single" w:sz="4" w:space="0" w:color="auto"/>
                    <w:bottom w:val="single" w:sz="4" w:space="0" w:color="auto"/>
                    <w:right w:val="single" w:sz="4" w:space="0" w:color="auto"/>
                  </w:tcBorders>
                  <w:shd w:val="clear" w:color="auto" w:fill="D9D9D9"/>
                  <w:vAlign w:val="bottom"/>
                  <w:hideMark/>
                </w:tcPr>
                <w:p w14:paraId="7DB821CB" w14:textId="77777777" w:rsidR="00FC5566" w:rsidRPr="00FC5566" w:rsidRDefault="00FC5566" w:rsidP="00FC5566">
                  <w:pPr>
                    <w:jc w:val="center"/>
                    <w:rPr>
                      <w:b/>
                      <w:bCs/>
                      <w:sz w:val="16"/>
                      <w:szCs w:val="16"/>
                    </w:rPr>
                  </w:pPr>
                  <w:r w:rsidRPr="00FC5566">
                    <w:rPr>
                      <w:b/>
                      <w:bCs/>
                      <w:sz w:val="16"/>
                      <w:szCs w:val="16"/>
                    </w:rPr>
                    <w:t>ALUMINUM OR COPPER-CLAD ALUMINUM</w:t>
                  </w:r>
                </w:p>
              </w:tc>
              <w:tc>
                <w:tcPr>
                  <w:tcW w:w="1175" w:type="dxa"/>
                  <w:vMerge/>
                  <w:tcBorders>
                    <w:top w:val="nil"/>
                    <w:left w:val="single" w:sz="4" w:space="0" w:color="auto"/>
                    <w:bottom w:val="single" w:sz="4" w:space="0" w:color="auto"/>
                    <w:right w:val="single" w:sz="4" w:space="0" w:color="auto"/>
                  </w:tcBorders>
                  <w:vAlign w:val="center"/>
                  <w:hideMark/>
                </w:tcPr>
                <w:p w14:paraId="1BF574A4" w14:textId="77777777" w:rsidR="00FC5566" w:rsidRPr="00FC5566" w:rsidRDefault="00FC5566" w:rsidP="00FC5566">
                  <w:pPr>
                    <w:rPr>
                      <w:b/>
                      <w:bCs/>
                      <w:sz w:val="16"/>
                      <w:szCs w:val="16"/>
                    </w:rPr>
                  </w:pPr>
                </w:p>
              </w:tc>
            </w:tr>
            <w:tr w:rsidR="00FC5566" w:rsidRPr="00FC5566" w14:paraId="535808F0" w14:textId="77777777" w:rsidTr="00B247D5">
              <w:trPr>
                <w:jc w:val="center"/>
              </w:trPr>
              <w:tc>
                <w:tcPr>
                  <w:tcW w:w="1255" w:type="dxa"/>
                  <w:tcBorders>
                    <w:top w:val="single" w:sz="4" w:space="0" w:color="auto"/>
                    <w:left w:val="single" w:sz="4" w:space="0" w:color="auto"/>
                    <w:bottom w:val="nil"/>
                    <w:right w:val="single" w:sz="4" w:space="0" w:color="auto"/>
                  </w:tcBorders>
                  <w:vAlign w:val="center"/>
                  <w:hideMark/>
                </w:tcPr>
                <w:p w14:paraId="3737C17B" w14:textId="77777777" w:rsidR="00FC5566" w:rsidRPr="00FC5566" w:rsidRDefault="00FC5566" w:rsidP="00FC5566">
                  <w:pPr>
                    <w:jc w:val="center"/>
                    <w:rPr>
                      <w:b/>
                      <w:bCs/>
                      <w:sz w:val="16"/>
                      <w:szCs w:val="16"/>
                    </w:rPr>
                  </w:pPr>
                </w:p>
              </w:tc>
              <w:tc>
                <w:tcPr>
                  <w:tcW w:w="1170" w:type="dxa"/>
                  <w:tcBorders>
                    <w:top w:val="single" w:sz="4" w:space="0" w:color="auto"/>
                    <w:left w:val="single" w:sz="4" w:space="0" w:color="auto"/>
                    <w:bottom w:val="single" w:sz="4" w:space="0" w:color="auto"/>
                    <w:right w:val="single" w:sz="4" w:space="0" w:color="auto"/>
                  </w:tcBorders>
                  <w:vAlign w:val="center"/>
                  <w:hideMark/>
                </w:tcPr>
                <w:p w14:paraId="710669DE" w14:textId="77777777" w:rsidR="00FC5566" w:rsidRPr="00FC5566" w:rsidRDefault="00FC5566" w:rsidP="00FC5566">
                  <w:pPr>
                    <w:jc w:val="center"/>
                    <w:rPr>
                      <w:sz w:val="16"/>
                      <w:szCs w:val="16"/>
                    </w:rPr>
                  </w:pPr>
                </w:p>
              </w:tc>
              <w:tc>
                <w:tcPr>
                  <w:tcW w:w="1260" w:type="dxa"/>
                  <w:tcBorders>
                    <w:top w:val="single" w:sz="4" w:space="0" w:color="auto"/>
                    <w:left w:val="single" w:sz="4" w:space="0" w:color="auto"/>
                    <w:bottom w:val="single" w:sz="4" w:space="0" w:color="auto"/>
                    <w:right w:val="single" w:sz="4" w:space="0" w:color="auto"/>
                  </w:tcBorders>
                  <w:vAlign w:val="center"/>
                  <w:hideMark/>
                </w:tcPr>
                <w:p w14:paraId="1E184FDA" w14:textId="77777777" w:rsidR="00FC5566" w:rsidRPr="00FC5566" w:rsidRDefault="00FC5566" w:rsidP="00FC5566">
                  <w:pPr>
                    <w:jc w:val="center"/>
                    <w:rPr>
                      <w:sz w:val="16"/>
                      <w:szCs w:val="16"/>
                    </w:rPr>
                  </w:pPr>
                </w:p>
              </w:tc>
              <w:tc>
                <w:tcPr>
                  <w:tcW w:w="1440" w:type="dxa"/>
                  <w:tcBorders>
                    <w:top w:val="single" w:sz="4" w:space="0" w:color="auto"/>
                    <w:left w:val="single" w:sz="4" w:space="0" w:color="auto"/>
                    <w:bottom w:val="single" w:sz="4" w:space="0" w:color="auto"/>
                    <w:right w:val="single" w:sz="4" w:space="0" w:color="auto"/>
                  </w:tcBorders>
                  <w:vAlign w:val="center"/>
                  <w:hideMark/>
                </w:tcPr>
                <w:p w14:paraId="25BC2EBF" w14:textId="77777777" w:rsidR="00FC5566" w:rsidRPr="00FC5566" w:rsidRDefault="00FC5566" w:rsidP="00FC5566">
                  <w:pPr>
                    <w:jc w:val="center"/>
                    <w:rPr>
                      <w:sz w:val="16"/>
                      <w:szCs w:val="16"/>
                    </w:rPr>
                  </w:pPr>
                </w:p>
              </w:tc>
              <w:tc>
                <w:tcPr>
                  <w:tcW w:w="1124" w:type="dxa"/>
                  <w:tcBorders>
                    <w:top w:val="single" w:sz="4" w:space="0" w:color="auto"/>
                    <w:left w:val="single" w:sz="4" w:space="0" w:color="auto"/>
                    <w:bottom w:val="single" w:sz="4" w:space="0" w:color="auto"/>
                    <w:right w:val="single" w:sz="4" w:space="0" w:color="auto"/>
                  </w:tcBorders>
                  <w:vAlign w:val="center"/>
                  <w:hideMark/>
                </w:tcPr>
                <w:p w14:paraId="3F5A12FA" w14:textId="77777777" w:rsidR="00FC5566" w:rsidRPr="00FC5566" w:rsidRDefault="00FC5566" w:rsidP="00FC5566">
                  <w:pPr>
                    <w:jc w:val="center"/>
                    <w:rPr>
                      <w:sz w:val="16"/>
                      <w:szCs w:val="16"/>
                    </w:rPr>
                  </w:pPr>
                </w:p>
              </w:tc>
              <w:tc>
                <w:tcPr>
                  <w:tcW w:w="1126" w:type="dxa"/>
                  <w:tcBorders>
                    <w:top w:val="single" w:sz="4" w:space="0" w:color="auto"/>
                    <w:left w:val="single" w:sz="4" w:space="0" w:color="auto"/>
                    <w:bottom w:val="single" w:sz="4" w:space="0" w:color="auto"/>
                    <w:right w:val="single" w:sz="4" w:space="0" w:color="auto"/>
                  </w:tcBorders>
                  <w:vAlign w:val="center"/>
                  <w:hideMark/>
                </w:tcPr>
                <w:p w14:paraId="7D96E67F" w14:textId="77777777" w:rsidR="00FC5566" w:rsidRPr="00FC5566" w:rsidRDefault="00FC5566" w:rsidP="00FC5566">
                  <w:pPr>
                    <w:jc w:val="center"/>
                    <w:rPr>
                      <w:sz w:val="16"/>
                      <w:szCs w:val="16"/>
                    </w:rPr>
                  </w:pPr>
                </w:p>
              </w:tc>
              <w:tc>
                <w:tcPr>
                  <w:tcW w:w="1440" w:type="dxa"/>
                  <w:tcBorders>
                    <w:top w:val="single" w:sz="4" w:space="0" w:color="auto"/>
                    <w:left w:val="single" w:sz="4" w:space="0" w:color="auto"/>
                    <w:bottom w:val="single" w:sz="4" w:space="0" w:color="auto"/>
                    <w:right w:val="single" w:sz="4" w:space="0" w:color="auto"/>
                  </w:tcBorders>
                  <w:vAlign w:val="center"/>
                  <w:hideMark/>
                </w:tcPr>
                <w:p w14:paraId="211582A3" w14:textId="77777777" w:rsidR="00FC5566" w:rsidRPr="00FC5566" w:rsidRDefault="00FC5566" w:rsidP="00FC5566">
                  <w:pPr>
                    <w:jc w:val="center"/>
                    <w:rPr>
                      <w:sz w:val="16"/>
                      <w:szCs w:val="16"/>
                    </w:rPr>
                  </w:pPr>
                </w:p>
              </w:tc>
              <w:tc>
                <w:tcPr>
                  <w:tcW w:w="1175" w:type="dxa"/>
                  <w:tcBorders>
                    <w:top w:val="single" w:sz="4" w:space="0" w:color="auto"/>
                    <w:left w:val="single" w:sz="4" w:space="0" w:color="auto"/>
                    <w:bottom w:val="nil"/>
                    <w:right w:val="single" w:sz="4" w:space="0" w:color="auto"/>
                  </w:tcBorders>
                  <w:vAlign w:val="center"/>
                  <w:hideMark/>
                </w:tcPr>
                <w:p w14:paraId="51415B4A" w14:textId="77777777" w:rsidR="00FC5566" w:rsidRPr="00FC5566" w:rsidRDefault="00FC5566" w:rsidP="00FC5566">
                  <w:pPr>
                    <w:jc w:val="center"/>
                    <w:rPr>
                      <w:sz w:val="16"/>
                      <w:szCs w:val="16"/>
                    </w:rPr>
                  </w:pPr>
                </w:p>
              </w:tc>
            </w:tr>
            <w:tr w:rsidR="00FC5566" w:rsidRPr="00FC5566" w14:paraId="568698AF" w14:textId="77777777" w:rsidTr="00B247D5">
              <w:trPr>
                <w:jc w:val="center"/>
              </w:trPr>
              <w:tc>
                <w:tcPr>
                  <w:tcW w:w="1255" w:type="dxa"/>
                  <w:tcBorders>
                    <w:top w:val="nil"/>
                    <w:left w:val="single" w:sz="4" w:space="0" w:color="auto"/>
                    <w:bottom w:val="nil"/>
                    <w:right w:val="single" w:sz="4" w:space="0" w:color="auto"/>
                  </w:tcBorders>
                  <w:vAlign w:val="center"/>
                  <w:hideMark/>
                </w:tcPr>
                <w:p w14:paraId="735BBDF8" w14:textId="77777777" w:rsidR="00FC5566" w:rsidRPr="00FC5566" w:rsidRDefault="00FC5566" w:rsidP="00FC5566">
                  <w:pPr>
                    <w:jc w:val="center"/>
                    <w:rPr>
                      <w:sz w:val="16"/>
                      <w:szCs w:val="16"/>
                    </w:rPr>
                  </w:pPr>
                  <w:r w:rsidRPr="00FC5566">
                    <w:rPr>
                      <w:sz w:val="16"/>
                      <w:szCs w:val="16"/>
                    </w:rPr>
                    <w:t>16</w:t>
                  </w:r>
                  <w:r w:rsidRPr="00FC5566">
                    <w:rPr>
                      <w:sz w:val="16"/>
                      <w:szCs w:val="16"/>
                      <w:vertAlign w:val="superscript"/>
                    </w:rPr>
                    <w:t>1</w:t>
                  </w:r>
                </w:p>
              </w:tc>
              <w:tc>
                <w:tcPr>
                  <w:tcW w:w="1170" w:type="dxa"/>
                  <w:tcBorders>
                    <w:top w:val="single" w:sz="4" w:space="0" w:color="auto"/>
                    <w:left w:val="single" w:sz="4" w:space="0" w:color="auto"/>
                    <w:bottom w:val="nil"/>
                    <w:right w:val="single" w:sz="4" w:space="0" w:color="auto"/>
                  </w:tcBorders>
                  <w:vAlign w:val="center"/>
                  <w:hideMark/>
                </w:tcPr>
                <w:p w14:paraId="2193CAAE" w14:textId="77777777" w:rsidR="00FC5566" w:rsidRPr="00FC5566" w:rsidRDefault="00FC5566" w:rsidP="00FC5566">
                  <w:pPr>
                    <w:jc w:val="center"/>
                    <w:rPr>
                      <w:sz w:val="16"/>
                      <w:szCs w:val="16"/>
                    </w:rPr>
                  </w:pPr>
                  <w:r w:rsidRPr="00FC5566">
                    <w:rPr>
                      <w:sz w:val="16"/>
                      <w:szCs w:val="16"/>
                    </w:rPr>
                    <w:t>10</w:t>
                  </w:r>
                </w:p>
              </w:tc>
              <w:tc>
                <w:tcPr>
                  <w:tcW w:w="1260" w:type="dxa"/>
                  <w:tcBorders>
                    <w:top w:val="single" w:sz="4" w:space="0" w:color="auto"/>
                    <w:left w:val="single" w:sz="4" w:space="0" w:color="auto"/>
                    <w:bottom w:val="nil"/>
                    <w:right w:val="single" w:sz="4" w:space="0" w:color="auto"/>
                  </w:tcBorders>
                  <w:vAlign w:val="center"/>
                  <w:hideMark/>
                </w:tcPr>
                <w:p w14:paraId="3DD34B27" w14:textId="77777777" w:rsidR="00FC5566" w:rsidRPr="00FC5566" w:rsidRDefault="00FC5566" w:rsidP="00FC5566">
                  <w:pPr>
                    <w:jc w:val="center"/>
                    <w:rPr>
                      <w:sz w:val="16"/>
                      <w:szCs w:val="16"/>
                    </w:rPr>
                  </w:pPr>
                  <w:r w:rsidRPr="00FC5566">
                    <w:rPr>
                      <w:sz w:val="16"/>
                      <w:szCs w:val="16"/>
                    </w:rPr>
                    <w:t>15</w:t>
                  </w:r>
                  <w:r w:rsidRPr="00FC5566">
                    <w:rPr>
                      <w:sz w:val="16"/>
                      <w:szCs w:val="16"/>
                      <w:vertAlign w:val="superscript"/>
                    </w:rPr>
                    <w:t>2</w:t>
                  </w:r>
                </w:p>
              </w:tc>
              <w:tc>
                <w:tcPr>
                  <w:tcW w:w="1440" w:type="dxa"/>
                  <w:tcBorders>
                    <w:top w:val="single" w:sz="4" w:space="0" w:color="auto"/>
                    <w:left w:val="single" w:sz="4" w:space="0" w:color="auto"/>
                    <w:bottom w:val="nil"/>
                    <w:right w:val="single" w:sz="4" w:space="0" w:color="auto"/>
                  </w:tcBorders>
                  <w:vAlign w:val="center"/>
                  <w:hideMark/>
                </w:tcPr>
                <w:p w14:paraId="6DF6FE1E" w14:textId="77777777" w:rsidR="00FC5566" w:rsidRPr="00FC5566" w:rsidRDefault="00FC5566" w:rsidP="00FC5566">
                  <w:pPr>
                    <w:jc w:val="center"/>
                    <w:rPr>
                      <w:sz w:val="16"/>
                      <w:szCs w:val="16"/>
                    </w:rPr>
                  </w:pPr>
                  <w:r w:rsidRPr="00FC5566">
                    <w:rPr>
                      <w:sz w:val="16"/>
                      <w:szCs w:val="16"/>
                    </w:rPr>
                    <w:t>20</w:t>
                  </w:r>
                  <w:r w:rsidRPr="00FC5566">
                    <w:rPr>
                      <w:sz w:val="16"/>
                      <w:szCs w:val="16"/>
                      <w:vertAlign w:val="superscript"/>
                    </w:rPr>
                    <w:t>2</w:t>
                  </w:r>
                </w:p>
              </w:tc>
              <w:tc>
                <w:tcPr>
                  <w:tcW w:w="1124" w:type="dxa"/>
                  <w:tcBorders>
                    <w:top w:val="single" w:sz="4" w:space="0" w:color="auto"/>
                    <w:left w:val="single" w:sz="4" w:space="0" w:color="auto"/>
                    <w:bottom w:val="nil"/>
                    <w:right w:val="single" w:sz="4" w:space="0" w:color="auto"/>
                  </w:tcBorders>
                  <w:vAlign w:val="center"/>
                  <w:hideMark/>
                </w:tcPr>
                <w:p w14:paraId="377FB4C4" w14:textId="77777777" w:rsidR="00FC5566" w:rsidRPr="00FC5566" w:rsidRDefault="00FC5566" w:rsidP="00FC5566">
                  <w:pPr>
                    <w:jc w:val="center"/>
                    <w:rPr>
                      <w:sz w:val="16"/>
                      <w:szCs w:val="16"/>
                    </w:rPr>
                  </w:pPr>
                  <w:r w:rsidRPr="00FC5566">
                    <w:rPr>
                      <w:sz w:val="16"/>
                      <w:szCs w:val="16"/>
                    </w:rPr>
                    <w:t>—</w:t>
                  </w:r>
                </w:p>
              </w:tc>
              <w:tc>
                <w:tcPr>
                  <w:tcW w:w="1126" w:type="dxa"/>
                  <w:tcBorders>
                    <w:top w:val="single" w:sz="4" w:space="0" w:color="auto"/>
                    <w:left w:val="single" w:sz="4" w:space="0" w:color="auto"/>
                    <w:bottom w:val="nil"/>
                    <w:right w:val="single" w:sz="4" w:space="0" w:color="auto"/>
                  </w:tcBorders>
                  <w:vAlign w:val="center"/>
                  <w:hideMark/>
                </w:tcPr>
                <w:p w14:paraId="3946A463" w14:textId="77777777" w:rsidR="00FC5566" w:rsidRPr="00FC5566" w:rsidRDefault="00FC5566" w:rsidP="00FC5566">
                  <w:pPr>
                    <w:jc w:val="center"/>
                    <w:rPr>
                      <w:sz w:val="16"/>
                      <w:szCs w:val="16"/>
                    </w:rPr>
                  </w:pPr>
                  <w:r w:rsidRPr="00FC5566">
                    <w:rPr>
                      <w:sz w:val="16"/>
                      <w:szCs w:val="16"/>
                    </w:rPr>
                    <w:t>—</w:t>
                  </w:r>
                </w:p>
              </w:tc>
              <w:tc>
                <w:tcPr>
                  <w:tcW w:w="1440" w:type="dxa"/>
                  <w:tcBorders>
                    <w:top w:val="single" w:sz="4" w:space="0" w:color="auto"/>
                    <w:left w:val="single" w:sz="4" w:space="0" w:color="auto"/>
                    <w:bottom w:val="nil"/>
                    <w:right w:val="single" w:sz="4" w:space="0" w:color="auto"/>
                  </w:tcBorders>
                  <w:vAlign w:val="center"/>
                  <w:hideMark/>
                </w:tcPr>
                <w:p w14:paraId="661D33FE" w14:textId="77777777" w:rsidR="00FC5566" w:rsidRPr="00FC5566" w:rsidRDefault="00FC5566" w:rsidP="00FC5566">
                  <w:pPr>
                    <w:jc w:val="center"/>
                    <w:rPr>
                      <w:sz w:val="16"/>
                      <w:szCs w:val="16"/>
                    </w:rPr>
                  </w:pPr>
                  <w:r w:rsidRPr="00FC5566">
                    <w:rPr>
                      <w:sz w:val="16"/>
                      <w:szCs w:val="16"/>
                    </w:rPr>
                    <w:t>—</w:t>
                  </w:r>
                </w:p>
              </w:tc>
              <w:tc>
                <w:tcPr>
                  <w:tcW w:w="1175" w:type="dxa"/>
                  <w:tcBorders>
                    <w:top w:val="nil"/>
                    <w:left w:val="single" w:sz="4" w:space="0" w:color="auto"/>
                    <w:bottom w:val="nil"/>
                    <w:right w:val="single" w:sz="4" w:space="0" w:color="auto"/>
                  </w:tcBorders>
                  <w:vAlign w:val="center"/>
                  <w:hideMark/>
                </w:tcPr>
                <w:p w14:paraId="096082CD" w14:textId="77777777" w:rsidR="00FC5566" w:rsidRPr="00FC5566" w:rsidRDefault="00FC5566" w:rsidP="00FC5566">
                  <w:pPr>
                    <w:jc w:val="center"/>
                    <w:rPr>
                      <w:sz w:val="16"/>
                      <w:szCs w:val="16"/>
                    </w:rPr>
                  </w:pPr>
                  <w:r w:rsidRPr="00FC5566">
                    <w:rPr>
                      <w:sz w:val="16"/>
                      <w:szCs w:val="16"/>
                    </w:rPr>
                    <w:t>—</w:t>
                  </w:r>
                </w:p>
              </w:tc>
            </w:tr>
            <w:tr w:rsidR="00FC5566" w:rsidRPr="00FC5566" w14:paraId="10848718" w14:textId="77777777" w:rsidTr="00B247D5">
              <w:trPr>
                <w:jc w:val="center"/>
              </w:trPr>
              <w:tc>
                <w:tcPr>
                  <w:tcW w:w="1255" w:type="dxa"/>
                  <w:tcBorders>
                    <w:top w:val="nil"/>
                    <w:left w:val="single" w:sz="4" w:space="0" w:color="auto"/>
                    <w:bottom w:val="nil"/>
                    <w:right w:val="single" w:sz="4" w:space="0" w:color="auto"/>
                  </w:tcBorders>
                  <w:vAlign w:val="center"/>
                  <w:hideMark/>
                </w:tcPr>
                <w:p w14:paraId="049C63D8" w14:textId="77777777" w:rsidR="00FC5566" w:rsidRPr="00FC5566" w:rsidRDefault="00FC5566" w:rsidP="00FC5566">
                  <w:pPr>
                    <w:jc w:val="center"/>
                    <w:rPr>
                      <w:sz w:val="16"/>
                      <w:szCs w:val="16"/>
                    </w:rPr>
                  </w:pPr>
                  <w:r w:rsidRPr="00FC5566">
                    <w:rPr>
                      <w:sz w:val="16"/>
                      <w:szCs w:val="16"/>
                    </w:rPr>
                    <w:t>14</w:t>
                  </w:r>
                  <w:r w:rsidRPr="00FC5566">
                    <w:rPr>
                      <w:sz w:val="16"/>
                      <w:szCs w:val="16"/>
                      <w:vertAlign w:val="superscript"/>
                    </w:rPr>
                    <w:t>1</w:t>
                  </w:r>
                </w:p>
              </w:tc>
              <w:tc>
                <w:tcPr>
                  <w:tcW w:w="1170" w:type="dxa"/>
                  <w:tcBorders>
                    <w:top w:val="nil"/>
                    <w:left w:val="single" w:sz="4" w:space="0" w:color="auto"/>
                    <w:bottom w:val="nil"/>
                    <w:right w:val="single" w:sz="4" w:space="0" w:color="auto"/>
                  </w:tcBorders>
                  <w:vAlign w:val="center"/>
                  <w:hideMark/>
                </w:tcPr>
                <w:p w14:paraId="7EAF0904" w14:textId="77777777" w:rsidR="00FC5566" w:rsidRPr="00FC5566" w:rsidRDefault="00FC5566" w:rsidP="00FC5566">
                  <w:pPr>
                    <w:jc w:val="center"/>
                    <w:rPr>
                      <w:sz w:val="16"/>
                      <w:szCs w:val="16"/>
                    </w:rPr>
                  </w:pPr>
                  <w:r w:rsidRPr="00FC5566">
                    <w:rPr>
                      <w:sz w:val="16"/>
                      <w:szCs w:val="16"/>
                    </w:rPr>
                    <w:t>15</w:t>
                  </w:r>
                </w:p>
              </w:tc>
              <w:tc>
                <w:tcPr>
                  <w:tcW w:w="1260" w:type="dxa"/>
                  <w:tcBorders>
                    <w:top w:val="nil"/>
                    <w:left w:val="single" w:sz="4" w:space="0" w:color="auto"/>
                    <w:bottom w:val="nil"/>
                    <w:right w:val="single" w:sz="4" w:space="0" w:color="auto"/>
                  </w:tcBorders>
                  <w:vAlign w:val="center"/>
                  <w:hideMark/>
                </w:tcPr>
                <w:p w14:paraId="1BF9DD76" w14:textId="77777777" w:rsidR="00FC5566" w:rsidRPr="00FC5566" w:rsidRDefault="00FC5566" w:rsidP="00FC5566">
                  <w:pPr>
                    <w:jc w:val="center"/>
                    <w:rPr>
                      <w:sz w:val="16"/>
                      <w:szCs w:val="16"/>
                    </w:rPr>
                  </w:pPr>
                  <w:r w:rsidRPr="00FC5566">
                    <w:rPr>
                      <w:sz w:val="16"/>
                      <w:szCs w:val="16"/>
                    </w:rPr>
                    <w:t>20</w:t>
                  </w:r>
                </w:p>
              </w:tc>
              <w:tc>
                <w:tcPr>
                  <w:tcW w:w="1440" w:type="dxa"/>
                  <w:tcBorders>
                    <w:top w:val="nil"/>
                    <w:left w:val="single" w:sz="4" w:space="0" w:color="auto"/>
                    <w:bottom w:val="nil"/>
                    <w:right w:val="single" w:sz="4" w:space="0" w:color="auto"/>
                  </w:tcBorders>
                  <w:vAlign w:val="center"/>
                  <w:hideMark/>
                </w:tcPr>
                <w:p w14:paraId="5BB1A6D9" w14:textId="77777777" w:rsidR="00FC5566" w:rsidRPr="00FC5566" w:rsidRDefault="00FC5566" w:rsidP="00FC5566">
                  <w:pPr>
                    <w:jc w:val="center"/>
                    <w:rPr>
                      <w:sz w:val="16"/>
                      <w:szCs w:val="16"/>
                    </w:rPr>
                  </w:pPr>
                  <w:r w:rsidRPr="00FC5566">
                    <w:rPr>
                      <w:sz w:val="16"/>
                      <w:szCs w:val="16"/>
                    </w:rPr>
                    <w:t>25</w:t>
                  </w:r>
                </w:p>
              </w:tc>
              <w:tc>
                <w:tcPr>
                  <w:tcW w:w="1124" w:type="dxa"/>
                  <w:tcBorders>
                    <w:top w:val="nil"/>
                    <w:left w:val="single" w:sz="4" w:space="0" w:color="auto"/>
                    <w:bottom w:val="nil"/>
                    <w:right w:val="single" w:sz="4" w:space="0" w:color="auto"/>
                  </w:tcBorders>
                  <w:vAlign w:val="center"/>
                  <w:hideMark/>
                </w:tcPr>
                <w:p w14:paraId="495AA866" w14:textId="77777777" w:rsidR="00FC5566" w:rsidRPr="00FC5566" w:rsidRDefault="00FC5566" w:rsidP="00FC5566">
                  <w:pPr>
                    <w:jc w:val="center"/>
                    <w:rPr>
                      <w:sz w:val="16"/>
                      <w:szCs w:val="16"/>
                    </w:rPr>
                  </w:pPr>
                  <w:r w:rsidRPr="00FC5566">
                    <w:rPr>
                      <w:sz w:val="16"/>
                      <w:szCs w:val="16"/>
                    </w:rPr>
                    <w:t>10</w:t>
                  </w:r>
                  <w:r w:rsidRPr="00FC5566">
                    <w:rPr>
                      <w:sz w:val="16"/>
                      <w:szCs w:val="16"/>
                      <w:vertAlign w:val="superscript"/>
                    </w:rPr>
                    <w:t>3</w:t>
                  </w:r>
                </w:p>
              </w:tc>
              <w:tc>
                <w:tcPr>
                  <w:tcW w:w="1126" w:type="dxa"/>
                  <w:tcBorders>
                    <w:top w:val="nil"/>
                    <w:left w:val="single" w:sz="4" w:space="0" w:color="auto"/>
                    <w:bottom w:val="nil"/>
                    <w:right w:val="single" w:sz="4" w:space="0" w:color="auto"/>
                  </w:tcBorders>
                  <w:vAlign w:val="center"/>
                  <w:hideMark/>
                </w:tcPr>
                <w:p w14:paraId="35FB3B87" w14:textId="77777777" w:rsidR="00FC5566" w:rsidRPr="00FC5566" w:rsidRDefault="00FC5566" w:rsidP="00FC5566">
                  <w:pPr>
                    <w:jc w:val="center"/>
                    <w:rPr>
                      <w:sz w:val="16"/>
                      <w:szCs w:val="16"/>
                    </w:rPr>
                  </w:pPr>
                  <w:r w:rsidRPr="00FC5566">
                    <w:rPr>
                      <w:sz w:val="16"/>
                      <w:szCs w:val="16"/>
                    </w:rPr>
                    <w:t>15</w:t>
                  </w:r>
                  <w:r w:rsidRPr="00FC5566">
                    <w:rPr>
                      <w:sz w:val="16"/>
                      <w:szCs w:val="16"/>
                      <w:vertAlign w:val="superscript"/>
                    </w:rPr>
                    <w:t>2,3</w:t>
                  </w:r>
                </w:p>
              </w:tc>
              <w:tc>
                <w:tcPr>
                  <w:tcW w:w="1440" w:type="dxa"/>
                  <w:tcBorders>
                    <w:top w:val="nil"/>
                    <w:left w:val="single" w:sz="4" w:space="0" w:color="auto"/>
                    <w:bottom w:val="nil"/>
                    <w:right w:val="single" w:sz="4" w:space="0" w:color="auto"/>
                  </w:tcBorders>
                  <w:vAlign w:val="center"/>
                  <w:hideMark/>
                </w:tcPr>
                <w:p w14:paraId="02278828" w14:textId="77777777" w:rsidR="00FC5566" w:rsidRPr="00FC5566" w:rsidRDefault="00FC5566" w:rsidP="00FC5566">
                  <w:pPr>
                    <w:jc w:val="center"/>
                    <w:rPr>
                      <w:sz w:val="16"/>
                      <w:szCs w:val="16"/>
                    </w:rPr>
                  </w:pPr>
                  <w:r w:rsidRPr="00FC5566">
                    <w:rPr>
                      <w:sz w:val="16"/>
                      <w:szCs w:val="16"/>
                    </w:rPr>
                    <w:t>20</w:t>
                  </w:r>
                  <w:r w:rsidRPr="00FC5566">
                    <w:rPr>
                      <w:sz w:val="16"/>
                      <w:szCs w:val="16"/>
                      <w:vertAlign w:val="superscript"/>
                    </w:rPr>
                    <w:t>2,3</w:t>
                  </w:r>
                </w:p>
              </w:tc>
              <w:tc>
                <w:tcPr>
                  <w:tcW w:w="1175" w:type="dxa"/>
                  <w:tcBorders>
                    <w:top w:val="nil"/>
                    <w:left w:val="single" w:sz="4" w:space="0" w:color="auto"/>
                    <w:bottom w:val="nil"/>
                    <w:right w:val="single" w:sz="4" w:space="0" w:color="auto"/>
                  </w:tcBorders>
                  <w:vAlign w:val="center"/>
                  <w:hideMark/>
                </w:tcPr>
                <w:p w14:paraId="419F1F67" w14:textId="77777777" w:rsidR="00FC5566" w:rsidRPr="00FC5566" w:rsidRDefault="00FC5566" w:rsidP="00FC5566">
                  <w:pPr>
                    <w:jc w:val="center"/>
                    <w:rPr>
                      <w:sz w:val="16"/>
                      <w:szCs w:val="16"/>
                    </w:rPr>
                  </w:pPr>
                  <w:r w:rsidRPr="00FC5566">
                    <w:rPr>
                      <w:sz w:val="16"/>
                      <w:szCs w:val="16"/>
                    </w:rPr>
                    <w:t>14</w:t>
                  </w:r>
                  <w:r w:rsidRPr="00FC5566">
                    <w:rPr>
                      <w:sz w:val="16"/>
                      <w:szCs w:val="16"/>
                      <w:vertAlign w:val="superscript"/>
                    </w:rPr>
                    <w:t>1</w:t>
                  </w:r>
                </w:p>
              </w:tc>
            </w:tr>
            <w:tr w:rsidR="00FC5566" w:rsidRPr="00FC5566" w14:paraId="699D7808" w14:textId="77777777" w:rsidTr="00B247D5">
              <w:trPr>
                <w:jc w:val="center"/>
              </w:trPr>
              <w:tc>
                <w:tcPr>
                  <w:tcW w:w="1255" w:type="dxa"/>
                  <w:tcBorders>
                    <w:top w:val="nil"/>
                    <w:left w:val="single" w:sz="4" w:space="0" w:color="auto"/>
                    <w:bottom w:val="nil"/>
                    <w:right w:val="single" w:sz="4" w:space="0" w:color="auto"/>
                  </w:tcBorders>
                  <w:vAlign w:val="center"/>
                  <w:hideMark/>
                </w:tcPr>
                <w:p w14:paraId="473F5193" w14:textId="77777777" w:rsidR="00FC5566" w:rsidRPr="00FC5566" w:rsidRDefault="00FC5566" w:rsidP="00FC5566">
                  <w:pPr>
                    <w:jc w:val="center"/>
                    <w:rPr>
                      <w:sz w:val="16"/>
                      <w:szCs w:val="16"/>
                    </w:rPr>
                  </w:pPr>
                  <w:r w:rsidRPr="00FC5566">
                    <w:rPr>
                      <w:sz w:val="16"/>
                      <w:szCs w:val="16"/>
                    </w:rPr>
                    <w:t>12</w:t>
                  </w:r>
                  <w:r w:rsidRPr="00FC5566">
                    <w:rPr>
                      <w:sz w:val="16"/>
                      <w:szCs w:val="16"/>
                      <w:vertAlign w:val="superscript"/>
                    </w:rPr>
                    <w:t>1</w:t>
                  </w:r>
                </w:p>
              </w:tc>
              <w:tc>
                <w:tcPr>
                  <w:tcW w:w="1170" w:type="dxa"/>
                  <w:tcBorders>
                    <w:top w:val="nil"/>
                    <w:left w:val="single" w:sz="4" w:space="0" w:color="auto"/>
                    <w:bottom w:val="nil"/>
                    <w:right w:val="single" w:sz="4" w:space="0" w:color="auto"/>
                  </w:tcBorders>
                  <w:vAlign w:val="center"/>
                  <w:hideMark/>
                </w:tcPr>
                <w:p w14:paraId="63295489" w14:textId="77777777" w:rsidR="00FC5566" w:rsidRPr="00FC5566" w:rsidRDefault="00FC5566" w:rsidP="00FC5566">
                  <w:pPr>
                    <w:jc w:val="center"/>
                    <w:rPr>
                      <w:sz w:val="16"/>
                      <w:szCs w:val="16"/>
                    </w:rPr>
                  </w:pPr>
                  <w:r w:rsidRPr="00FC5566">
                    <w:rPr>
                      <w:sz w:val="16"/>
                      <w:szCs w:val="16"/>
                    </w:rPr>
                    <w:t>20</w:t>
                  </w:r>
                </w:p>
              </w:tc>
              <w:tc>
                <w:tcPr>
                  <w:tcW w:w="1260" w:type="dxa"/>
                  <w:tcBorders>
                    <w:top w:val="nil"/>
                    <w:left w:val="single" w:sz="4" w:space="0" w:color="auto"/>
                    <w:bottom w:val="nil"/>
                    <w:right w:val="single" w:sz="4" w:space="0" w:color="auto"/>
                  </w:tcBorders>
                  <w:vAlign w:val="center"/>
                  <w:hideMark/>
                </w:tcPr>
                <w:p w14:paraId="439CE755" w14:textId="77777777" w:rsidR="00FC5566" w:rsidRPr="00FC5566" w:rsidRDefault="00FC5566" w:rsidP="00FC5566">
                  <w:pPr>
                    <w:jc w:val="center"/>
                    <w:rPr>
                      <w:sz w:val="16"/>
                      <w:szCs w:val="16"/>
                    </w:rPr>
                  </w:pPr>
                  <w:r w:rsidRPr="00FC5566">
                    <w:rPr>
                      <w:sz w:val="16"/>
                      <w:szCs w:val="16"/>
                    </w:rPr>
                    <w:t>25</w:t>
                  </w:r>
                </w:p>
              </w:tc>
              <w:tc>
                <w:tcPr>
                  <w:tcW w:w="1440" w:type="dxa"/>
                  <w:tcBorders>
                    <w:top w:val="nil"/>
                    <w:left w:val="single" w:sz="4" w:space="0" w:color="auto"/>
                    <w:bottom w:val="nil"/>
                    <w:right w:val="single" w:sz="4" w:space="0" w:color="auto"/>
                  </w:tcBorders>
                  <w:vAlign w:val="center"/>
                  <w:hideMark/>
                </w:tcPr>
                <w:p w14:paraId="7563805E" w14:textId="77777777" w:rsidR="00FC5566" w:rsidRPr="00FC5566" w:rsidRDefault="00FC5566" w:rsidP="00FC5566">
                  <w:pPr>
                    <w:jc w:val="center"/>
                    <w:rPr>
                      <w:sz w:val="16"/>
                      <w:szCs w:val="16"/>
                    </w:rPr>
                  </w:pPr>
                  <w:r w:rsidRPr="00FC5566">
                    <w:rPr>
                      <w:sz w:val="16"/>
                      <w:szCs w:val="16"/>
                    </w:rPr>
                    <w:t>30</w:t>
                  </w:r>
                </w:p>
              </w:tc>
              <w:tc>
                <w:tcPr>
                  <w:tcW w:w="1124" w:type="dxa"/>
                  <w:tcBorders>
                    <w:top w:val="nil"/>
                    <w:left w:val="single" w:sz="4" w:space="0" w:color="auto"/>
                    <w:bottom w:val="nil"/>
                    <w:right w:val="single" w:sz="4" w:space="0" w:color="auto"/>
                  </w:tcBorders>
                  <w:vAlign w:val="center"/>
                  <w:hideMark/>
                </w:tcPr>
                <w:p w14:paraId="054083D9" w14:textId="77777777" w:rsidR="00FC5566" w:rsidRPr="00FC5566" w:rsidRDefault="00FC5566" w:rsidP="00FC5566">
                  <w:pPr>
                    <w:jc w:val="center"/>
                    <w:rPr>
                      <w:sz w:val="16"/>
                      <w:szCs w:val="16"/>
                    </w:rPr>
                  </w:pPr>
                  <w:r w:rsidRPr="00FC5566">
                    <w:rPr>
                      <w:sz w:val="16"/>
                      <w:szCs w:val="16"/>
                    </w:rPr>
                    <w:t>15</w:t>
                  </w:r>
                </w:p>
              </w:tc>
              <w:tc>
                <w:tcPr>
                  <w:tcW w:w="1126" w:type="dxa"/>
                  <w:tcBorders>
                    <w:top w:val="nil"/>
                    <w:left w:val="single" w:sz="4" w:space="0" w:color="auto"/>
                    <w:bottom w:val="nil"/>
                    <w:right w:val="single" w:sz="4" w:space="0" w:color="auto"/>
                  </w:tcBorders>
                  <w:vAlign w:val="center"/>
                  <w:hideMark/>
                </w:tcPr>
                <w:p w14:paraId="170ECC50" w14:textId="77777777" w:rsidR="00FC5566" w:rsidRPr="00FC5566" w:rsidRDefault="00FC5566" w:rsidP="00FC5566">
                  <w:pPr>
                    <w:jc w:val="center"/>
                    <w:rPr>
                      <w:sz w:val="16"/>
                      <w:szCs w:val="16"/>
                    </w:rPr>
                  </w:pPr>
                  <w:r w:rsidRPr="00FC5566">
                    <w:rPr>
                      <w:sz w:val="16"/>
                      <w:szCs w:val="16"/>
                    </w:rPr>
                    <w:t>20</w:t>
                  </w:r>
                </w:p>
              </w:tc>
              <w:tc>
                <w:tcPr>
                  <w:tcW w:w="1440" w:type="dxa"/>
                  <w:tcBorders>
                    <w:top w:val="nil"/>
                    <w:left w:val="single" w:sz="4" w:space="0" w:color="auto"/>
                    <w:bottom w:val="nil"/>
                    <w:right w:val="single" w:sz="4" w:space="0" w:color="auto"/>
                  </w:tcBorders>
                  <w:vAlign w:val="center"/>
                  <w:hideMark/>
                </w:tcPr>
                <w:p w14:paraId="2DC0E08C" w14:textId="77777777" w:rsidR="00FC5566" w:rsidRPr="00FC5566" w:rsidRDefault="00FC5566" w:rsidP="00FC5566">
                  <w:pPr>
                    <w:jc w:val="center"/>
                    <w:rPr>
                      <w:sz w:val="16"/>
                      <w:szCs w:val="16"/>
                    </w:rPr>
                  </w:pPr>
                  <w:r w:rsidRPr="00FC5566">
                    <w:rPr>
                      <w:sz w:val="16"/>
                      <w:szCs w:val="16"/>
                    </w:rPr>
                    <w:t>25</w:t>
                  </w:r>
                </w:p>
              </w:tc>
              <w:tc>
                <w:tcPr>
                  <w:tcW w:w="1175" w:type="dxa"/>
                  <w:tcBorders>
                    <w:top w:val="nil"/>
                    <w:left w:val="single" w:sz="4" w:space="0" w:color="auto"/>
                    <w:bottom w:val="nil"/>
                    <w:right w:val="single" w:sz="4" w:space="0" w:color="auto"/>
                  </w:tcBorders>
                  <w:vAlign w:val="center"/>
                  <w:hideMark/>
                </w:tcPr>
                <w:p w14:paraId="5B731946" w14:textId="77777777" w:rsidR="00FC5566" w:rsidRPr="00FC5566" w:rsidRDefault="00FC5566" w:rsidP="00FC5566">
                  <w:pPr>
                    <w:jc w:val="center"/>
                    <w:rPr>
                      <w:sz w:val="16"/>
                      <w:szCs w:val="16"/>
                    </w:rPr>
                  </w:pPr>
                  <w:r w:rsidRPr="00FC5566">
                    <w:rPr>
                      <w:sz w:val="16"/>
                      <w:szCs w:val="16"/>
                    </w:rPr>
                    <w:t>12</w:t>
                  </w:r>
                  <w:r w:rsidRPr="00FC5566">
                    <w:rPr>
                      <w:sz w:val="16"/>
                      <w:szCs w:val="16"/>
                      <w:vertAlign w:val="superscript"/>
                    </w:rPr>
                    <w:t>1</w:t>
                  </w:r>
                </w:p>
              </w:tc>
            </w:tr>
            <w:tr w:rsidR="00FC5566" w:rsidRPr="00FC5566" w14:paraId="6DC89101" w14:textId="77777777" w:rsidTr="00B247D5">
              <w:trPr>
                <w:jc w:val="center"/>
              </w:trPr>
              <w:tc>
                <w:tcPr>
                  <w:tcW w:w="1255" w:type="dxa"/>
                  <w:tcBorders>
                    <w:top w:val="nil"/>
                    <w:left w:val="single" w:sz="4" w:space="0" w:color="auto"/>
                    <w:bottom w:val="nil"/>
                    <w:right w:val="single" w:sz="4" w:space="0" w:color="auto"/>
                  </w:tcBorders>
                  <w:vAlign w:val="center"/>
                  <w:hideMark/>
                </w:tcPr>
                <w:p w14:paraId="5912B06F" w14:textId="77777777" w:rsidR="00FC5566" w:rsidRPr="00FC5566" w:rsidRDefault="00FC5566" w:rsidP="00FC5566">
                  <w:pPr>
                    <w:jc w:val="center"/>
                    <w:rPr>
                      <w:sz w:val="16"/>
                      <w:szCs w:val="16"/>
                    </w:rPr>
                  </w:pPr>
                  <w:r w:rsidRPr="00FC5566">
                    <w:rPr>
                      <w:sz w:val="16"/>
                      <w:szCs w:val="16"/>
                    </w:rPr>
                    <w:t>10</w:t>
                  </w:r>
                  <w:r w:rsidRPr="00FC5566">
                    <w:rPr>
                      <w:sz w:val="16"/>
                      <w:szCs w:val="16"/>
                      <w:vertAlign w:val="superscript"/>
                    </w:rPr>
                    <w:t>1</w:t>
                  </w:r>
                </w:p>
              </w:tc>
              <w:tc>
                <w:tcPr>
                  <w:tcW w:w="1170" w:type="dxa"/>
                  <w:tcBorders>
                    <w:top w:val="nil"/>
                    <w:left w:val="single" w:sz="4" w:space="0" w:color="auto"/>
                    <w:bottom w:val="nil"/>
                    <w:right w:val="single" w:sz="4" w:space="0" w:color="auto"/>
                  </w:tcBorders>
                  <w:vAlign w:val="center"/>
                  <w:hideMark/>
                </w:tcPr>
                <w:p w14:paraId="3D0770E2" w14:textId="77777777" w:rsidR="00FC5566" w:rsidRPr="00FC5566" w:rsidRDefault="00FC5566" w:rsidP="00FC5566">
                  <w:pPr>
                    <w:jc w:val="center"/>
                    <w:rPr>
                      <w:sz w:val="16"/>
                      <w:szCs w:val="16"/>
                    </w:rPr>
                  </w:pPr>
                  <w:r w:rsidRPr="00FC5566">
                    <w:rPr>
                      <w:sz w:val="16"/>
                      <w:szCs w:val="16"/>
                    </w:rPr>
                    <w:t>30</w:t>
                  </w:r>
                </w:p>
              </w:tc>
              <w:tc>
                <w:tcPr>
                  <w:tcW w:w="1260" w:type="dxa"/>
                  <w:tcBorders>
                    <w:top w:val="nil"/>
                    <w:left w:val="single" w:sz="4" w:space="0" w:color="auto"/>
                    <w:bottom w:val="nil"/>
                    <w:right w:val="single" w:sz="4" w:space="0" w:color="auto"/>
                  </w:tcBorders>
                  <w:vAlign w:val="center"/>
                  <w:hideMark/>
                </w:tcPr>
                <w:p w14:paraId="618270C8" w14:textId="77777777" w:rsidR="00FC5566" w:rsidRPr="00FC5566" w:rsidRDefault="00FC5566" w:rsidP="00FC5566">
                  <w:pPr>
                    <w:jc w:val="center"/>
                    <w:rPr>
                      <w:sz w:val="16"/>
                      <w:szCs w:val="16"/>
                    </w:rPr>
                  </w:pPr>
                  <w:r w:rsidRPr="00FC5566">
                    <w:rPr>
                      <w:sz w:val="16"/>
                      <w:szCs w:val="16"/>
                    </w:rPr>
                    <w:t>35</w:t>
                  </w:r>
                </w:p>
              </w:tc>
              <w:tc>
                <w:tcPr>
                  <w:tcW w:w="1440" w:type="dxa"/>
                  <w:tcBorders>
                    <w:top w:val="nil"/>
                    <w:left w:val="single" w:sz="4" w:space="0" w:color="auto"/>
                    <w:bottom w:val="nil"/>
                    <w:right w:val="single" w:sz="4" w:space="0" w:color="auto"/>
                  </w:tcBorders>
                  <w:vAlign w:val="center"/>
                  <w:hideMark/>
                </w:tcPr>
                <w:p w14:paraId="642D8AF6" w14:textId="77777777" w:rsidR="00FC5566" w:rsidRPr="00FC5566" w:rsidRDefault="00FC5566" w:rsidP="00FC5566">
                  <w:pPr>
                    <w:jc w:val="center"/>
                    <w:rPr>
                      <w:sz w:val="16"/>
                      <w:szCs w:val="16"/>
                    </w:rPr>
                  </w:pPr>
                  <w:r w:rsidRPr="00FC5566">
                    <w:rPr>
                      <w:sz w:val="16"/>
                      <w:szCs w:val="16"/>
                    </w:rPr>
                    <w:t>40</w:t>
                  </w:r>
                </w:p>
              </w:tc>
              <w:tc>
                <w:tcPr>
                  <w:tcW w:w="1124" w:type="dxa"/>
                  <w:tcBorders>
                    <w:top w:val="nil"/>
                    <w:left w:val="single" w:sz="4" w:space="0" w:color="auto"/>
                    <w:bottom w:val="nil"/>
                    <w:right w:val="single" w:sz="4" w:space="0" w:color="auto"/>
                  </w:tcBorders>
                  <w:vAlign w:val="center"/>
                  <w:hideMark/>
                </w:tcPr>
                <w:p w14:paraId="4238E532" w14:textId="77777777" w:rsidR="00FC5566" w:rsidRPr="00FC5566" w:rsidRDefault="00FC5566" w:rsidP="00FC5566">
                  <w:pPr>
                    <w:jc w:val="center"/>
                    <w:rPr>
                      <w:sz w:val="16"/>
                      <w:szCs w:val="16"/>
                    </w:rPr>
                  </w:pPr>
                  <w:r w:rsidRPr="00FC5566">
                    <w:rPr>
                      <w:sz w:val="16"/>
                      <w:szCs w:val="16"/>
                    </w:rPr>
                    <w:t>25</w:t>
                  </w:r>
                </w:p>
              </w:tc>
              <w:tc>
                <w:tcPr>
                  <w:tcW w:w="1126" w:type="dxa"/>
                  <w:tcBorders>
                    <w:top w:val="nil"/>
                    <w:left w:val="single" w:sz="4" w:space="0" w:color="auto"/>
                    <w:bottom w:val="nil"/>
                    <w:right w:val="single" w:sz="4" w:space="0" w:color="auto"/>
                  </w:tcBorders>
                  <w:vAlign w:val="center"/>
                  <w:hideMark/>
                </w:tcPr>
                <w:p w14:paraId="1BBD833C" w14:textId="77777777" w:rsidR="00FC5566" w:rsidRPr="00FC5566" w:rsidRDefault="00FC5566" w:rsidP="00FC5566">
                  <w:pPr>
                    <w:jc w:val="center"/>
                    <w:rPr>
                      <w:sz w:val="16"/>
                      <w:szCs w:val="16"/>
                    </w:rPr>
                  </w:pPr>
                  <w:r w:rsidRPr="00FC5566">
                    <w:rPr>
                      <w:sz w:val="16"/>
                      <w:szCs w:val="16"/>
                    </w:rPr>
                    <w:t>30</w:t>
                  </w:r>
                </w:p>
              </w:tc>
              <w:tc>
                <w:tcPr>
                  <w:tcW w:w="1440" w:type="dxa"/>
                  <w:tcBorders>
                    <w:top w:val="nil"/>
                    <w:left w:val="single" w:sz="4" w:space="0" w:color="auto"/>
                    <w:bottom w:val="nil"/>
                    <w:right w:val="single" w:sz="4" w:space="0" w:color="auto"/>
                  </w:tcBorders>
                  <w:vAlign w:val="center"/>
                  <w:hideMark/>
                </w:tcPr>
                <w:p w14:paraId="506066FE" w14:textId="77777777" w:rsidR="00FC5566" w:rsidRPr="00FC5566" w:rsidRDefault="00FC5566" w:rsidP="00FC5566">
                  <w:pPr>
                    <w:jc w:val="center"/>
                    <w:rPr>
                      <w:sz w:val="16"/>
                      <w:szCs w:val="16"/>
                    </w:rPr>
                  </w:pPr>
                  <w:r w:rsidRPr="00FC5566">
                    <w:rPr>
                      <w:sz w:val="16"/>
                      <w:szCs w:val="16"/>
                    </w:rPr>
                    <w:t>35</w:t>
                  </w:r>
                </w:p>
              </w:tc>
              <w:tc>
                <w:tcPr>
                  <w:tcW w:w="1175" w:type="dxa"/>
                  <w:tcBorders>
                    <w:top w:val="nil"/>
                    <w:left w:val="single" w:sz="4" w:space="0" w:color="auto"/>
                    <w:bottom w:val="nil"/>
                    <w:right w:val="single" w:sz="4" w:space="0" w:color="auto"/>
                  </w:tcBorders>
                  <w:vAlign w:val="center"/>
                  <w:hideMark/>
                </w:tcPr>
                <w:p w14:paraId="1D5C0215" w14:textId="77777777" w:rsidR="00FC5566" w:rsidRPr="00FC5566" w:rsidRDefault="00FC5566" w:rsidP="00FC5566">
                  <w:pPr>
                    <w:jc w:val="center"/>
                    <w:rPr>
                      <w:sz w:val="16"/>
                      <w:szCs w:val="16"/>
                    </w:rPr>
                  </w:pPr>
                  <w:r w:rsidRPr="00FC5566">
                    <w:rPr>
                      <w:sz w:val="16"/>
                      <w:szCs w:val="16"/>
                    </w:rPr>
                    <w:t>10</w:t>
                  </w:r>
                  <w:r w:rsidRPr="00FC5566">
                    <w:rPr>
                      <w:sz w:val="16"/>
                      <w:szCs w:val="16"/>
                      <w:vertAlign w:val="superscript"/>
                    </w:rPr>
                    <w:t>1</w:t>
                  </w:r>
                </w:p>
              </w:tc>
            </w:tr>
            <w:tr w:rsidR="00FC5566" w:rsidRPr="00FC5566" w14:paraId="33E42D78" w14:textId="77777777" w:rsidTr="00B247D5">
              <w:trPr>
                <w:jc w:val="center"/>
              </w:trPr>
              <w:tc>
                <w:tcPr>
                  <w:tcW w:w="1255" w:type="dxa"/>
                  <w:tcBorders>
                    <w:top w:val="nil"/>
                    <w:left w:val="single" w:sz="4" w:space="0" w:color="auto"/>
                    <w:bottom w:val="single" w:sz="4" w:space="0" w:color="auto"/>
                    <w:right w:val="single" w:sz="4" w:space="0" w:color="auto"/>
                  </w:tcBorders>
                  <w:vAlign w:val="center"/>
                  <w:hideMark/>
                </w:tcPr>
                <w:p w14:paraId="426FC81A" w14:textId="77777777" w:rsidR="00FC5566" w:rsidRPr="00FC5566" w:rsidRDefault="00FC5566" w:rsidP="00FC5566">
                  <w:pPr>
                    <w:jc w:val="center"/>
                    <w:rPr>
                      <w:sz w:val="16"/>
                      <w:szCs w:val="16"/>
                    </w:rPr>
                  </w:pPr>
                  <w:r w:rsidRPr="00FC5566">
                    <w:rPr>
                      <w:sz w:val="16"/>
                      <w:szCs w:val="16"/>
                    </w:rPr>
                    <w:t>8</w:t>
                  </w:r>
                </w:p>
              </w:tc>
              <w:tc>
                <w:tcPr>
                  <w:tcW w:w="1170" w:type="dxa"/>
                  <w:tcBorders>
                    <w:top w:val="nil"/>
                    <w:left w:val="single" w:sz="4" w:space="0" w:color="auto"/>
                    <w:bottom w:val="single" w:sz="4" w:space="0" w:color="auto"/>
                    <w:right w:val="single" w:sz="4" w:space="0" w:color="auto"/>
                  </w:tcBorders>
                  <w:vAlign w:val="center"/>
                  <w:hideMark/>
                </w:tcPr>
                <w:p w14:paraId="555C6749" w14:textId="77777777" w:rsidR="00FC5566" w:rsidRPr="00FC5566" w:rsidRDefault="00FC5566" w:rsidP="00FC5566">
                  <w:pPr>
                    <w:jc w:val="center"/>
                    <w:rPr>
                      <w:sz w:val="16"/>
                      <w:szCs w:val="16"/>
                    </w:rPr>
                  </w:pPr>
                  <w:r w:rsidRPr="00FC5566">
                    <w:rPr>
                      <w:sz w:val="16"/>
                      <w:szCs w:val="16"/>
                    </w:rPr>
                    <w:t>40</w:t>
                  </w:r>
                </w:p>
              </w:tc>
              <w:tc>
                <w:tcPr>
                  <w:tcW w:w="1260" w:type="dxa"/>
                  <w:tcBorders>
                    <w:top w:val="nil"/>
                    <w:left w:val="single" w:sz="4" w:space="0" w:color="auto"/>
                    <w:bottom w:val="single" w:sz="4" w:space="0" w:color="auto"/>
                    <w:right w:val="single" w:sz="4" w:space="0" w:color="auto"/>
                  </w:tcBorders>
                  <w:vAlign w:val="center"/>
                  <w:hideMark/>
                </w:tcPr>
                <w:p w14:paraId="54F32D31" w14:textId="77777777" w:rsidR="00FC5566" w:rsidRPr="00FC5566" w:rsidRDefault="00FC5566" w:rsidP="00FC5566">
                  <w:pPr>
                    <w:jc w:val="center"/>
                    <w:rPr>
                      <w:sz w:val="16"/>
                      <w:szCs w:val="16"/>
                    </w:rPr>
                  </w:pPr>
                  <w:r w:rsidRPr="00FC5566">
                    <w:rPr>
                      <w:sz w:val="16"/>
                      <w:szCs w:val="16"/>
                    </w:rPr>
                    <w:t>50</w:t>
                  </w:r>
                </w:p>
              </w:tc>
              <w:tc>
                <w:tcPr>
                  <w:tcW w:w="1440" w:type="dxa"/>
                  <w:tcBorders>
                    <w:top w:val="nil"/>
                    <w:left w:val="single" w:sz="4" w:space="0" w:color="auto"/>
                    <w:bottom w:val="single" w:sz="4" w:space="0" w:color="auto"/>
                    <w:right w:val="single" w:sz="4" w:space="0" w:color="auto"/>
                  </w:tcBorders>
                  <w:vAlign w:val="center"/>
                  <w:hideMark/>
                </w:tcPr>
                <w:p w14:paraId="10198A32" w14:textId="77777777" w:rsidR="00FC5566" w:rsidRPr="00FC5566" w:rsidRDefault="00FC5566" w:rsidP="00FC5566">
                  <w:pPr>
                    <w:jc w:val="center"/>
                    <w:rPr>
                      <w:sz w:val="16"/>
                      <w:szCs w:val="16"/>
                    </w:rPr>
                  </w:pPr>
                  <w:r w:rsidRPr="00FC5566">
                    <w:rPr>
                      <w:sz w:val="16"/>
                      <w:szCs w:val="16"/>
                    </w:rPr>
                    <w:t>55</w:t>
                  </w:r>
                </w:p>
              </w:tc>
              <w:tc>
                <w:tcPr>
                  <w:tcW w:w="1124" w:type="dxa"/>
                  <w:tcBorders>
                    <w:top w:val="nil"/>
                    <w:left w:val="single" w:sz="4" w:space="0" w:color="auto"/>
                    <w:bottom w:val="single" w:sz="4" w:space="0" w:color="auto"/>
                    <w:right w:val="single" w:sz="4" w:space="0" w:color="auto"/>
                  </w:tcBorders>
                  <w:vAlign w:val="center"/>
                  <w:hideMark/>
                </w:tcPr>
                <w:p w14:paraId="3ED74807" w14:textId="77777777" w:rsidR="00FC5566" w:rsidRPr="00FC5566" w:rsidRDefault="00FC5566" w:rsidP="00FC5566">
                  <w:pPr>
                    <w:jc w:val="center"/>
                    <w:rPr>
                      <w:sz w:val="16"/>
                      <w:szCs w:val="16"/>
                    </w:rPr>
                  </w:pPr>
                  <w:r w:rsidRPr="00FC5566">
                    <w:rPr>
                      <w:sz w:val="16"/>
                      <w:szCs w:val="16"/>
                    </w:rPr>
                    <w:t>35</w:t>
                  </w:r>
                </w:p>
              </w:tc>
              <w:tc>
                <w:tcPr>
                  <w:tcW w:w="1126" w:type="dxa"/>
                  <w:tcBorders>
                    <w:top w:val="nil"/>
                    <w:left w:val="single" w:sz="4" w:space="0" w:color="auto"/>
                    <w:bottom w:val="single" w:sz="4" w:space="0" w:color="auto"/>
                    <w:right w:val="single" w:sz="4" w:space="0" w:color="auto"/>
                  </w:tcBorders>
                  <w:vAlign w:val="center"/>
                  <w:hideMark/>
                </w:tcPr>
                <w:p w14:paraId="63F3004B" w14:textId="77777777" w:rsidR="00FC5566" w:rsidRPr="00FC5566" w:rsidRDefault="00FC5566" w:rsidP="00FC5566">
                  <w:pPr>
                    <w:jc w:val="center"/>
                    <w:rPr>
                      <w:sz w:val="16"/>
                      <w:szCs w:val="16"/>
                    </w:rPr>
                  </w:pPr>
                  <w:r w:rsidRPr="00FC5566">
                    <w:rPr>
                      <w:sz w:val="16"/>
                      <w:szCs w:val="16"/>
                    </w:rPr>
                    <w:t>40</w:t>
                  </w:r>
                </w:p>
              </w:tc>
              <w:tc>
                <w:tcPr>
                  <w:tcW w:w="1440" w:type="dxa"/>
                  <w:tcBorders>
                    <w:top w:val="nil"/>
                    <w:left w:val="single" w:sz="4" w:space="0" w:color="auto"/>
                    <w:bottom w:val="single" w:sz="4" w:space="0" w:color="auto"/>
                    <w:right w:val="single" w:sz="4" w:space="0" w:color="auto"/>
                  </w:tcBorders>
                  <w:vAlign w:val="center"/>
                  <w:hideMark/>
                </w:tcPr>
                <w:p w14:paraId="7C5F2F95" w14:textId="77777777" w:rsidR="00FC5566" w:rsidRPr="00FC5566" w:rsidRDefault="00FC5566" w:rsidP="00FC5566">
                  <w:pPr>
                    <w:jc w:val="center"/>
                    <w:rPr>
                      <w:sz w:val="16"/>
                      <w:szCs w:val="16"/>
                    </w:rPr>
                  </w:pPr>
                  <w:r w:rsidRPr="00FC5566">
                    <w:rPr>
                      <w:sz w:val="16"/>
                      <w:szCs w:val="16"/>
                    </w:rPr>
                    <w:t>45</w:t>
                  </w:r>
                </w:p>
              </w:tc>
              <w:tc>
                <w:tcPr>
                  <w:tcW w:w="1175" w:type="dxa"/>
                  <w:tcBorders>
                    <w:top w:val="nil"/>
                    <w:left w:val="single" w:sz="4" w:space="0" w:color="auto"/>
                    <w:bottom w:val="single" w:sz="4" w:space="0" w:color="auto"/>
                    <w:right w:val="single" w:sz="4" w:space="0" w:color="auto"/>
                  </w:tcBorders>
                  <w:vAlign w:val="center"/>
                  <w:hideMark/>
                </w:tcPr>
                <w:p w14:paraId="6AB16E5F" w14:textId="77777777" w:rsidR="00FC5566" w:rsidRPr="00FC5566" w:rsidRDefault="00FC5566" w:rsidP="00FC5566">
                  <w:pPr>
                    <w:jc w:val="center"/>
                    <w:rPr>
                      <w:sz w:val="16"/>
                      <w:szCs w:val="16"/>
                    </w:rPr>
                  </w:pPr>
                  <w:r w:rsidRPr="00FC5566">
                    <w:rPr>
                      <w:sz w:val="16"/>
                      <w:szCs w:val="16"/>
                    </w:rPr>
                    <w:t>8</w:t>
                  </w:r>
                </w:p>
              </w:tc>
            </w:tr>
            <w:tr w:rsidR="00FC5566" w:rsidRPr="00FC5566" w14:paraId="2AAAD6C1" w14:textId="77777777" w:rsidTr="00B247D5">
              <w:trPr>
                <w:jc w:val="center"/>
              </w:trPr>
              <w:tc>
                <w:tcPr>
                  <w:tcW w:w="1255" w:type="dxa"/>
                  <w:tcBorders>
                    <w:top w:val="single" w:sz="4" w:space="0" w:color="auto"/>
                    <w:left w:val="single" w:sz="4" w:space="0" w:color="auto"/>
                    <w:bottom w:val="nil"/>
                    <w:right w:val="single" w:sz="4" w:space="0" w:color="auto"/>
                  </w:tcBorders>
                  <w:vAlign w:val="center"/>
                  <w:hideMark/>
                </w:tcPr>
                <w:p w14:paraId="53B13134" w14:textId="77777777" w:rsidR="00FC5566" w:rsidRPr="00FC5566" w:rsidRDefault="00FC5566" w:rsidP="00FC5566">
                  <w:pPr>
                    <w:jc w:val="center"/>
                    <w:rPr>
                      <w:sz w:val="16"/>
                      <w:szCs w:val="16"/>
                    </w:rPr>
                  </w:pPr>
                  <w:r w:rsidRPr="00FC5566">
                    <w:rPr>
                      <w:sz w:val="16"/>
                      <w:szCs w:val="16"/>
                    </w:rPr>
                    <w:t>6</w:t>
                  </w:r>
                </w:p>
              </w:tc>
              <w:tc>
                <w:tcPr>
                  <w:tcW w:w="1170" w:type="dxa"/>
                  <w:tcBorders>
                    <w:top w:val="single" w:sz="4" w:space="0" w:color="auto"/>
                    <w:left w:val="single" w:sz="4" w:space="0" w:color="auto"/>
                    <w:bottom w:val="nil"/>
                    <w:right w:val="single" w:sz="4" w:space="0" w:color="auto"/>
                  </w:tcBorders>
                  <w:vAlign w:val="center"/>
                  <w:hideMark/>
                </w:tcPr>
                <w:p w14:paraId="4FB98536" w14:textId="77777777" w:rsidR="00FC5566" w:rsidRPr="00FC5566" w:rsidRDefault="00FC5566" w:rsidP="00FC5566">
                  <w:pPr>
                    <w:jc w:val="center"/>
                    <w:rPr>
                      <w:sz w:val="16"/>
                      <w:szCs w:val="16"/>
                    </w:rPr>
                  </w:pPr>
                  <w:r w:rsidRPr="00FC5566">
                    <w:rPr>
                      <w:sz w:val="16"/>
                      <w:szCs w:val="16"/>
                    </w:rPr>
                    <w:t>55</w:t>
                  </w:r>
                </w:p>
              </w:tc>
              <w:tc>
                <w:tcPr>
                  <w:tcW w:w="1260" w:type="dxa"/>
                  <w:tcBorders>
                    <w:top w:val="single" w:sz="4" w:space="0" w:color="auto"/>
                    <w:left w:val="single" w:sz="4" w:space="0" w:color="auto"/>
                    <w:bottom w:val="nil"/>
                    <w:right w:val="single" w:sz="4" w:space="0" w:color="auto"/>
                  </w:tcBorders>
                  <w:vAlign w:val="center"/>
                  <w:hideMark/>
                </w:tcPr>
                <w:p w14:paraId="1B3842FC" w14:textId="77777777" w:rsidR="00FC5566" w:rsidRPr="00FC5566" w:rsidRDefault="00FC5566" w:rsidP="00FC5566">
                  <w:pPr>
                    <w:jc w:val="center"/>
                    <w:rPr>
                      <w:sz w:val="16"/>
                      <w:szCs w:val="16"/>
                    </w:rPr>
                  </w:pPr>
                  <w:r w:rsidRPr="00FC5566">
                    <w:rPr>
                      <w:sz w:val="16"/>
                      <w:szCs w:val="16"/>
                    </w:rPr>
                    <w:t>65</w:t>
                  </w:r>
                </w:p>
              </w:tc>
              <w:tc>
                <w:tcPr>
                  <w:tcW w:w="1440" w:type="dxa"/>
                  <w:tcBorders>
                    <w:top w:val="single" w:sz="4" w:space="0" w:color="auto"/>
                    <w:left w:val="single" w:sz="4" w:space="0" w:color="auto"/>
                    <w:bottom w:val="nil"/>
                    <w:right w:val="single" w:sz="4" w:space="0" w:color="auto"/>
                  </w:tcBorders>
                  <w:vAlign w:val="center"/>
                  <w:hideMark/>
                </w:tcPr>
                <w:p w14:paraId="586E7345" w14:textId="77777777" w:rsidR="00FC5566" w:rsidRPr="00FC5566" w:rsidRDefault="00FC5566" w:rsidP="00FC5566">
                  <w:pPr>
                    <w:jc w:val="center"/>
                    <w:rPr>
                      <w:sz w:val="16"/>
                      <w:szCs w:val="16"/>
                    </w:rPr>
                  </w:pPr>
                  <w:r w:rsidRPr="00FC5566">
                    <w:rPr>
                      <w:sz w:val="16"/>
                      <w:szCs w:val="16"/>
                    </w:rPr>
                    <w:t>75</w:t>
                  </w:r>
                </w:p>
              </w:tc>
              <w:tc>
                <w:tcPr>
                  <w:tcW w:w="1124" w:type="dxa"/>
                  <w:tcBorders>
                    <w:top w:val="single" w:sz="4" w:space="0" w:color="auto"/>
                    <w:left w:val="single" w:sz="4" w:space="0" w:color="auto"/>
                    <w:bottom w:val="nil"/>
                    <w:right w:val="single" w:sz="4" w:space="0" w:color="auto"/>
                  </w:tcBorders>
                  <w:vAlign w:val="center"/>
                  <w:hideMark/>
                </w:tcPr>
                <w:p w14:paraId="204900F9" w14:textId="77777777" w:rsidR="00FC5566" w:rsidRPr="00FC5566" w:rsidRDefault="00FC5566" w:rsidP="00FC5566">
                  <w:pPr>
                    <w:jc w:val="center"/>
                    <w:rPr>
                      <w:sz w:val="16"/>
                      <w:szCs w:val="16"/>
                    </w:rPr>
                  </w:pPr>
                  <w:r w:rsidRPr="00FC5566">
                    <w:rPr>
                      <w:sz w:val="16"/>
                      <w:szCs w:val="16"/>
                    </w:rPr>
                    <w:t>40</w:t>
                  </w:r>
                </w:p>
              </w:tc>
              <w:tc>
                <w:tcPr>
                  <w:tcW w:w="1126" w:type="dxa"/>
                  <w:tcBorders>
                    <w:top w:val="single" w:sz="4" w:space="0" w:color="auto"/>
                    <w:left w:val="single" w:sz="4" w:space="0" w:color="auto"/>
                    <w:bottom w:val="nil"/>
                    <w:right w:val="single" w:sz="4" w:space="0" w:color="auto"/>
                  </w:tcBorders>
                  <w:vAlign w:val="center"/>
                  <w:hideMark/>
                </w:tcPr>
                <w:p w14:paraId="2BB7214E" w14:textId="77777777" w:rsidR="00FC5566" w:rsidRPr="00FC5566" w:rsidRDefault="00FC5566" w:rsidP="00FC5566">
                  <w:pPr>
                    <w:jc w:val="center"/>
                    <w:rPr>
                      <w:sz w:val="16"/>
                      <w:szCs w:val="16"/>
                    </w:rPr>
                  </w:pPr>
                  <w:r w:rsidRPr="00FC5566">
                    <w:rPr>
                      <w:sz w:val="16"/>
                      <w:szCs w:val="16"/>
                    </w:rPr>
                    <w:t>50</w:t>
                  </w:r>
                </w:p>
              </w:tc>
              <w:tc>
                <w:tcPr>
                  <w:tcW w:w="1440" w:type="dxa"/>
                  <w:tcBorders>
                    <w:top w:val="single" w:sz="4" w:space="0" w:color="auto"/>
                    <w:left w:val="single" w:sz="4" w:space="0" w:color="auto"/>
                    <w:bottom w:val="nil"/>
                    <w:right w:val="single" w:sz="4" w:space="0" w:color="auto"/>
                  </w:tcBorders>
                  <w:vAlign w:val="center"/>
                  <w:hideMark/>
                </w:tcPr>
                <w:p w14:paraId="2B8586CD" w14:textId="77777777" w:rsidR="00FC5566" w:rsidRPr="00FC5566" w:rsidRDefault="00FC5566" w:rsidP="00FC5566">
                  <w:pPr>
                    <w:jc w:val="center"/>
                    <w:rPr>
                      <w:sz w:val="16"/>
                      <w:szCs w:val="16"/>
                    </w:rPr>
                  </w:pPr>
                  <w:r w:rsidRPr="00FC5566">
                    <w:rPr>
                      <w:sz w:val="16"/>
                      <w:szCs w:val="16"/>
                    </w:rPr>
                    <w:t>55</w:t>
                  </w:r>
                </w:p>
              </w:tc>
              <w:tc>
                <w:tcPr>
                  <w:tcW w:w="1175" w:type="dxa"/>
                  <w:tcBorders>
                    <w:top w:val="single" w:sz="4" w:space="0" w:color="auto"/>
                    <w:left w:val="single" w:sz="4" w:space="0" w:color="auto"/>
                    <w:bottom w:val="nil"/>
                    <w:right w:val="single" w:sz="4" w:space="0" w:color="auto"/>
                  </w:tcBorders>
                  <w:vAlign w:val="center"/>
                  <w:hideMark/>
                </w:tcPr>
                <w:p w14:paraId="3C913BAB" w14:textId="77777777" w:rsidR="00FC5566" w:rsidRPr="00FC5566" w:rsidRDefault="00FC5566" w:rsidP="00FC5566">
                  <w:pPr>
                    <w:jc w:val="center"/>
                    <w:rPr>
                      <w:sz w:val="16"/>
                      <w:szCs w:val="16"/>
                    </w:rPr>
                  </w:pPr>
                  <w:r w:rsidRPr="00FC5566">
                    <w:rPr>
                      <w:sz w:val="16"/>
                      <w:szCs w:val="16"/>
                    </w:rPr>
                    <w:t>6</w:t>
                  </w:r>
                </w:p>
              </w:tc>
            </w:tr>
            <w:tr w:rsidR="00FC5566" w:rsidRPr="00FC5566" w14:paraId="33E2D07C" w14:textId="77777777" w:rsidTr="00B247D5">
              <w:trPr>
                <w:jc w:val="center"/>
              </w:trPr>
              <w:tc>
                <w:tcPr>
                  <w:tcW w:w="1255" w:type="dxa"/>
                  <w:tcBorders>
                    <w:top w:val="nil"/>
                    <w:left w:val="single" w:sz="4" w:space="0" w:color="auto"/>
                    <w:bottom w:val="nil"/>
                    <w:right w:val="single" w:sz="4" w:space="0" w:color="auto"/>
                  </w:tcBorders>
                  <w:vAlign w:val="center"/>
                  <w:hideMark/>
                </w:tcPr>
                <w:p w14:paraId="76FD7676" w14:textId="77777777" w:rsidR="00FC5566" w:rsidRPr="00FC5566" w:rsidRDefault="00FC5566" w:rsidP="00FC5566">
                  <w:pPr>
                    <w:jc w:val="center"/>
                    <w:rPr>
                      <w:sz w:val="16"/>
                      <w:szCs w:val="16"/>
                    </w:rPr>
                  </w:pPr>
                  <w:r w:rsidRPr="00FC5566">
                    <w:rPr>
                      <w:sz w:val="16"/>
                      <w:szCs w:val="16"/>
                    </w:rPr>
                    <w:t>4</w:t>
                  </w:r>
                </w:p>
              </w:tc>
              <w:tc>
                <w:tcPr>
                  <w:tcW w:w="1170" w:type="dxa"/>
                  <w:tcBorders>
                    <w:top w:val="nil"/>
                    <w:left w:val="single" w:sz="4" w:space="0" w:color="auto"/>
                    <w:bottom w:val="nil"/>
                    <w:right w:val="single" w:sz="4" w:space="0" w:color="auto"/>
                  </w:tcBorders>
                  <w:vAlign w:val="center"/>
                  <w:hideMark/>
                </w:tcPr>
                <w:p w14:paraId="74B69097" w14:textId="77777777" w:rsidR="00FC5566" w:rsidRPr="00FC5566" w:rsidRDefault="00FC5566" w:rsidP="00FC5566">
                  <w:pPr>
                    <w:jc w:val="center"/>
                    <w:rPr>
                      <w:sz w:val="16"/>
                      <w:szCs w:val="16"/>
                    </w:rPr>
                  </w:pPr>
                  <w:r w:rsidRPr="00FC5566">
                    <w:rPr>
                      <w:sz w:val="16"/>
                      <w:szCs w:val="16"/>
                    </w:rPr>
                    <w:t>70</w:t>
                  </w:r>
                </w:p>
              </w:tc>
              <w:tc>
                <w:tcPr>
                  <w:tcW w:w="1260" w:type="dxa"/>
                  <w:tcBorders>
                    <w:top w:val="nil"/>
                    <w:left w:val="single" w:sz="4" w:space="0" w:color="auto"/>
                    <w:bottom w:val="nil"/>
                    <w:right w:val="single" w:sz="4" w:space="0" w:color="auto"/>
                  </w:tcBorders>
                  <w:vAlign w:val="center"/>
                  <w:hideMark/>
                </w:tcPr>
                <w:p w14:paraId="1AD5D749" w14:textId="77777777" w:rsidR="00FC5566" w:rsidRPr="00FC5566" w:rsidRDefault="00FC5566" w:rsidP="00FC5566">
                  <w:pPr>
                    <w:jc w:val="center"/>
                    <w:rPr>
                      <w:sz w:val="16"/>
                      <w:szCs w:val="16"/>
                    </w:rPr>
                  </w:pPr>
                  <w:r w:rsidRPr="00FC5566">
                    <w:rPr>
                      <w:sz w:val="16"/>
                      <w:szCs w:val="16"/>
                    </w:rPr>
                    <w:t>85</w:t>
                  </w:r>
                </w:p>
              </w:tc>
              <w:tc>
                <w:tcPr>
                  <w:tcW w:w="1440" w:type="dxa"/>
                  <w:tcBorders>
                    <w:top w:val="nil"/>
                    <w:left w:val="single" w:sz="4" w:space="0" w:color="auto"/>
                    <w:bottom w:val="nil"/>
                    <w:right w:val="single" w:sz="4" w:space="0" w:color="auto"/>
                  </w:tcBorders>
                  <w:vAlign w:val="center"/>
                  <w:hideMark/>
                </w:tcPr>
                <w:p w14:paraId="18B0CAB0" w14:textId="77777777" w:rsidR="00FC5566" w:rsidRPr="00FC5566" w:rsidRDefault="00FC5566" w:rsidP="00FC5566">
                  <w:pPr>
                    <w:jc w:val="center"/>
                    <w:rPr>
                      <w:sz w:val="16"/>
                      <w:szCs w:val="16"/>
                    </w:rPr>
                  </w:pPr>
                  <w:r w:rsidRPr="00FC5566">
                    <w:rPr>
                      <w:sz w:val="16"/>
                      <w:szCs w:val="16"/>
                    </w:rPr>
                    <w:t>95</w:t>
                  </w:r>
                </w:p>
              </w:tc>
              <w:tc>
                <w:tcPr>
                  <w:tcW w:w="1124" w:type="dxa"/>
                  <w:tcBorders>
                    <w:top w:val="nil"/>
                    <w:left w:val="single" w:sz="4" w:space="0" w:color="auto"/>
                    <w:bottom w:val="nil"/>
                    <w:right w:val="single" w:sz="4" w:space="0" w:color="auto"/>
                  </w:tcBorders>
                  <w:vAlign w:val="center"/>
                  <w:hideMark/>
                </w:tcPr>
                <w:p w14:paraId="515C7A22" w14:textId="77777777" w:rsidR="00FC5566" w:rsidRPr="00FC5566" w:rsidRDefault="00FC5566" w:rsidP="00FC5566">
                  <w:pPr>
                    <w:jc w:val="center"/>
                    <w:rPr>
                      <w:sz w:val="16"/>
                      <w:szCs w:val="16"/>
                    </w:rPr>
                  </w:pPr>
                  <w:r w:rsidRPr="00FC5566">
                    <w:rPr>
                      <w:sz w:val="16"/>
                      <w:szCs w:val="16"/>
                    </w:rPr>
                    <w:t>55</w:t>
                  </w:r>
                </w:p>
              </w:tc>
              <w:tc>
                <w:tcPr>
                  <w:tcW w:w="1126" w:type="dxa"/>
                  <w:tcBorders>
                    <w:top w:val="nil"/>
                    <w:left w:val="single" w:sz="4" w:space="0" w:color="auto"/>
                    <w:bottom w:val="nil"/>
                    <w:right w:val="single" w:sz="4" w:space="0" w:color="auto"/>
                  </w:tcBorders>
                  <w:vAlign w:val="center"/>
                  <w:hideMark/>
                </w:tcPr>
                <w:p w14:paraId="63C64D08" w14:textId="77777777" w:rsidR="00FC5566" w:rsidRPr="00FC5566" w:rsidRDefault="00FC5566" w:rsidP="00FC5566">
                  <w:pPr>
                    <w:jc w:val="center"/>
                    <w:rPr>
                      <w:sz w:val="16"/>
                      <w:szCs w:val="16"/>
                    </w:rPr>
                  </w:pPr>
                  <w:r w:rsidRPr="00FC5566">
                    <w:rPr>
                      <w:sz w:val="16"/>
                      <w:szCs w:val="16"/>
                    </w:rPr>
                    <w:t>65</w:t>
                  </w:r>
                </w:p>
              </w:tc>
              <w:tc>
                <w:tcPr>
                  <w:tcW w:w="1440" w:type="dxa"/>
                  <w:tcBorders>
                    <w:top w:val="nil"/>
                    <w:left w:val="single" w:sz="4" w:space="0" w:color="auto"/>
                    <w:bottom w:val="nil"/>
                    <w:right w:val="single" w:sz="4" w:space="0" w:color="auto"/>
                  </w:tcBorders>
                  <w:vAlign w:val="center"/>
                  <w:hideMark/>
                </w:tcPr>
                <w:p w14:paraId="49860E36" w14:textId="77777777" w:rsidR="00FC5566" w:rsidRPr="00FC5566" w:rsidRDefault="00FC5566" w:rsidP="00FC5566">
                  <w:pPr>
                    <w:jc w:val="center"/>
                    <w:rPr>
                      <w:sz w:val="16"/>
                      <w:szCs w:val="16"/>
                    </w:rPr>
                  </w:pPr>
                  <w:r w:rsidRPr="00FC5566">
                    <w:rPr>
                      <w:sz w:val="16"/>
                      <w:szCs w:val="16"/>
                    </w:rPr>
                    <w:t>75</w:t>
                  </w:r>
                </w:p>
              </w:tc>
              <w:tc>
                <w:tcPr>
                  <w:tcW w:w="1175" w:type="dxa"/>
                  <w:tcBorders>
                    <w:top w:val="nil"/>
                    <w:left w:val="single" w:sz="4" w:space="0" w:color="auto"/>
                    <w:bottom w:val="nil"/>
                    <w:right w:val="single" w:sz="4" w:space="0" w:color="auto"/>
                  </w:tcBorders>
                  <w:vAlign w:val="center"/>
                  <w:hideMark/>
                </w:tcPr>
                <w:p w14:paraId="36DC1372" w14:textId="77777777" w:rsidR="00FC5566" w:rsidRPr="00FC5566" w:rsidRDefault="00FC5566" w:rsidP="00FC5566">
                  <w:pPr>
                    <w:jc w:val="center"/>
                    <w:rPr>
                      <w:sz w:val="16"/>
                      <w:szCs w:val="16"/>
                    </w:rPr>
                  </w:pPr>
                  <w:r w:rsidRPr="00FC5566">
                    <w:rPr>
                      <w:sz w:val="16"/>
                      <w:szCs w:val="16"/>
                    </w:rPr>
                    <w:t>4</w:t>
                  </w:r>
                </w:p>
              </w:tc>
            </w:tr>
            <w:tr w:rsidR="00FC5566" w:rsidRPr="00FC5566" w14:paraId="10EC4CB8" w14:textId="77777777" w:rsidTr="00B247D5">
              <w:trPr>
                <w:jc w:val="center"/>
              </w:trPr>
              <w:tc>
                <w:tcPr>
                  <w:tcW w:w="1255" w:type="dxa"/>
                  <w:tcBorders>
                    <w:top w:val="nil"/>
                    <w:left w:val="single" w:sz="4" w:space="0" w:color="auto"/>
                    <w:bottom w:val="nil"/>
                    <w:right w:val="single" w:sz="4" w:space="0" w:color="auto"/>
                  </w:tcBorders>
                  <w:vAlign w:val="center"/>
                  <w:hideMark/>
                </w:tcPr>
                <w:p w14:paraId="1F64F73F" w14:textId="77777777" w:rsidR="00FC5566" w:rsidRPr="00FC5566" w:rsidRDefault="00FC5566" w:rsidP="00FC5566">
                  <w:pPr>
                    <w:jc w:val="center"/>
                    <w:rPr>
                      <w:sz w:val="16"/>
                      <w:szCs w:val="16"/>
                    </w:rPr>
                  </w:pPr>
                  <w:r w:rsidRPr="00FC5566">
                    <w:rPr>
                      <w:sz w:val="16"/>
                      <w:szCs w:val="16"/>
                    </w:rPr>
                    <w:t>3</w:t>
                  </w:r>
                </w:p>
              </w:tc>
              <w:tc>
                <w:tcPr>
                  <w:tcW w:w="1170" w:type="dxa"/>
                  <w:tcBorders>
                    <w:top w:val="nil"/>
                    <w:left w:val="single" w:sz="4" w:space="0" w:color="auto"/>
                    <w:bottom w:val="nil"/>
                    <w:right w:val="single" w:sz="4" w:space="0" w:color="auto"/>
                  </w:tcBorders>
                  <w:vAlign w:val="center"/>
                  <w:hideMark/>
                </w:tcPr>
                <w:p w14:paraId="7F6DE953" w14:textId="77777777" w:rsidR="00FC5566" w:rsidRPr="00FC5566" w:rsidRDefault="00FC5566" w:rsidP="00FC5566">
                  <w:pPr>
                    <w:jc w:val="center"/>
                    <w:rPr>
                      <w:sz w:val="16"/>
                      <w:szCs w:val="16"/>
                    </w:rPr>
                  </w:pPr>
                  <w:r w:rsidRPr="00FC5566">
                    <w:rPr>
                      <w:sz w:val="16"/>
                      <w:szCs w:val="16"/>
                    </w:rPr>
                    <w:t>85</w:t>
                  </w:r>
                </w:p>
              </w:tc>
              <w:tc>
                <w:tcPr>
                  <w:tcW w:w="1260" w:type="dxa"/>
                  <w:tcBorders>
                    <w:top w:val="nil"/>
                    <w:left w:val="single" w:sz="4" w:space="0" w:color="auto"/>
                    <w:bottom w:val="nil"/>
                    <w:right w:val="single" w:sz="4" w:space="0" w:color="auto"/>
                  </w:tcBorders>
                  <w:vAlign w:val="center"/>
                  <w:hideMark/>
                </w:tcPr>
                <w:p w14:paraId="369D1342" w14:textId="77777777" w:rsidR="00FC5566" w:rsidRPr="00FC5566" w:rsidRDefault="00FC5566" w:rsidP="00FC5566">
                  <w:pPr>
                    <w:jc w:val="center"/>
                    <w:rPr>
                      <w:sz w:val="16"/>
                      <w:szCs w:val="16"/>
                    </w:rPr>
                  </w:pPr>
                  <w:r w:rsidRPr="00FC5566">
                    <w:rPr>
                      <w:sz w:val="16"/>
                      <w:szCs w:val="16"/>
                    </w:rPr>
                    <w:t>100</w:t>
                  </w:r>
                </w:p>
              </w:tc>
              <w:tc>
                <w:tcPr>
                  <w:tcW w:w="1440" w:type="dxa"/>
                  <w:tcBorders>
                    <w:top w:val="nil"/>
                    <w:left w:val="single" w:sz="4" w:space="0" w:color="auto"/>
                    <w:bottom w:val="nil"/>
                    <w:right w:val="single" w:sz="4" w:space="0" w:color="auto"/>
                  </w:tcBorders>
                  <w:vAlign w:val="center"/>
                  <w:hideMark/>
                </w:tcPr>
                <w:p w14:paraId="42F8996D" w14:textId="77777777" w:rsidR="00FC5566" w:rsidRPr="00FC5566" w:rsidRDefault="00FC5566" w:rsidP="00FC5566">
                  <w:pPr>
                    <w:jc w:val="center"/>
                    <w:rPr>
                      <w:sz w:val="16"/>
                      <w:szCs w:val="16"/>
                    </w:rPr>
                  </w:pPr>
                  <w:r w:rsidRPr="00FC5566">
                    <w:rPr>
                      <w:sz w:val="16"/>
                      <w:szCs w:val="16"/>
                    </w:rPr>
                    <w:t>115</w:t>
                  </w:r>
                </w:p>
              </w:tc>
              <w:tc>
                <w:tcPr>
                  <w:tcW w:w="1124" w:type="dxa"/>
                  <w:tcBorders>
                    <w:top w:val="nil"/>
                    <w:left w:val="single" w:sz="4" w:space="0" w:color="auto"/>
                    <w:bottom w:val="nil"/>
                    <w:right w:val="single" w:sz="4" w:space="0" w:color="auto"/>
                  </w:tcBorders>
                  <w:vAlign w:val="center"/>
                  <w:hideMark/>
                </w:tcPr>
                <w:p w14:paraId="5622CB41" w14:textId="77777777" w:rsidR="00FC5566" w:rsidRPr="00FC5566" w:rsidRDefault="00FC5566" w:rsidP="00FC5566">
                  <w:pPr>
                    <w:jc w:val="center"/>
                    <w:rPr>
                      <w:sz w:val="16"/>
                      <w:szCs w:val="16"/>
                    </w:rPr>
                  </w:pPr>
                  <w:r w:rsidRPr="00FC5566">
                    <w:rPr>
                      <w:sz w:val="16"/>
                      <w:szCs w:val="16"/>
                    </w:rPr>
                    <w:t>65</w:t>
                  </w:r>
                </w:p>
              </w:tc>
              <w:tc>
                <w:tcPr>
                  <w:tcW w:w="1126" w:type="dxa"/>
                  <w:tcBorders>
                    <w:top w:val="nil"/>
                    <w:left w:val="single" w:sz="4" w:space="0" w:color="auto"/>
                    <w:bottom w:val="nil"/>
                    <w:right w:val="single" w:sz="4" w:space="0" w:color="auto"/>
                  </w:tcBorders>
                  <w:vAlign w:val="center"/>
                  <w:hideMark/>
                </w:tcPr>
                <w:p w14:paraId="0FDC6298" w14:textId="77777777" w:rsidR="00FC5566" w:rsidRPr="00FC5566" w:rsidRDefault="00FC5566" w:rsidP="00FC5566">
                  <w:pPr>
                    <w:jc w:val="center"/>
                    <w:rPr>
                      <w:sz w:val="16"/>
                      <w:szCs w:val="16"/>
                    </w:rPr>
                  </w:pPr>
                  <w:r w:rsidRPr="00FC5566">
                    <w:rPr>
                      <w:sz w:val="16"/>
                      <w:szCs w:val="16"/>
                    </w:rPr>
                    <w:t>75</w:t>
                  </w:r>
                </w:p>
              </w:tc>
              <w:tc>
                <w:tcPr>
                  <w:tcW w:w="1440" w:type="dxa"/>
                  <w:tcBorders>
                    <w:top w:val="nil"/>
                    <w:left w:val="single" w:sz="4" w:space="0" w:color="auto"/>
                    <w:bottom w:val="nil"/>
                    <w:right w:val="single" w:sz="4" w:space="0" w:color="auto"/>
                  </w:tcBorders>
                  <w:vAlign w:val="center"/>
                  <w:hideMark/>
                </w:tcPr>
                <w:p w14:paraId="14BF1CDD" w14:textId="77777777" w:rsidR="00FC5566" w:rsidRPr="00FC5566" w:rsidRDefault="00FC5566" w:rsidP="00FC5566">
                  <w:pPr>
                    <w:jc w:val="center"/>
                    <w:rPr>
                      <w:sz w:val="16"/>
                      <w:szCs w:val="16"/>
                    </w:rPr>
                  </w:pPr>
                  <w:r w:rsidRPr="00FC5566">
                    <w:rPr>
                      <w:sz w:val="16"/>
                      <w:szCs w:val="16"/>
                    </w:rPr>
                    <w:t>85</w:t>
                  </w:r>
                </w:p>
              </w:tc>
              <w:tc>
                <w:tcPr>
                  <w:tcW w:w="1175" w:type="dxa"/>
                  <w:tcBorders>
                    <w:top w:val="nil"/>
                    <w:left w:val="single" w:sz="4" w:space="0" w:color="auto"/>
                    <w:bottom w:val="nil"/>
                    <w:right w:val="single" w:sz="4" w:space="0" w:color="auto"/>
                  </w:tcBorders>
                  <w:vAlign w:val="center"/>
                  <w:hideMark/>
                </w:tcPr>
                <w:p w14:paraId="02C3143E" w14:textId="77777777" w:rsidR="00FC5566" w:rsidRPr="00FC5566" w:rsidRDefault="00FC5566" w:rsidP="00FC5566">
                  <w:pPr>
                    <w:jc w:val="center"/>
                    <w:rPr>
                      <w:sz w:val="16"/>
                      <w:szCs w:val="16"/>
                    </w:rPr>
                  </w:pPr>
                  <w:r w:rsidRPr="00FC5566">
                    <w:rPr>
                      <w:sz w:val="16"/>
                      <w:szCs w:val="16"/>
                    </w:rPr>
                    <w:t>3</w:t>
                  </w:r>
                </w:p>
              </w:tc>
            </w:tr>
            <w:tr w:rsidR="00FC5566" w:rsidRPr="00FC5566" w14:paraId="20DEFD6C" w14:textId="77777777" w:rsidTr="00B247D5">
              <w:trPr>
                <w:jc w:val="center"/>
              </w:trPr>
              <w:tc>
                <w:tcPr>
                  <w:tcW w:w="1255" w:type="dxa"/>
                  <w:tcBorders>
                    <w:top w:val="nil"/>
                    <w:left w:val="single" w:sz="4" w:space="0" w:color="auto"/>
                    <w:bottom w:val="nil"/>
                    <w:right w:val="single" w:sz="4" w:space="0" w:color="auto"/>
                  </w:tcBorders>
                  <w:vAlign w:val="center"/>
                  <w:hideMark/>
                </w:tcPr>
                <w:p w14:paraId="5447D92E" w14:textId="77777777" w:rsidR="00FC5566" w:rsidRPr="00FC5566" w:rsidRDefault="00FC5566" w:rsidP="00FC5566">
                  <w:pPr>
                    <w:jc w:val="center"/>
                    <w:rPr>
                      <w:sz w:val="16"/>
                      <w:szCs w:val="16"/>
                    </w:rPr>
                  </w:pPr>
                  <w:r w:rsidRPr="00FC5566">
                    <w:rPr>
                      <w:sz w:val="16"/>
                      <w:szCs w:val="16"/>
                    </w:rPr>
                    <w:t>2</w:t>
                  </w:r>
                </w:p>
              </w:tc>
              <w:tc>
                <w:tcPr>
                  <w:tcW w:w="1170" w:type="dxa"/>
                  <w:tcBorders>
                    <w:top w:val="nil"/>
                    <w:left w:val="single" w:sz="4" w:space="0" w:color="auto"/>
                    <w:bottom w:val="nil"/>
                    <w:right w:val="single" w:sz="4" w:space="0" w:color="auto"/>
                  </w:tcBorders>
                  <w:vAlign w:val="center"/>
                  <w:hideMark/>
                </w:tcPr>
                <w:p w14:paraId="63639C3D" w14:textId="77777777" w:rsidR="00FC5566" w:rsidRPr="00FC5566" w:rsidRDefault="00FC5566" w:rsidP="00FC5566">
                  <w:pPr>
                    <w:jc w:val="center"/>
                    <w:rPr>
                      <w:sz w:val="16"/>
                      <w:szCs w:val="16"/>
                    </w:rPr>
                  </w:pPr>
                  <w:r w:rsidRPr="00FC5566">
                    <w:rPr>
                      <w:sz w:val="16"/>
                      <w:szCs w:val="16"/>
                    </w:rPr>
                    <w:t>95</w:t>
                  </w:r>
                </w:p>
              </w:tc>
              <w:tc>
                <w:tcPr>
                  <w:tcW w:w="1260" w:type="dxa"/>
                  <w:tcBorders>
                    <w:top w:val="nil"/>
                    <w:left w:val="single" w:sz="4" w:space="0" w:color="auto"/>
                    <w:bottom w:val="nil"/>
                    <w:right w:val="single" w:sz="4" w:space="0" w:color="auto"/>
                  </w:tcBorders>
                  <w:vAlign w:val="center"/>
                  <w:hideMark/>
                </w:tcPr>
                <w:p w14:paraId="7F6DCAE4" w14:textId="77777777" w:rsidR="00FC5566" w:rsidRPr="00FC5566" w:rsidRDefault="00FC5566" w:rsidP="00FC5566">
                  <w:pPr>
                    <w:jc w:val="center"/>
                    <w:rPr>
                      <w:sz w:val="16"/>
                      <w:szCs w:val="16"/>
                    </w:rPr>
                  </w:pPr>
                  <w:r w:rsidRPr="00FC5566">
                    <w:rPr>
                      <w:sz w:val="16"/>
                      <w:szCs w:val="16"/>
                    </w:rPr>
                    <w:t>115</w:t>
                  </w:r>
                </w:p>
              </w:tc>
              <w:tc>
                <w:tcPr>
                  <w:tcW w:w="1440" w:type="dxa"/>
                  <w:tcBorders>
                    <w:top w:val="nil"/>
                    <w:left w:val="single" w:sz="4" w:space="0" w:color="auto"/>
                    <w:bottom w:val="nil"/>
                    <w:right w:val="single" w:sz="4" w:space="0" w:color="auto"/>
                  </w:tcBorders>
                  <w:vAlign w:val="center"/>
                  <w:hideMark/>
                </w:tcPr>
                <w:p w14:paraId="320D7AE6" w14:textId="77777777" w:rsidR="00FC5566" w:rsidRPr="00FC5566" w:rsidRDefault="00FC5566" w:rsidP="00FC5566">
                  <w:pPr>
                    <w:jc w:val="center"/>
                    <w:rPr>
                      <w:sz w:val="16"/>
                      <w:szCs w:val="16"/>
                    </w:rPr>
                  </w:pPr>
                  <w:r w:rsidRPr="00FC5566">
                    <w:rPr>
                      <w:sz w:val="16"/>
                      <w:szCs w:val="16"/>
                    </w:rPr>
                    <w:t>130</w:t>
                  </w:r>
                </w:p>
              </w:tc>
              <w:tc>
                <w:tcPr>
                  <w:tcW w:w="1124" w:type="dxa"/>
                  <w:tcBorders>
                    <w:top w:val="nil"/>
                    <w:left w:val="single" w:sz="4" w:space="0" w:color="auto"/>
                    <w:bottom w:val="nil"/>
                    <w:right w:val="single" w:sz="4" w:space="0" w:color="auto"/>
                  </w:tcBorders>
                  <w:vAlign w:val="center"/>
                  <w:hideMark/>
                </w:tcPr>
                <w:p w14:paraId="4A309CF3" w14:textId="77777777" w:rsidR="00FC5566" w:rsidRPr="00FC5566" w:rsidRDefault="00FC5566" w:rsidP="00FC5566">
                  <w:pPr>
                    <w:jc w:val="center"/>
                    <w:rPr>
                      <w:sz w:val="16"/>
                      <w:szCs w:val="16"/>
                    </w:rPr>
                  </w:pPr>
                  <w:r w:rsidRPr="00FC5566">
                    <w:rPr>
                      <w:sz w:val="16"/>
                      <w:szCs w:val="16"/>
                    </w:rPr>
                    <w:t>75</w:t>
                  </w:r>
                </w:p>
              </w:tc>
              <w:tc>
                <w:tcPr>
                  <w:tcW w:w="1126" w:type="dxa"/>
                  <w:tcBorders>
                    <w:top w:val="nil"/>
                    <w:left w:val="single" w:sz="4" w:space="0" w:color="auto"/>
                    <w:bottom w:val="nil"/>
                    <w:right w:val="single" w:sz="4" w:space="0" w:color="auto"/>
                  </w:tcBorders>
                  <w:vAlign w:val="center"/>
                  <w:hideMark/>
                </w:tcPr>
                <w:p w14:paraId="4601F67C" w14:textId="77777777" w:rsidR="00FC5566" w:rsidRPr="00FC5566" w:rsidRDefault="00FC5566" w:rsidP="00FC5566">
                  <w:pPr>
                    <w:jc w:val="center"/>
                    <w:rPr>
                      <w:sz w:val="16"/>
                      <w:szCs w:val="16"/>
                    </w:rPr>
                  </w:pPr>
                  <w:r w:rsidRPr="00FC5566">
                    <w:rPr>
                      <w:sz w:val="16"/>
                      <w:szCs w:val="16"/>
                    </w:rPr>
                    <w:t>90</w:t>
                  </w:r>
                </w:p>
              </w:tc>
              <w:tc>
                <w:tcPr>
                  <w:tcW w:w="1440" w:type="dxa"/>
                  <w:tcBorders>
                    <w:top w:val="nil"/>
                    <w:left w:val="single" w:sz="4" w:space="0" w:color="auto"/>
                    <w:bottom w:val="nil"/>
                    <w:right w:val="single" w:sz="4" w:space="0" w:color="auto"/>
                  </w:tcBorders>
                  <w:vAlign w:val="center"/>
                  <w:hideMark/>
                </w:tcPr>
                <w:p w14:paraId="5459D594" w14:textId="77777777" w:rsidR="00FC5566" w:rsidRPr="00FC5566" w:rsidRDefault="00FC5566" w:rsidP="00FC5566">
                  <w:pPr>
                    <w:jc w:val="center"/>
                    <w:rPr>
                      <w:sz w:val="16"/>
                      <w:szCs w:val="16"/>
                    </w:rPr>
                  </w:pPr>
                  <w:r w:rsidRPr="00FC5566">
                    <w:rPr>
                      <w:sz w:val="16"/>
                      <w:szCs w:val="16"/>
                    </w:rPr>
                    <w:t>100</w:t>
                  </w:r>
                </w:p>
              </w:tc>
              <w:tc>
                <w:tcPr>
                  <w:tcW w:w="1175" w:type="dxa"/>
                  <w:tcBorders>
                    <w:top w:val="nil"/>
                    <w:left w:val="single" w:sz="4" w:space="0" w:color="auto"/>
                    <w:bottom w:val="nil"/>
                    <w:right w:val="single" w:sz="4" w:space="0" w:color="auto"/>
                  </w:tcBorders>
                  <w:vAlign w:val="center"/>
                  <w:hideMark/>
                </w:tcPr>
                <w:p w14:paraId="15636323" w14:textId="77777777" w:rsidR="00FC5566" w:rsidRPr="00FC5566" w:rsidRDefault="00FC5566" w:rsidP="00FC5566">
                  <w:pPr>
                    <w:jc w:val="center"/>
                    <w:rPr>
                      <w:sz w:val="16"/>
                      <w:szCs w:val="16"/>
                    </w:rPr>
                  </w:pPr>
                  <w:r w:rsidRPr="00FC5566">
                    <w:rPr>
                      <w:sz w:val="16"/>
                      <w:szCs w:val="16"/>
                    </w:rPr>
                    <w:t>2</w:t>
                  </w:r>
                </w:p>
              </w:tc>
            </w:tr>
            <w:tr w:rsidR="00FC5566" w:rsidRPr="00FC5566" w14:paraId="517D1841" w14:textId="77777777" w:rsidTr="00B247D5">
              <w:trPr>
                <w:jc w:val="center"/>
              </w:trPr>
              <w:tc>
                <w:tcPr>
                  <w:tcW w:w="1255" w:type="dxa"/>
                  <w:tcBorders>
                    <w:top w:val="nil"/>
                    <w:left w:val="single" w:sz="4" w:space="0" w:color="auto"/>
                    <w:bottom w:val="single" w:sz="4" w:space="0" w:color="auto"/>
                    <w:right w:val="single" w:sz="4" w:space="0" w:color="auto"/>
                  </w:tcBorders>
                  <w:vAlign w:val="center"/>
                  <w:hideMark/>
                </w:tcPr>
                <w:p w14:paraId="25ACEB8E" w14:textId="77777777" w:rsidR="00FC5566" w:rsidRPr="00FC5566" w:rsidRDefault="00FC5566" w:rsidP="00FC5566">
                  <w:pPr>
                    <w:jc w:val="center"/>
                    <w:rPr>
                      <w:sz w:val="16"/>
                      <w:szCs w:val="16"/>
                    </w:rPr>
                  </w:pPr>
                  <w:r w:rsidRPr="00FC5566">
                    <w:rPr>
                      <w:sz w:val="16"/>
                      <w:szCs w:val="16"/>
                    </w:rPr>
                    <w:t>1</w:t>
                  </w:r>
                </w:p>
              </w:tc>
              <w:tc>
                <w:tcPr>
                  <w:tcW w:w="1170" w:type="dxa"/>
                  <w:tcBorders>
                    <w:top w:val="nil"/>
                    <w:left w:val="single" w:sz="4" w:space="0" w:color="auto"/>
                    <w:bottom w:val="single" w:sz="4" w:space="0" w:color="auto"/>
                    <w:right w:val="single" w:sz="4" w:space="0" w:color="auto"/>
                  </w:tcBorders>
                  <w:vAlign w:val="center"/>
                  <w:hideMark/>
                </w:tcPr>
                <w:p w14:paraId="75D57FD3" w14:textId="77777777" w:rsidR="00FC5566" w:rsidRPr="00FC5566" w:rsidRDefault="00FC5566" w:rsidP="00FC5566">
                  <w:pPr>
                    <w:jc w:val="center"/>
                    <w:rPr>
                      <w:sz w:val="16"/>
                      <w:szCs w:val="16"/>
                    </w:rPr>
                  </w:pPr>
                  <w:r w:rsidRPr="00FC5566">
                    <w:rPr>
                      <w:sz w:val="16"/>
                      <w:szCs w:val="16"/>
                    </w:rPr>
                    <w:t>110</w:t>
                  </w:r>
                </w:p>
              </w:tc>
              <w:tc>
                <w:tcPr>
                  <w:tcW w:w="1260" w:type="dxa"/>
                  <w:tcBorders>
                    <w:top w:val="nil"/>
                    <w:left w:val="single" w:sz="4" w:space="0" w:color="auto"/>
                    <w:bottom w:val="single" w:sz="4" w:space="0" w:color="auto"/>
                    <w:right w:val="single" w:sz="4" w:space="0" w:color="auto"/>
                  </w:tcBorders>
                  <w:vAlign w:val="center"/>
                  <w:hideMark/>
                </w:tcPr>
                <w:p w14:paraId="1A95A84F" w14:textId="77777777" w:rsidR="00FC5566" w:rsidRPr="00FC5566" w:rsidRDefault="00FC5566" w:rsidP="00FC5566">
                  <w:pPr>
                    <w:jc w:val="center"/>
                    <w:rPr>
                      <w:sz w:val="16"/>
                      <w:szCs w:val="16"/>
                    </w:rPr>
                  </w:pPr>
                  <w:r w:rsidRPr="00FC5566">
                    <w:rPr>
                      <w:sz w:val="16"/>
                      <w:szCs w:val="16"/>
                    </w:rPr>
                    <w:t>130</w:t>
                  </w:r>
                </w:p>
              </w:tc>
              <w:tc>
                <w:tcPr>
                  <w:tcW w:w="1440" w:type="dxa"/>
                  <w:tcBorders>
                    <w:top w:val="nil"/>
                    <w:left w:val="single" w:sz="4" w:space="0" w:color="auto"/>
                    <w:bottom w:val="single" w:sz="4" w:space="0" w:color="auto"/>
                    <w:right w:val="single" w:sz="4" w:space="0" w:color="auto"/>
                  </w:tcBorders>
                  <w:vAlign w:val="center"/>
                  <w:hideMark/>
                </w:tcPr>
                <w:p w14:paraId="7A668C7A" w14:textId="77777777" w:rsidR="00FC5566" w:rsidRPr="00FC5566" w:rsidRDefault="00FC5566" w:rsidP="00FC5566">
                  <w:pPr>
                    <w:jc w:val="center"/>
                    <w:rPr>
                      <w:sz w:val="16"/>
                      <w:szCs w:val="16"/>
                    </w:rPr>
                  </w:pPr>
                  <w:r w:rsidRPr="00FC5566">
                    <w:rPr>
                      <w:sz w:val="16"/>
                      <w:szCs w:val="16"/>
                    </w:rPr>
                    <w:t>145</w:t>
                  </w:r>
                </w:p>
              </w:tc>
              <w:tc>
                <w:tcPr>
                  <w:tcW w:w="1124" w:type="dxa"/>
                  <w:tcBorders>
                    <w:top w:val="nil"/>
                    <w:left w:val="single" w:sz="4" w:space="0" w:color="auto"/>
                    <w:bottom w:val="single" w:sz="4" w:space="0" w:color="auto"/>
                    <w:right w:val="single" w:sz="4" w:space="0" w:color="auto"/>
                  </w:tcBorders>
                  <w:vAlign w:val="center"/>
                  <w:hideMark/>
                </w:tcPr>
                <w:p w14:paraId="4B2823D9" w14:textId="77777777" w:rsidR="00FC5566" w:rsidRPr="00FC5566" w:rsidRDefault="00FC5566" w:rsidP="00FC5566">
                  <w:pPr>
                    <w:jc w:val="center"/>
                    <w:rPr>
                      <w:sz w:val="16"/>
                      <w:szCs w:val="16"/>
                    </w:rPr>
                  </w:pPr>
                  <w:r w:rsidRPr="00FC5566">
                    <w:rPr>
                      <w:sz w:val="16"/>
                      <w:szCs w:val="16"/>
                    </w:rPr>
                    <w:t>85</w:t>
                  </w:r>
                </w:p>
              </w:tc>
              <w:tc>
                <w:tcPr>
                  <w:tcW w:w="1126" w:type="dxa"/>
                  <w:tcBorders>
                    <w:top w:val="nil"/>
                    <w:left w:val="single" w:sz="4" w:space="0" w:color="auto"/>
                    <w:bottom w:val="single" w:sz="4" w:space="0" w:color="auto"/>
                    <w:right w:val="single" w:sz="4" w:space="0" w:color="auto"/>
                  </w:tcBorders>
                  <w:vAlign w:val="center"/>
                  <w:hideMark/>
                </w:tcPr>
                <w:p w14:paraId="5DF41BAA" w14:textId="77777777" w:rsidR="00FC5566" w:rsidRPr="00FC5566" w:rsidRDefault="00FC5566" w:rsidP="00FC5566">
                  <w:pPr>
                    <w:jc w:val="center"/>
                    <w:rPr>
                      <w:sz w:val="16"/>
                      <w:szCs w:val="16"/>
                    </w:rPr>
                  </w:pPr>
                  <w:r w:rsidRPr="00FC5566">
                    <w:rPr>
                      <w:sz w:val="16"/>
                      <w:szCs w:val="16"/>
                    </w:rPr>
                    <w:t>100</w:t>
                  </w:r>
                </w:p>
              </w:tc>
              <w:tc>
                <w:tcPr>
                  <w:tcW w:w="1440" w:type="dxa"/>
                  <w:tcBorders>
                    <w:top w:val="nil"/>
                    <w:left w:val="single" w:sz="4" w:space="0" w:color="auto"/>
                    <w:bottom w:val="single" w:sz="4" w:space="0" w:color="auto"/>
                    <w:right w:val="single" w:sz="4" w:space="0" w:color="auto"/>
                  </w:tcBorders>
                  <w:vAlign w:val="center"/>
                  <w:hideMark/>
                </w:tcPr>
                <w:p w14:paraId="78D62ECF" w14:textId="77777777" w:rsidR="00FC5566" w:rsidRPr="00FC5566" w:rsidRDefault="00FC5566" w:rsidP="00FC5566">
                  <w:pPr>
                    <w:jc w:val="center"/>
                    <w:rPr>
                      <w:sz w:val="16"/>
                      <w:szCs w:val="16"/>
                    </w:rPr>
                  </w:pPr>
                  <w:r w:rsidRPr="00FC5566">
                    <w:rPr>
                      <w:sz w:val="16"/>
                      <w:szCs w:val="16"/>
                    </w:rPr>
                    <w:t>115</w:t>
                  </w:r>
                </w:p>
              </w:tc>
              <w:tc>
                <w:tcPr>
                  <w:tcW w:w="1175" w:type="dxa"/>
                  <w:tcBorders>
                    <w:top w:val="nil"/>
                    <w:left w:val="single" w:sz="4" w:space="0" w:color="auto"/>
                    <w:bottom w:val="single" w:sz="4" w:space="0" w:color="auto"/>
                    <w:right w:val="single" w:sz="4" w:space="0" w:color="auto"/>
                  </w:tcBorders>
                  <w:vAlign w:val="center"/>
                  <w:hideMark/>
                </w:tcPr>
                <w:p w14:paraId="4BCEA42C" w14:textId="77777777" w:rsidR="00FC5566" w:rsidRPr="00FC5566" w:rsidRDefault="00FC5566" w:rsidP="00FC5566">
                  <w:pPr>
                    <w:jc w:val="center"/>
                    <w:rPr>
                      <w:sz w:val="16"/>
                      <w:szCs w:val="16"/>
                    </w:rPr>
                  </w:pPr>
                  <w:r w:rsidRPr="00FC5566">
                    <w:rPr>
                      <w:sz w:val="16"/>
                      <w:szCs w:val="16"/>
                    </w:rPr>
                    <w:t>1</w:t>
                  </w:r>
                </w:p>
              </w:tc>
            </w:tr>
            <w:tr w:rsidR="00FC5566" w:rsidRPr="00FC5566" w14:paraId="48C7C906" w14:textId="77777777" w:rsidTr="00B247D5">
              <w:trPr>
                <w:jc w:val="center"/>
              </w:trPr>
              <w:tc>
                <w:tcPr>
                  <w:tcW w:w="1255" w:type="dxa"/>
                  <w:tcBorders>
                    <w:top w:val="single" w:sz="4" w:space="0" w:color="auto"/>
                    <w:left w:val="single" w:sz="4" w:space="0" w:color="auto"/>
                    <w:bottom w:val="nil"/>
                    <w:right w:val="single" w:sz="4" w:space="0" w:color="auto"/>
                  </w:tcBorders>
                  <w:vAlign w:val="center"/>
                  <w:hideMark/>
                </w:tcPr>
                <w:p w14:paraId="47186183" w14:textId="77777777" w:rsidR="00FC5566" w:rsidRPr="00FC5566" w:rsidRDefault="00FC5566" w:rsidP="00FC5566">
                  <w:pPr>
                    <w:jc w:val="center"/>
                    <w:rPr>
                      <w:sz w:val="16"/>
                      <w:szCs w:val="16"/>
                    </w:rPr>
                  </w:pPr>
                  <w:r w:rsidRPr="00FC5566">
                    <w:rPr>
                      <w:sz w:val="16"/>
                      <w:szCs w:val="16"/>
                    </w:rPr>
                    <w:t>1/0</w:t>
                  </w:r>
                </w:p>
              </w:tc>
              <w:tc>
                <w:tcPr>
                  <w:tcW w:w="1170" w:type="dxa"/>
                  <w:tcBorders>
                    <w:top w:val="single" w:sz="4" w:space="0" w:color="auto"/>
                    <w:left w:val="single" w:sz="4" w:space="0" w:color="auto"/>
                    <w:bottom w:val="nil"/>
                    <w:right w:val="single" w:sz="4" w:space="0" w:color="auto"/>
                  </w:tcBorders>
                  <w:vAlign w:val="center"/>
                  <w:hideMark/>
                </w:tcPr>
                <w:p w14:paraId="0D61A7A6" w14:textId="77777777" w:rsidR="00FC5566" w:rsidRPr="00FC5566" w:rsidRDefault="00FC5566" w:rsidP="00FC5566">
                  <w:pPr>
                    <w:jc w:val="center"/>
                    <w:rPr>
                      <w:sz w:val="16"/>
                      <w:szCs w:val="16"/>
                    </w:rPr>
                  </w:pPr>
                  <w:r w:rsidRPr="00FC5566">
                    <w:rPr>
                      <w:sz w:val="16"/>
                      <w:szCs w:val="16"/>
                    </w:rPr>
                    <w:t>125</w:t>
                  </w:r>
                </w:p>
              </w:tc>
              <w:tc>
                <w:tcPr>
                  <w:tcW w:w="1260" w:type="dxa"/>
                  <w:tcBorders>
                    <w:top w:val="single" w:sz="4" w:space="0" w:color="auto"/>
                    <w:left w:val="single" w:sz="4" w:space="0" w:color="auto"/>
                    <w:bottom w:val="nil"/>
                    <w:right w:val="single" w:sz="4" w:space="0" w:color="auto"/>
                  </w:tcBorders>
                  <w:vAlign w:val="center"/>
                  <w:hideMark/>
                </w:tcPr>
                <w:p w14:paraId="76694299" w14:textId="77777777" w:rsidR="00FC5566" w:rsidRPr="00FC5566" w:rsidRDefault="00FC5566" w:rsidP="00FC5566">
                  <w:pPr>
                    <w:jc w:val="center"/>
                    <w:rPr>
                      <w:sz w:val="16"/>
                      <w:szCs w:val="16"/>
                    </w:rPr>
                  </w:pPr>
                  <w:r w:rsidRPr="00FC5566">
                    <w:rPr>
                      <w:sz w:val="16"/>
                      <w:szCs w:val="16"/>
                    </w:rPr>
                    <w:t>150</w:t>
                  </w:r>
                </w:p>
              </w:tc>
              <w:tc>
                <w:tcPr>
                  <w:tcW w:w="1440" w:type="dxa"/>
                  <w:tcBorders>
                    <w:top w:val="single" w:sz="4" w:space="0" w:color="auto"/>
                    <w:left w:val="single" w:sz="4" w:space="0" w:color="auto"/>
                    <w:bottom w:val="nil"/>
                    <w:right w:val="single" w:sz="4" w:space="0" w:color="auto"/>
                  </w:tcBorders>
                  <w:vAlign w:val="center"/>
                  <w:hideMark/>
                </w:tcPr>
                <w:p w14:paraId="3F2CE9BC" w14:textId="77777777" w:rsidR="00FC5566" w:rsidRPr="00FC5566" w:rsidRDefault="00FC5566" w:rsidP="00FC5566">
                  <w:pPr>
                    <w:jc w:val="center"/>
                    <w:rPr>
                      <w:sz w:val="16"/>
                      <w:szCs w:val="16"/>
                    </w:rPr>
                  </w:pPr>
                  <w:r w:rsidRPr="00FC5566">
                    <w:rPr>
                      <w:sz w:val="16"/>
                      <w:szCs w:val="16"/>
                    </w:rPr>
                    <w:t>170</w:t>
                  </w:r>
                </w:p>
              </w:tc>
              <w:tc>
                <w:tcPr>
                  <w:tcW w:w="1124" w:type="dxa"/>
                  <w:tcBorders>
                    <w:top w:val="single" w:sz="4" w:space="0" w:color="auto"/>
                    <w:left w:val="single" w:sz="4" w:space="0" w:color="auto"/>
                    <w:bottom w:val="nil"/>
                    <w:right w:val="single" w:sz="4" w:space="0" w:color="auto"/>
                  </w:tcBorders>
                  <w:vAlign w:val="center"/>
                  <w:hideMark/>
                </w:tcPr>
                <w:p w14:paraId="390F9868" w14:textId="77777777" w:rsidR="00FC5566" w:rsidRPr="00FC5566" w:rsidRDefault="00FC5566" w:rsidP="00FC5566">
                  <w:pPr>
                    <w:jc w:val="center"/>
                    <w:rPr>
                      <w:sz w:val="16"/>
                      <w:szCs w:val="16"/>
                    </w:rPr>
                  </w:pPr>
                  <w:r w:rsidRPr="00FC5566">
                    <w:rPr>
                      <w:sz w:val="16"/>
                      <w:szCs w:val="16"/>
                    </w:rPr>
                    <w:t>100</w:t>
                  </w:r>
                </w:p>
              </w:tc>
              <w:tc>
                <w:tcPr>
                  <w:tcW w:w="1126" w:type="dxa"/>
                  <w:tcBorders>
                    <w:top w:val="single" w:sz="4" w:space="0" w:color="auto"/>
                    <w:left w:val="single" w:sz="4" w:space="0" w:color="auto"/>
                    <w:bottom w:val="nil"/>
                    <w:right w:val="single" w:sz="4" w:space="0" w:color="auto"/>
                  </w:tcBorders>
                  <w:vAlign w:val="center"/>
                  <w:hideMark/>
                </w:tcPr>
                <w:p w14:paraId="26568FB8" w14:textId="77777777" w:rsidR="00FC5566" w:rsidRPr="00FC5566" w:rsidRDefault="00FC5566" w:rsidP="00FC5566">
                  <w:pPr>
                    <w:jc w:val="center"/>
                    <w:rPr>
                      <w:sz w:val="16"/>
                      <w:szCs w:val="16"/>
                    </w:rPr>
                  </w:pPr>
                  <w:r w:rsidRPr="00FC5566">
                    <w:rPr>
                      <w:sz w:val="16"/>
                      <w:szCs w:val="16"/>
                    </w:rPr>
                    <w:t>120</w:t>
                  </w:r>
                </w:p>
              </w:tc>
              <w:tc>
                <w:tcPr>
                  <w:tcW w:w="1440" w:type="dxa"/>
                  <w:tcBorders>
                    <w:top w:val="single" w:sz="4" w:space="0" w:color="auto"/>
                    <w:left w:val="single" w:sz="4" w:space="0" w:color="auto"/>
                    <w:bottom w:val="nil"/>
                    <w:right w:val="single" w:sz="4" w:space="0" w:color="auto"/>
                  </w:tcBorders>
                  <w:vAlign w:val="center"/>
                  <w:hideMark/>
                </w:tcPr>
                <w:p w14:paraId="61D459B0" w14:textId="77777777" w:rsidR="00FC5566" w:rsidRPr="00FC5566" w:rsidRDefault="00FC5566" w:rsidP="00FC5566">
                  <w:pPr>
                    <w:jc w:val="center"/>
                    <w:rPr>
                      <w:sz w:val="16"/>
                      <w:szCs w:val="16"/>
                    </w:rPr>
                  </w:pPr>
                  <w:r w:rsidRPr="00FC5566">
                    <w:rPr>
                      <w:sz w:val="16"/>
                      <w:szCs w:val="16"/>
                    </w:rPr>
                    <w:t>135</w:t>
                  </w:r>
                </w:p>
              </w:tc>
              <w:tc>
                <w:tcPr>
                  <w:tcW w:w="1175" w:type="dxa"/>
                  <w:tcBorders>
                    <w:top w:val="single" w:sz="4" w:space="0" w:color="auto"/>
                    <w:left w:val="single" w:sz="4" w:space="0" w:color="auto"/>
                    <w:bottom w:val="nil"/>
                    <w:right w:val="single" w:sz="4" w:space="0" w:color="auto"/>
                  </w:tcBorders>
                  <w:vAlign w:val="center"/>
                  <w:hideMark/>
                </w:tcPr>
                <w:p w14:paraId="2A819898" w14:textId="77777777" w:rsidR="00FC5566" w:rsidRPr="00FC5566" w:rsidRDefault="00FC5566" w:rsidP="00FC5566">
                  <w:pPr>
                    <w:jc w:val="center"/>
                    <w:rPr>
                      <w:sz w:val="16"/>
                      <w:szCs w:val="16"/>
                    </w:rPr>
                  </w:pPr>
                  <w:r w:rsidRPr="00FC5566">
                    <w:rPr>
                      <w:sz w:val="16"/>
                      <w:szCs w:val="16"/>
                    </w:rPr>
                    <w:t>1/0</w:t>
                  </w:r>
                </w:p>
              </w:tc>
            </w:tr>
            <w:tr w:rsidR="00FC5566" w:rsidRPr="00FC5566" w14:paraId="5CC20B01" w14:textId="77777777" w:rsidTr="00B247D5">
              <w:trPr>
                <w:jc w:val="center"/>
              </w:trPr>
              <w:tc>
                <w:tcPr>
                  <w:tcW w:w="1255" w:type="dxa"/>
                  <w:tcBorders>
                    <w:top w:val="nil"/>
                    <w:left w:val="single" w:sz="4" w:space="0" w:color="auto"/>
                    <w:bottom w:val="nil"/>
                    <w:right w:val="single" w:sz="4" w:space="0" w:color="auto"/>
                  </w:tcBorders>
                  <w:vAlign w:val="center"/>
                  <w:hideMark/>
                </w:tcPr>
                <w:p w14:paraId="3377C1CC" w14:textId="77777777" w:rsidR="00FC5566" w:rsidRPr="00FC5566" w:rsidRDefault="00FC5566" w:rsidP="00FC5566">
                  <w:pPr>
                    <w:jc w:val="center"/>
                    <w:rPr>
                      <w:sz w:val="16"/>
                      <w:szCs w:val="16"/>
                    </w:rPr>
                  </w:pPr>
                  <w:r w:rsidRPr="00FC5566">
                    <w:rPr>
                      <w:sz w:val="16"/>
                      <w:szCs w:val="16"/>
                    </w:rPr>
                    <w:t>2/0</w:t>
                  </w:r>
                </w:p>
              </w:tc>
              <w:tc>
                <w:tcPr>
                  <w:tcW w:w="1170" w:type="dxa"/>
                  <w:tcBorders>
                    <w:top w:val="nil"/>
                    <w:left w:val="single" w:sz="4" w:space="0" w:color="auto"/>
                    <w:bottom w:val="nil"/>
                    <w:right w:val="single" w:sz="4" w:space="0" w:color="auto"/>
                  </w:tcBorders>
                  <w:vAlign w:val="center"/>
                  <w:hideMark/>
                </w:tcPr>
                <w:p w14:paraId="1452880D" w14:textId="77777777" w:rsidR="00FC5566" w:rsidRPr="00FC5566" w:rsidRDefault="00FC5566" w:rsidP="00FC5566">
                  <w:pPr>
                    <w:jc w:val="center"/>
                    <w:rPr>
                      <w:sz w:val="16"/>
                      <w:szCs w:val="16"/>
                    </w:rPr>
                  </w:pPr>
                  <w:r w:rsidRPr="00FC5566">
                    <w:rPr>
                      <w:sz w:val="16"/>
                      <w:szCs w:val="16"/>
                    </w:rPr>
                    <w:t>145</w:t>
                  </w:r>
                </w:p>
              </w:tc>
              <w:tc>
                <w:tcPr>
                  <w:tcW w:w="1260" w:type="dxa"/>
                  <w:tcBorders>
                    <w:top w:val="nil"/>
                    <w:left w:val="single" w:sz="4" w:space="0" w:color="auto"/>
                    <w:bottom w:val="nil"/>
                    <w:right w:val="single" w:sz="4" w:space="0" w:color="auto"/>
                  </w:tcBorders>
                  <w:vAlign w:val="center"/>
                  <w:hideMark/>
                </w:tcPr>
                <w:p w14:paraId="3D3A2580" w14:textId="77777777" w:rsidR="00FC5566" w:rsidRPr="00FC5566" w:rsidRDefault="00FC5566" w:rsidP="00FC5566">
                  <w:pPr>
                    <w:jc w:val="center"/>
                    <w:rPr>
                      <w:sz w:val="16"/>
                      <w:szCs w:val="16"/>
                    </w:rPr>
                  </w:pPr>
                  <w:r w:rsidRPr="00FC5566">
                    <w:rPr>
                      <w:sz w:val="16"/>
                      <w:szCs w:val="16"/>
                    </w:rPr>
                    <w:t>175</w:t>
                  </w:r>
                </w:p>
              </w:tc>
              <w:tc>
                <w:tcPr>
                  <w:tcW w:w="1440" w:type="dxa"/>
                  <w:tcBorders>
                    <w:top w:val="nil"/>
                    <w:left w:val="single" w:sz="4" w:space="0" w:color="auto"/>
                    <w:bottom w:val="nil"/>
                    <w:right w:val="single" w:sz="4" w:space="0" w:color="auto"/>
                  </w:tcBorders>
                  <w:vAlign w:val="center"/>
                  <w:hideMark/>
                </w:tcPr>
                <w:p w14:paraId="7ABD83FA" w14:textId="77777777" w:rsidR="00FC5566" w:rsidRPr="00FC5566" w:rsidRDefault="00FC5566" w:rsidP="00FC5566">
                  <w:pPr>
                    <w:jc w:val="center"/>
                    <w:rPr>
                      <w:sz w:val="16"/>
                      <w:szCs w:val="16"/>
                    </w:rPr>
                  </w:pPr>
                  <w:r w:rsidRPr="00FC5566">
                    <w:rPr>
                      <w:sz w:val="16"/>
                      <w:szCs w:val="16"/>
                    </w:rPr>
                    <w:t>195</w:t>
                  </w:r>
                </w:p>
              </w:tc>
              <w:tc>
                <w:tcPr>
                  <w:tcW w:w="1124" w:type="dxa"/>
                  <w:tcBorders>
                    <w:top w:val="nil"/>
                    <w:left w:val="single" w:sz="4" w:space="0" w:color="auto"/>
                    <w:bottom w:val="nil"/>
                    <w:right w:val="single" w:sz="4" w:space="0" w:color="auto"/>
                  </w:tcBorders>
                  <w:vAlign w:val="center"/>
                  <w:hideMark/>
                </w:tcPr>
                <w:p w14:paraId="537CFDEA" w14:textId="77777777" w:rsidR="00FC5566" w:rsidRPr="00FC5566" w:rsidRDefault="00FC5566" w:rsidP="00FC5566">
                  <w:pPr>
                    <w:jc w:val="center"/>
                    <w:rPr>
                      <w:sz w:val="16"/>
                      <w:szCs w:val="16"/>
                    </w:rPr>
                  </w:pPr>
                  <w:r w:rsidRPr="00FC5566">
                    <w:rPr>
                      <w:sz w:val="16"/>
                      <w:szCs w:val="16"/>
                    </w:rPr>
                    <w:t>115</w:t>
                  </w:r>
                </w:p>
              </w:tc>
              <w:tc>
                <w:tcPr>
                  <w:tcW w:w="1126" w:type="dxa"/>
                  <w:tcBorders>
                    <w:top w:val="nil"/>
                    <w:left w:val="single" w:sz="4" w:space="0" w:color="auto"/>
                    <w:bottom w:val="nil"/>
                    <w:right w:val="single" w:sz="4" w:space="0" w:color="auto"/>
                  </w:tcBorders>
                  <w:vAlign w:val="center"/>
                  <w:hideMark/>
                </w:tcPr>
                <w:p w14:paraId="7D25C9A7" w14:textId="77777777" w:rsidR="00FC5566" w:rsidRPr="00FC5566" w:rsidRDefault="00FC5566" w:rsidP="00FC5566">
                  <w:pPr>
                    <w:jc w:val="center"/>
                    <w:rPr>
                      <w:sz w:val="16"/>
                      <w:szCs w:val="16"/>
                    </w:rPr>
                  </w:pPr>
                  <w:r w:rsidRPr="00FC5566">
                    <w:rPr>
                      <w:sz w:val="16"/>
                      <w:szCs w:val="16"/>
                    </w:rPr>
                    <w:t>135</w:t>
                  </w:r>
                </w:p>
              </w:tc>
              <w:tc>
                <w:tcPr>
                  <w:tcW w:w="1440" w:type="dxa"/>
                  <w:tcBorders>
                    <w:top w:val="nil"/>
                    <w:left w:val="single" w:sz="4" w:space="0" w:color="auto"/>
                    <w:bottom w:val="nil"/>
                    <w:right w:val="single" w:sz="4" w:space="0" w:color="auto"/>
                  </w:tcBorders>
                  <w:vAlign w:val="center"/>
                  <w:hideMark/>
                </w:tcPr>
                <w:p w14:paraId="2DB60F18" w14:textId="77777777" w:rsidR="00FC5566" w:rsidRPr="00FC5566" w:rsidRDefault="00FC5566" w:rsidP="00FC5566">
                  <w:pPr>
                    <w:jc w:val="center"/>
                    <w:rPr>
                      <w:sz w:val="16"/>
                      <w:szCs w:val="16"/>
                    </w:rPr>
                  </w:pPr>
                  <w:r w:rsidRPr="00FC5566">
                    <w:rPr>
                      <w:sz w:val="16"/>
                      <w:szCs w:val="16"/>
                    </w:rPr>
                    <w:t>150</w:t>
                  </w:r>
                </w:p>
              </w:tc>
              <w:tc>
                <w:tcPr>
                  <w:tcW w:w="1175" w:type="dxa"/>
                  <w:tcBorders>
                    <w:top w:val="nil"/>
                    <w:left w:val="single" w:sz="4" w:space="0" w:color="auto"/>
                    <w:bottom w:val="nil"/>
                    <w:right w:val="single" w:sz="4" w:space="0" w:color="auto"/>
                  </w:tcBorders>
                  <w:vAlign w:val="center"/>
                  <w:hideMark/>
                </w:tcPr>
                <w:p w14:paraId="3C6DD646" w14:textId="77777777" w:rsidR="00FC5566" w:rsidRPr="00FC5566" w:rsidRDefault="00FC5566" w:rsidP="00FC5566">
                  <w:pPr>
                    <w:jc w:val="center"/>
                    <w:rPr>
                      <w:sz w:val="16"/>
                      <w:szCs w:val="16"/>
                    </w:rPr>
                  </w:pPr>
                  <w:r w:rsidRPr="00FC5566">
                    <w:rPr>
                      <w:sz w:val="16"/>
                      <w:szCs w:val="16"/>
                    </w:rPr>
                    <w:t>2/0</w:t>
                  </w:r>
                </w:p>
              </w:tc>
            </w:tr>
            <w:tr w:rsidR="00FC5566" w:rsidRPr="00FC5566" w14:paraId="3F9A423D" w14:textId="77777777" w:rsidTr="00B247D5">
              <w:trPr>
                <w:jc w:val="center"/>
              </w:trPr>
              <w:tc>
                <w:tcPr>
                  <w:tcW w:w="1255" w:type="dxa"/>
                  <w:tcBorders>
                    <w:top w:val="nil"/>
                    <w:left w:val="single" w:sz="4" w:space="0" w:color="auto"/>
                    <w:bottom w:val="nil"/>
                    <w:right w:val="single" w:sz="4" w:space="0" w:color="auto"/>
                  </w:tcBorders>
                  <w:vAlign w:val="center"/>
                  <w:hideMark/>
                </w:tcPr>
                <w:p w14:paraId="1B2CFB75" w14:textId="77777777" w:rsidR="00FC5566" w:rsidRPr="00FC5566" w:rsidRDefault="00FC5566" w:rsidP="00FC5566">
                  <w:pPr>
                    <w:jc w:val="center"/>
                    <w:rPr>
                      <w:sz w:val="16"/>
                      <w:szCs w:val="16"/>
                    </w:rPr>
                  </w:pPr>
                  <w:r w:rsidRPr="00FC5566">
                    <w:rPr>
                      <w:sz w:val="16"/>
                      <w:szCs w:val="16"/>
                    </w:rPr>
                    <w:t>3/0</w:t>
                  </w:r>
                </w:p>
              </w:tc>
              <w:tc>
                <w:tcPr>
                  <w:tcW w:w="1170" w:type="dxa"/>
                  <w:tcBorders>
                    <w:top w:val="nil"/>
                    <w:left w:val="single" w:sz="4" w:space="0" w:color="auto"/>
                    <w:bottom w:val="nil"/>
                    <w:right w:val="single" w:sz="4" w:space="0" w:color="auto"/>
                  </w:tcBorders>
                  <w:vAlign w:val="center"/>
                  <w:hideMark/>
                </w:tcPr>
                <w:p w14:paraId="27B78608" w14:textId="77777777" w:rsidR="00FC5566" w:rsidRPr="00FC5566" w:rsidRDefault="00FC5566" w:rsidP="00FC5566">
                  <w:pPr>
                    <w:jc w:val="center"/>
                    <w:rPr>
                      <w:sz w:val="16"/>
                      <w:szCs w:val="16"/>
                    </w:rPr>
                  </w:pPr>
                  <w:r w:rsidRPr="00FC5566">
                    <w:rPr>
                      <w:sz w:val="16"/>
                      <w:szCs w:val="16"/>
                    </w:rPr>
                    <w:t>165</w:t>
                  </w:r>
                </w:p>
              </w:tc>
              <w:tc>
                <w:tcPr>
                  <w:tcW w:w="1260" w:type="dxa"/>
                  <w:tcBorders>
                    <w:top w:val="nil"/>
                    <w:left w:val="single" w:sz="4" w:space="0" w:color="auto"/>
                    <w:bottom w:val="nil"/>
                    <w:right w:val="single" w:sz="4" w:space="0" w:color="auto"/>
                  </w:tcBorders>
                  <w:vAlign w:val="center"/>
                  <w:hideMark/>
                </w:tcPr>
                <w:p w14:paraId="469DA22B" w14:textId="77777777" w:rsidR="00FC5566" w:rsidRPr="00FC5566" w:rsidRDefault="00FC5566" w:rsidP="00FC5566">
                  <w:pPr>
                    <w:jc w:val="center"/>
                    <w:rPr>
                      <w:sz w:val="16"/>
                      <w:szCs w:val="16"/>
                    </w:rPr>
                  </w:pPr>
                  <w:r w:rsidRPr="00FC5566">
                    <w:rPr>
                      <w:sz w:val="16"/>
                      <w:szCs w:val="16"/>
                    </w:rPr>
                    <w:t>200</w:t>
                  </w:r>
                </w:p>
              </w:tc>
              <w:tc>
                <w:tcPr>
                  <w:tcW w:w="1440" w:type="dxa"/>
                  <w:tcBorders>
                    <w:top w:val="nil"/>
                    <w:left w:val="single" w:sz="4" w:space="0" w:color="auto"/>
                    <w:bottom w:val="nil"/>
                    <w:right w:val="single" w:sz="4" w:space="0" w:color="auto"/>
                  </w:tcBorders>
                  <w:vAlign w:val="center"/>
                  <w:hideMark/>
                </w:tcPr>
                <w:p w14:paraId="28632D7B" w14:textId="77777777" w:rsidR="00FC5566" w:rsidRPr="00FC5566" w:rsidRDefault="00FC5566" w:rsidP="00FC5566">
                  <w:pPr>
                    <w:jc w:val="center"/>
                    <w:rPr>
                      <w:sz w:val="16"/>
                      <w:szCs w:val="16"/>
                    </w:rPr>
                  </w:pPr>
                  <w:r w:rsidRPr="00FC5566">
                    <w:rPr>
                      <w:sz w:val="16"/>
                      <w:szCs w:val="16"/>
                    </w:rPr>
                    <w:t>225</w:t>
                  </w:r>
                </w:p>
              </w:tc>
              <w:tc>
                <w:tcPr>
                  <w:tcW w:w="1124" w:type="dxa"/>
                  <w:tcBorders>
                    <w:top w:val="nil"/>
                    <w:left w:val="single" w:sz="4" w:space="0" w:color="auto"/>
                    <w:bottom w:val="nil"/>
                    <w:right w:val="single" w:sz="4" w:space="0" w:color="auto"/>
                  </w:tcBorders>
                  <w:vAlign w:val="center"/>
                  <w:hideMark/>
                </w:tcPr>
                <w:p w14:paraId="7FD483B3" w14:textId="77777777" w:rsidR="00FC5566" w:rsidRPr="00FC5566" w:rsidRDefault="00FC5566" w:rsidP="00FC5566">
                  <w:pPr>
                    <w:jc w:val="center"/>
                    <w:rPr>
                      <w:sz w:val="16"/>
                      <w:szCs w:val="16"/>
                    </w:rPr>
                  </w:pPr>
                  <w:r w:rsidRPr="00FC5566">
                    <w:rPr>
                      <w:sz w:val="16"/>
                      <w:szCs w:val="16"/>
                    </w:rPr>
                    <w:t>130</w:t>
                  </w:r>
                </w:p>
              </w:tc>
              <w:tc>
                <w:tcPr>
                  <w:tcW w:w="1126" w:type="dxa"/>
                  <w:tcBorders>
                    <w:top w:val="nil"/>
                    <w:left w:val="single" w:sz="4" w:space="0" w:color="auto"/>
                    <w:bottom w:val="nil"/>
                    <w:right w:val="single" w:sz="4" w:space="0" w:color="auto"/>
                  </w:tcBorders>
                  <w:vAlign w:val="center"/>
                  <w:hideMark/>
                </w:tcPr>
                <w:p w14:paraId="16CD56D3" w14:textId="77777777" w:rsidR="00FC5566" w:rsidRPr="00FC5566" w:rsidRDefault="00FC5566" w:rsidP="00FC5566">
                  <w:pPr>
                    <w:jc w:val="center"/>
                    <w:rPr>
                      <w:sz w:val="16"/>
                      <w:szCs w:val="16"/>
                    </w:rPr>
                  </w:pPr>
                  <w:r w:rsidRPr="00FC5566">
                    <w:rPr>
                      <w:sz w:val="16"/>
                      <w:szCs w:val="16"/>
                    </w:rPr>
                    <w:t>155</w:t>
                  </w:r>
                </w:p>
              </w:tc>
              <w:tc>
                <w:tcPr>
                  <w:tcW w:w="1440" w:type="dxa"/>
                  <w:tcBorders>
                    <w:top w:val="nil"/>
                    <w:left w:val="single" w:sz="4" w:space="0" w:color="auto"/>
                    <w:bottom w:val="nil"/>
                    <w:right w:val="single" w:sz="4" w:space="0" w:color="auto"/>
                  </w:tcBorders>
                  <w:vAlign w:val="center"/>
                  <w:hideMark/>
                </w:tcPr>
                <w:p w14:paraId="5E88AC99" w14:textId="77777777" w:rsidR="00FC5566" w:rsidRPr="00FC5566" w:rsidRDefault="00FC5566" w:rsidP="00FC5566">
                  <w:pPr>
                    <w:jc w:val="center"/>
                    <w:rPr>
                      <w:sz w:val="16"/>
                      <w:szCs w:val="16"/>
                    </w:rPr>
                  </w:pPr>
                  <w:r w:rsidRPr="00FC5566">
                    <w:rPr>
                      <w:sz w:val="16"/>
                      <w:szCs w:val="16"/>
                    </w:rPr>
                    <w:t>175</w:t>
                  </w:r>
                </w:p>
              </w:tc>
              <w:tc>
                <w:tcPr>
                  <w:tcW w:w="1175" w:type="dxa"/>
                  <w:tcBorders>
                    <w:top w:val="nil"/>
                    <w:left w:val="single" w:sz="4" w:space="0" w:color="auto"/>
                    <w:bottom w:val="nil"/>
                    <w:right w:val="single" w:sz="4" w:space="0" w:color="auto"/>
                  </w:tcBorders>
                  <w:vAlign w:val="center"/>
                  <w:hideMark/>
                </w:tcPr>
                <w:p w14:paraId="3C526284" w14:textId="77777777" w:rsidR="00FC5566" w:rsidRPr="00FC5566" w:rsidRDefault="00FC5566" w:rsidP="00FC5566">
                  <w:pPr>
                    <w:jc w:val="center"/>
                    <w:rPr>
                      <w:sz w:val="16"/>
                      <w:szCs w:val="16"/>
                    </w:rPr>
                  </w:pPr>
                  <w:r w:rsidRPr="00FC5566">
                    <w:rPr>
                      <w:sz w:val="16"/>
                      <w:szCs w:val="16"/>
                    </w:rPr>
                    <w:t>3/0</w:t>
                  </w:r>
                </w:p>
              </w:tc>
            </w:tr>
            <w:tr w:rsidR="00FC5566" w:rsidRPr="00FC5566" w14:paraId="7F5E970C" w14:textId="77777777" w:rsidTr="00B247D5">
              <w:trPr>
                <w:jc w:val="center"/>
              </w:trPr>
              <w:tc>
                <w:tcPr>
                  <w:tcW w:w="1255" w:type="dxa"/>
                  <w:tcBorders>
                    <w:top w:val="nil"/>
                    <w:left w:val="single" w:sz="4" w:space="0" w:color="auto"/>
                    <w:bottom w:val="single" w:sz="4" w:space="0" w:color="auto"/>
                    <w:right w:val="single" w:sz="4" w:space="0" w:color="auto"/>
                  </w:tcBorders>
                  <w:vAlign w:val="center"/>
                  <w:hideMark/>
                </w:tcPr>
                <w:p w14:paraId="1BEBE14C" w14:textId="77777777" w:rsidR="00FC5566" w:rsidRPr="00FC5566" w:rsidRDefault="00FC5566" w:rsidP="00FC5566">
                  <w:pPr>
                    <w:jc w:val="center"/>
                    <w:rPr>
                      <w:sz w:val="16"/>
                      <w:szCs w:val="16"/>
                    </w:rPr>
                  </w:pPr>
                  <w:r w:rsidRPr="00FC5566">
                    <w:rPr>
                      <w:sz w:val="16"/>
                      <w:szCs w:val="16"/>
                    </w:rPr>
                    <w:t>4/0</w:t>
                  </w:r>
                </w:p>
              </w:tc>
              <w:tc>
                <w:tcPr>
                  <w:tcW w:w="1170" w:type="dxa"/>
                  <w:tcBorders>
                    <w:top w:val="nil"/>
                    <w:left w:val="single" w:sz="4" w:space="0" w:color="auto"/>
                    <w:bottom w:val="single" w:sz="4" w:space="0" w:color="auto"/>
                    <w:right w:val="single" w:sz="4" w:space="0" w:color="auto"/>
                  </w:tcBorders>
                  <w:vAlign w:val="center"/>
                  <w:hideMark/>
                </w:tcPr>
                <w:p w14:paraId="432EF0DC" w14:textId="77777777" w:rsidR="00FC5566" w:rsidRPr="00FC5566" w:rsidRDefault="00FC5566" w:rsidP="00FC5566">
                  <w:pPr>
                    <w:jc w:val="center"/>
                    <w:rPr>
                      <w:sz w:val="16"/>
                      <w:szCs w:val="16"/>
                    </w:rPr>
                  </w:pPr>
                  <w:r w:rsidRPr="00FC5566">
                    <w:rPr>
                      <w:sz w:val="16"/>
                      <w:szCs w:val="16"/>
                    </w:rPr>
                    <w:t>195</w:t>
                  </w:r>
                </w:p>
              </w:tc>
              <w:tc>
                <w:tcPr>
                  <w:tcW w:w="1260" w:type="dxa"/>
                  <w:tcBorders>
                    <w:top w:val="nil"/>
                    <w:left w:val="single" w:sz="4" w:space="0" w:color="auto"/>
                    <w:bottom w:val="single" w:sz="4" w:space="0" w:color="auto"/>
                    <w:right w:val="single" w:sz="4" w:space="0" w:color="auto"/>
                  </w:tcBorders>
                  <w:vAlign w:val="center"/>
                  <w:hideMark/>
                </w:tcPr>
                <w:p w14:paraId="7ADAF000" w14:textId="77777777" w:rsidR="00FC5566" w:rsidRPr="00FC5566" w:rsidRDefault="00FC5566" w:rsidP="00FC5566">
                  <w:pPr>
                    <w:jc w:val="center"/>
                    <w:rPr>
                      <w:sz w:val="16"/>
                      <w:szCs w:val="16"/>
                    </w:rPr>
                  </w:pPr>
                  <w:r w:rsidRPr="00FC5566">
                    <w:rPr>
                      <w:sz w:val="16"/>
                      <w:szCs w:val="16"/>
                    </w:rPr>
                    <w:t>230</w:t>
                  </w:r>
                </w:p>
              </w:tc>
              <w:tc>
                <w:tcPr>
                  <w:tcW w:w="1440" w:type="dxa"/>
                  <w:tcBorders>
                    <w:top w:val="nil"/>
                    <w:left w:val="single" w:sz="4" w:space="0" w:color="auto"/>
                    <w:bottom w:val="single" w:sz="4" w:space="0" w:color="auto"/>
                    <w:right w:val="single" w:sz="4" w:space="0" w:color="auto"/>
                  </w:tcBorders>
                  <w:vAlign w:val="center"/>
                  <w:hideMark/>
                </w:tcPr>
                <w:p w14:paraId="3C36262A" w14:textId="77777777" w:rsidR="00FC5566" w:rsidRPr="00FC5566" w:rsidRDefault="00FC5566" w:rsidP="00FC5566">
                  <w:pPr>
                    <w:jc w:val="center"/>
                    <w:rPr>
                      <w:sz w:val="16"/>
                      <w:szCs w:val="16"/>
                    </w:rPr>
                  </w:pPr>
                  <w:r w:rsidRPr="00FC5566">
                    <w:rPr>
                      <w:sz w:val="16"/>
                      <w:szCs w:val="16"/>
                    </w:rPr>
                    <w:t>260</w:t>
                  </w:r>
                </w:p>
              </w:tc>
              <w:tc>
                <w:tcPr>
                  <w:tcW w:w="1124" w:type="dxa"/>
                  <w:tcBorders>
                    <w:top w:val="nil"/>
                    <w:left w:val="single" w:sz="4" w:space="0" w:color="auto"/>
                    <w:bottom w:val="single" w:sz="4" w:space="0" w:color="auto"/>
                    <w:right w:val="single" w:sz="4" w:space="0" w:color="auto"/>
                  </w:tcBorders>
                  <w:vAlign w:val="center"/>
                  <w:hideMark/>
                </w:tcPr>
                <w:p w14:paraId="0462DDF9" w14:textId="77777777" w:rsidR="00FC5566" w:rsidRPr="00FC5566" w:rsidRDefault="00FC5566" w:rsidP="00FC5566">
                  <w:pPr>
                    <w:jc w:val="center"/>
                    <w:rPr>
                      <w:sz w:val="16"/>
                      <w:szCs w:val="16"/>
                    </w:rPr>
                  </w:pPr>
                  <w:r w:rsidRPr="00FC5566">
                    <w:rPr>
                      <w:sz w:val="16"/>
                      <w:szCs w:val="16"/>
                    </w:rPr>
                    <w:t>150</w:t>
                  </w:r>
                </w:p>
              </w:tc>
              <w:tc>
                <w:tcPr>
                  <w:tcW w:w="1126" w:type="dxa"/>
                  <w:tcBorders>
                    <w:top w:val="nil"/>
                    <w:left w:val="single" w:sz="4" w:space="0" w:color="auto"/>
                    <w:bottom w:val="single" w:sz="4" w:space="0" w:color="auto"/>
                    <w:right w:val="single" w:sz="4" w:space="0" w:color="auto"/>
                  </w:tcBorders>
                  <w:vAlign w:val="center"/>
                  <w:hideMark/>
                </w:tcPr>
                <w:p w14:paraId="5FEA3C39" w14:textId="77777777" w:rsidR="00FC5566" w:rsidRPr="00FC5566" w:rsidRDefault="00FC5566" w:rsidP="00FC5566">
                  <w:pPr>
                    <w:jc w:val="center"/>
                    <w:rPr>
                      <w:sz w:val="16"/>
                      <w:szCs w:val="16"/>
                    </w:rPr>
                  </w:pPr>
                  <w:r w:rsidRPr="00FC5566">
                    <w:rPr>
                      <w:sz w:val="16"/>
                      <w:szCs w:val="16"/>
                    </w:rPr>
                    <w:t>180</w:t>
                  </w:r>
                </w:p>
              </w:tc>
              <w:tc>
                <w:tcPr>
                  <w:tcW w:w="1440" w:type="dxa"/>
                  <w:tcBorders>
                    <w:top w:val="nil"/>
                    <w:left w:val="single" w:sz="4" w:space="0" w:color="auto"/>
                    <w:bottom w:val="single" w:sz="4" w:space="0" w:color="auto"/>
                    <w:right w:val="single" w:sz="4" w:space="0" w:color="auto"/>
                  </w:tcBorders>
                  <w:vAlign w:val="center"/>
                  <w:hideMark/>
                </w:tcPr>
                <w:p w14:paraId="38153B56" w14:textId="77777777" w:rsidR="00FC5566" w:rsidRPr="00FC5566" w:rsidRDefault="00FC5566" w:rsidP="00FC5566">
                  <w:pPr>
                    <w:jc w:val="center"/>
                    <w:rPr>
                      <w:sz w:val="16"/>
                      <w:szCs w:val="16"/>
                    </w:rPr>
                  </w:pPr>
                  <w:r w:rsidRPr="00FC5566">
                    <w:rPr>
                      <w:sz w:val="16"/>
                      <w:szCs w:val="16"/>
                    </w:rPr>
                    <w:t>205</w:t>
                  </w:r>
                </w:p>
              </w:tc>
              <w:tc>
                <w:tcPr>
                  <w:tcW w:w="1175" w:type="dxa"/>
                  <w:tcBorders>
                    <w:top w:val="nil"/>
                    <w:left w:val="single" w:sz="4" w:space="0" w:color="auto"/>
                    <w:bottom w:val="single" w:sz="4" w:space="0" w:color="auto"/>
                    <w:right w:val="single" w:sz="4" w:space="0" w:color="auto"/>
                  </w:tcBorders>
                  <w:vAlign w:val="center"/>
                  <w:hideMark/>
                </w:tcPr>
                <w:p w14:paraId="219229E9" w14:textId="77777777" w:rsidR="00FC5566" w:rsidRPr="00FC5566" w:rsidRDefault="00FC5566" w:rsidP="00FC5566">
                  <w:pPr>
                    <w:jc w:val="center"/>
                    <w:rPr>
                      <w:sz w:val="16"/>
                      <w:szCs w:val="16"/>
                    </w:rPr>
                  </w:pPr>
                  <w:r w:rsidRPr="00FC5566">
                    <w:rPr>
                      <w:sz w:val="16"/>
                      <w:szCs w:val="16"/>
                    </w:rPr>
                    <w:t>4/0</w:t>
                  </w:r>
                </w:p>
              </w:tc>
            </w:tr>
            <w:tr w:rsidR="00FC5566" w:rsidRPr="00FC5566" w14:paraId="1B2AF96E" w14:textId="77777777" w:rsidTr="00B247D5">
              <w:trPr>
                <w:jc w:val="center"/>
              </w:trPr>
              <w:tc>
                <w:tcPr>
                  <w:tcW w:w="1255" w:type="dxa"/>
                  <w:tcBorders>
                    <w:top w:val="single" w:sz="4" w:space="0" w:color="auto"/>
                    <w:left w:val="single" w:sz="4" w:space="0" w:color="auto"/>
                    <w:bottom w:val="nil"/>
                    <w:right w:val="single" w:sz="4" w:space="0" w:color="auto"/>
                  </w:tcBorders>
                  <w:vAlign w:val="center"/>
                  <w:hideMark/>
                </w:tcPr>
                <w:p w14:paraId="6AD5AB88" w14:textId="77777777" w:rsidR="00FC5566" w:rsidRPr="00FC5566" w:rsidRDefault="00FC5566" w:rsidP="00FC5566">
                  <w:pPr>
                    <w:jc w:val="center"/>
                    <w:rPr>
                      <w:sz w:val="16"/>
                      <w:szCs w:val="16"/>
                    </w:rPr>
                  </w:pPr>
                  <w:r w:rsidRPr="00FC5566">
                    <w:rPr>
                      <w:sz w:val="16"/>
                      <w:szCs w:val="16"/>
                    </w:rPr>
                    <w:t>250</w:t>
                  </w:r>
                </w:p>
              </w:tc>
              <w:tc>
                <w:tcPr>
                  <w:tcW w:w="1170" w:type="dxa"/>
                  <w:tcBorders>
                    <w:top w:val="single" w:sz="4" w:space="0" w:color="auto"/>
                    <w:left w:val="single" w:sz="4" w:space="0" w:color="auto"/>
                    <w:bottom w:val="nil"/>
                    <w:right w:val="single" w:sz="4" w:space="0" w:color="auto"/>
                  </w:tcBorders>
                  <w:vAlign w:val="center"/>
                  <w:hideMark/>
                </w:tcPr>
                <w:p w14:paraId="22226A22" w14:textId="77777777" w:rsidR="00FC5566" w:rsidRPr="00FC5566" w:rsidRDefault="00FC5566" w:rsidP="00FC5566">
                  <w:pPr>
                    <w:jc w:val="center"/>
                    <w:rPr>
                      <w:sz w:val="16"/>
                      <w:szCs w:val="16"/>
                    </w:rPr>
                  </w:pPr>
                  <w:r w:rsidRPr="00FC5566">
                    <w:rPr>
                      <w:sz w:val="16"/>
                      <w:szCs w:val="16"/>
                    </w:rPr>
                    <w:t>215</w:t>
                  </w:r>
                </w:p>
              </w:tc>
              <w:tc>
                <w:tcPr>
                  <w:tcW w:w="1260" w:type="dxa"/>
                  <w:tcBorders>
                    <w:top w:val="single" w:sz="4" w:space="0" w:color="auto"/>
                    <w:left w:val="single" w:sz="4" w:space="0" w:color="auto"/>
                    <w:bottom w:val="nil"/>
                    <w:right w:val="single" w:sz="4" w:space="0" w:color="auto"/>
                  </w:tcBorders>
                  <w:vAlign w:val="center"/>
                  <w:hideMark/>
                </w:tcPr>
                <w:p w14:paraId="1D4E5938" w14:textId="77777777" w:rsidR="00FC5566" w:rsidRPr="00FC5566" w:rsidRDefault="00FC5566" w:rsidP="00FC5566">
                  <w:pPr>
                    <w:jc w:val="center"/>
                    <w:rPr>
                      <w:sz w:val="16"/>
                      <w:szCs w:val="16"/>
                    </w:rPr>
                  </w:pPr>
                  <w:r w:rsidRPr="00FC5566">
                    <w:rPr>
                      <w:sz w:val="16"/>
                      <w:szCs w:val="16"/>
                    </w:rPr>
                    <w:t>255</w:t>
                  </w:r>
                </w:p>
              </w:tc>
              <w:tc>
                <w:tcPr>
                  <w:tcW w:w="1440" w:type="dxa"/>
                  <w:tcBorders>
                    <w:top w:val="single" w:sz="4" w:space="0" w:color="auto"/>
                    <w:left w:val="single" w:sz="4" w:space="0" w:color="auto"/>
                    <w:bottom w:val="nil"/>
                    <w:right w:val="single" w:sz="4" w:space="0" w:color="auto"/>
                  </w:tcBorders>
                  <w:vAlign w:val="center"/>
                  <w:hideMark/>
                </w:tcPr>
                <w:p w14:paraId="61C17C07" w14:textId="77777777" w:rsidR="00FC5566" w:rsidRPr="00FC5566" w:rsidRDefault="00FC5566" w:rsidP="00FC5566">
                  <w:pPr>
                    <w:jc w:val="center"/>
                    <w:rPr>
                      <w:sz w:val="16"/>
                      <w:szCs w:val="16"/>
                    </w:rPr>
                  </w:pPr>
                  <w:r w:rsidRPr="00FC5566">
                    <w:rPr>
                      <w:sz w:val="16"/>
                      <w:szCs w:val="16"/>
                    </w:rPr>
                    <w:t>290</w:t>
                  </w:r>
                </w:p>
              </w:tc>
              <w:tc>
                <w:tcPr>
                  <w:tcW w:w="1124" w:type="dxa"/>
                  <w:tcBorders>
                    <w:top w:val="single" w:sz="4" w:space="0" w:color="auto"/>
                    <w:left w:val="single" w:sz="4" w:space="0" w:color="auto"/>
                    <w:bottom w:val="nil"/>
                    <w:right w:val="single" w:sz="4" w:space="0" w:color="auto"/>
                  </w:tcBorders>
                  <w:vAlign w:val="center"/>
                  <w:hideMark/>
                </w:tcPr>
                <w:p w14:paraId="56C00BB5" w14:textId="77777777" w:rsidR="00FC5566" w:rsidRPr="00FC5566" w:rsidRDefault="00FC5566" w:rsidP="00FC5566">
                  <w:pPr>
                    <w:jc w:val="center"/>
                    <w:rPr>
                      <w:sz w:val="16"/>
                      <w:szCs w:val="16"/>
                    </w:rPr>
                  </w:pPr>
                  <w:r w:rsidRPr="00FC5566">
                    <w:rPr>
                      <w:sz w:val="16"/>
                      <w:szCs w:val="16"/>
                    </w:rPr>
                    <w:t>170</w:t>
                  </w:r>
                </w:p>
              </w:tc>
              <w:tc>
                <w:tcPr>
                  <w:tcW w:w="1126" w:type="dxa"/>
                  <w:tcBorders>
                    <w:top w:val="single" w:sz="4" w:space="0" w:color="auto"/>
                    <w:left w:val="single" w:sz="4" w:space="0" w:color="auto"/>
                    <w:bottom w:val="nil"/>
                    <w:right w:val="single" w:sz="4" w:space="0" w:color="auto"/>
                  </w:tcBorders>
                  <w:vAlign w:val="center"/>
                  <w:hideMark/>
                </w:tcPr>
                <w:p w14:paraId="208DFF90" w14:textId="77777777" w:rsidR="00FC5566" w:rsidRPr="00FC5566" w:rsidRDefault="00FC5566" w:rsidP="00FC5566">
                  <w:pPr>
                    <w:jc w:val="center"/>
                    <w:rPr>
                      <w:sz w:val="16"/>
                      <w:szCs w:val="16"/>
                    </w:rPr>
                  </w:pPr>
                  <w:r w:rsidRPr="00FC5566">
                    <w:rPr>
                      <w:sz w:val="16"/>
                      <w:szCs w:val="16"/>
                    </w:rPr>
                    <w:t>205</w:t>
                  </w:r>
                </w:p>
              </w:tc>
              <w:tc>
                <w:tcPr>
                  <w:tcW w:w="1440" w:type="dxa"/>
                  <w:tcBorders>
                    <w:top w:val="single" w:sz="4" w:space="0" w:color="auto"/>
                    <w:left w:val="single" w:sz="4" w:space="0" w:color="auto"/>
                    <w:bottom w:val="nil"/>
                    <w:right w:val="single" w:sz="4" w:space="0" w:color="auto"/>
                  </w:tcBorders>
                  <w:vAlign w:val="center"/>
                  <w:hideMark/>
                </w:tcPr>
                <w:p w14:paraId="029204DE" w14:textId="77777777" w:rsidR="00FC5566" w:rsidRPr="00FC5566" w:rsidRDefault="00FC5566" w:rsidP="00FC5566">
                  <w:pPr>
                    <w:jc w:val="center"/>
                    <w:rPr>
                      <w:sz w:val="16"/>
                      <w:szCs w:val="16"/>
                    </w:rPr>
                  </w:pPr>
                  <w:r w:rsidRPr="00FC5566">
                    <w:rPr>
                      <w:sz w:val="16"/>
                      <w:szCs w:val="16"/>
                    </w:rPr>
                    <w:t>230</w:t>
                  </w:r>
                </w:p>
              </w:tc>
              <w:tc>
                <w:tcPr>
                  <w:tcW w:w="1175" w:type="dxa"/>
                  <w:tcBorders>
                    <w:top w:val="single" w:sz="4" w:space="0" w:color="auto"/>
                    <w:left w:val="single" w:sz="4" w:space="0" w:color="auto"/>
                    <w:bottom w:val="nil"/>
                    <w:right w:val="single" w:sz="4" w:space="0" w:color="auto"/>
                  </w:tcBorders>
                  <w:vAlign w:val="center"/>
                  <w:hideMark/>
                </w:tcPr>
                <w:p w14:paraId="36D16C0D" w14:textId="77777777" w:rsidR="00FC5566" w:rsidRPr="00FC5566" w:rsidRDefault="00FC5566" w:rsidP="00FC5566">
                  <w:pPr>
                    <w:jc w:val="center"/>
                    <w:rPr>
                      <w:sz w:val="16"/>
                      <w:szCs w:val="16"/>
                    </w:rPr>
                  </w:pPr>
                  <w:r w:rsidRPr="00FC5566">
                    <w:rPr>
                      <w:sz w:val="16"/>
                      <w:szCs w:val="16"/>
                    </w:rPr>
                    <w:t>250</w:t>
                  </w:r>
                </w:p>
              </w:tc>
            </w:tr>
            <w:tr w:rsidR="00FC5566" w:rsidRPr="00FC5566" w14:paraId="455F3EE4" w14:textId="77777777" w:rsidTr="00B247D5">
              <w:trPr>
                <w:jc w:val="center"/>
              </w:trPr>
              <w:tc>
                <w:tcPr>
                  <w:tcW w:w="1255" w:type="dxa"/>
                  <w:tcBorders>
                    <w:top w:val="nil"/>
                    <w:left w:val="single" w:sz="4" w:space="0" w:color="auto"/>
                    <w:bottom w:val="nil"/>
                    <w:right w:val="single" w:sz="4" w:space="0" w:color="auto"/>
                  </w:tcBorders>
                  <w:vAlign w:val="center"/>
                  <w:hideMark/>
                </w:tcPr>
                <w:p w14:paraId="5AAFBF1C" w14:textId="77777777" w:rsidR="00FC5566" w:rsidRPr="00FC5566" w:rsidRDefault="00FC5566" w:rsidP="00FC5566">
                  <w:pPr>
                    <w:jc w:val="center"/>
                    <w:rPr>
                      <w:sz w:val="16"/>
                      <w:szCs w:val="16"/>
                    </w:rPr>
                  </w:pPr>
                  <w:r w:rsidRPr="00FC5566">
                    <w:rPr>
                      <w:sz w:val="16"/>
                      <w:szCs w:val="16"/>
                    </w:rPr>
                    <w:t>300</w:t>
                  </w:r>
                </w:p>
              </w:tc>
              <w:tc>
                <w:tcPr>
                  <w:tcW w:w="1170" w:type="dxa"/>
                  <w:tcBorders>
                    <w:top w:val="nil"/>
                    <w:left w:val="single" w:sz="4" w:space="0" w:color="auto"/>
                    <w:bottom w:val="nil"/>
                    <w:right w:val="single" w:sz="4" w:space="0" w:color="auto"/>
                  </w:tcBorders>
                  <w:vAlign w:val="center"/>
                  <w:hideMark/>
                </w:tcPr>
                <w:p w14:paraId="23438052" w14:textId="77777777" w:rsidR="00FC5566" w:rsidRPr="00FC5566" w:rsidRDefault="00FC5566" w:rsidP="00FC5566">
                  <w:pPr>
                    <w:jc w:val="center"/>
                    <w:rPr>
                      <w:sz w:val="16"/>
                      <w:szCs w:val="16"/>
                    </w:rPr>
                  </w:pPr>
                  <w:r w:rsidRPr="00FC5566">
                    <w:rPr>
                      <w:sz w:val="16"/>
                      <w:szCs w:val="16"/>
                    </w:rPr>
                    <w:t>240</w:t>
                  </w:r>
                </w:p>
              </w:tc>
              <w:tc>
                <w:tcPr>
                  <w:tcW w:w="1260" w:type="dxa"/>
                  <w:tcBorders>
                    <w:top w:val="nil"/>
                    <w:left w:val="single" w:sz="4" w:space="0" w:color="auto"/>
                    <w:bottom w:val="nil"/>
                    <w:right w:val="single" w:sz="4" w:space="0" w:color="auto"/>
                  </w:tcBorders>
                  <w:vAlign w:val="center"/>
                  <w:hideMark/>
                </w:tcPr>
                <w:p w14:paraId="6F9E99E3" w14:textId="77777777" w:rsidR="00FC5566" w:rsidRPr="00FC5566" w:rsidRDefault="00FC5566" w:rsidP="00FC5566">
                  <w:pPr>
                    <w:jc w:val="center"/>
                    <w:rPr>
                      <w:sz w:val="16"/>
                      <w:szCs w:val="16"/>
                    </w:rPr>
                  </w:pPr>
                  <w:r w:rsidRPr="00FC5566">
                    <w:rPr>
                      <w:sz w:val="16"/>
                      <w:szCs w:val="16"/>
                    </w:rPr>
                    <w:t>285</w:t>
                  </w:r>
                </w:p>
              </w:tc>
              <w:tc>
                <w:tcPr>
                  <w:tcW w:w="1440" w:type="dxa"/>
                  <w:tcBorders>
                    <w:top w:val="nil"/>
                    <w:left w:val="single" w:sz="4" w:space="0" w:color="auto"/>
                    <w:bottom w:val="nil"/>
                    <w:right w:val="single" w:sz="4" w:space="0" w:color="auto"/>
                  </w:tcBorders>
                  <w:vAlign w:val="center"/>
                  <w:hideMark/>
                </w:tcPr>
                <w:p w14:paraId="328279F9" w14:textId="77777777" w:rsidR="00FC5566" w:rsidRPr="00FC5566" w:rsidRDefault="00FC5566" w:rsidP="00FC5566">
                  <w:pPr>
                    <w:jc w:val="center"/>
                    <w:rPr>
                      <w:sz w:val="16"/>
                      <w:szCs w:val="16"/>
                    </w:rPr>
                  </w:pPr>
                  <w:r w:rsidRPr="00FC5566">
                    <w:rPr>
                      <w:sz w:val="16"/>
                      <w:szCs w:val="16"/>
                    </w:rPr>
                    <w:t>320</w:t>
                  </w:r>
                </w:p>
              </w:tc>
              <w:tc>
                <w:tcPr>
                  <w:tcW w:w="1124" w:type="dxa"/>
                  <w:tcBorders>
                    <w:top w:val="nil"/>
                    <w:left w:val="single" w:sz="4" w:space="0" w:color="auto"/>
                    <w:bottom w:val="nil"/>
                    <w:right w:val="single" w:sz="4" w:space="0" w:color="auto"/>
                  </w:tcBorders>
                  <w:vAlign w:val="center"/>
                  <w:hideMark/>
                </w:tcPr>
                <w:p w14:paraId="528E1D7F" w14:textId="77777777" w:rsidR="00FC5566" w:rsidRPr="00FC5566" w:rsidRDefault="00FC5566" w:rsidP="00FC5566">
                  <w:pPr>
                    <w:jc w:val="center"/>
                    <w:rPr>
                      <w:sz w:val="16"/>
                      <w:szCs w:val="16"/>
                    </w:rPr>
                  </w:pPr>
                  <w:r w:rsidRPr="00FC5566">
                    <w:rPr>
                      <w:sz w:val="16"/>
                      <w:szCs w:val="16"/>
                    </w:rPr>
                    <w:t>195</w:t>
                  </w:r>
                </w:p>
              </w:tc>
              <w:tc>
                <w:tcPr>
                  <w:tcW w:w="1126" w:type="dxa"/>
                  <w:tcBorders>
                    <w:top w:val="nil"/>
                    <w:left w:val="single" w:sz="4" w:space="0" w:color="auto"/>
                    <w:bottom w:val="nil"/>
                    <w:right w:val="single" w:sz="4" w:space="0" w:color="auto"/>
                  </w:tcBorders>
                  <w:vAlign w:val="center"/>
                  <w:hideMark/>
                </w:tcPr>
                <w:p w14:paraId="310E7B63" w14:textId="77777777" w:rsidR="00FC5566" w:rsidRPr="00FC5566" w:rsidRDefault="00FC5566" w:rsidP="00FC5566">
                  <w:pPr>
                    <w:jc w:val="center"/>
                    <w:rPr>
                      <w:sz w:val="16"/>
                      <w:szCs w:val="16"/>
                    </w:rPr>
                  </w:pPr>
                  <w:r w:rsidRPr="00FC5566">
                    <w:rPr>
                      <w:sz w:val="16"/>
                      <w:szCs w:val="16"/>
                    </w:rPr>
                    <w:t>230</w:t>
                  </w:r>
                </w:p>
              </w:tc>
              <w:tc>
                <w:tcPr>
                  <w:tcW w:w="1440" w:type="dxa"/>
                  <w:tcBorders>
                    <w:top w:val="nil"/>
                    <w:left w:val="single" w:sz="4" w:space="0" w:color="auto"/>
                    <w:bottom w:val="nil"/>
                    <w:right w:val="single" w:sz="4" w:space="0" w:color="auto"/>
                  </w:tcBorders>
                  <w:vAlign w:val="center"/>
                  <w:hideMark/>
                </w:tcPr>
                <w:p w14:paraId="13A04E2C" w14:textId="77777777" w:rsidR="00FC5566" w:rsidRPr="00FC5566" w:rsidRDefault="00FC5566" w:rsidP="00FC5566">
                  <w:pPr>
                    <w:jc w:val="center"/>
                    <w:rPr>
                      <w:sz w:val="16"/>
                      <w:szCs w:val="16"/>
                    </w:rPr>
                  </w:pPr>
                  <w:r w:rsidRPr="00FC5566">
                    <w:rPr>
                      <w:sz w:val="16"/>
                      <w:szCs w:val="16"/>
                    </w:rPr>
                    <w:t>260</w:t>
                  </w:r>
                </w:p>
              </w:tc>
              <w:tc>
                <w:tcPr>
                  <w:tcW w:w="1175" w:type="dxa"/>
                  <w:tcBorders>
                    <w:top w:val="nil"/>
                    <w:left w:val="single" w:sz="4" w:space="0" w:color="auto"/>
                    <w:bottom w:val="nil"/>
                    <w:right w:val="single" w:sz="4" w:space="0" w:color="auto"/>
                  </w:tcBorders>
                  <w:vAlign w:val="center"/>
                  <w:hideMark/>
                </w:tcPr>
                <w:p w14:paraId="07E3B339" w14:textId="77777777" w:rsidR="00FC5566" w:rsidRPr="00FC5566" w:rsidRDefault="00FC5566" w:rsidP="00FC5566">
                  <w:pPr>
                    <w:jc w:val="center"/>
                    <w:rPr>
                      <w:sz w:val="16"/>
                      <w:szCs w:val="16"/>
                    </w:rPr>
                  </w:pPr>
                  <w:r w:rsidRPr="00FC5566">
                    <w:rPr>
                      <w:sz w:val="16"/>
                      <w:szCs w:val="16"/>
                    </w:rPr>
                    <w:t>300</w:t>
                  </w:r>
                </w:p>
              </w:tc>
            </w:tr>
            <w:tr w:rsidR="00FC5566" w:rsidRPr="00FC5566" w14:paraId="7157EFD3" w14:textId="77777777" w:rsidTr="00B247D5">
              <w:trPr>
                <w:jc w:val="center"/>
              </w:trPr>
              <w:tc>
                <w:tcPr>
                  <w:tcW w:w="1255" w:type="dxa"/>
                  <w:tcBorders>
                    <w:top w:val="nil"/>
                    <w:left w:val="single" w:sz="4" w:space="0" w:color="auto"/>
                    <w:bottom w:val="nil"/>
                    <w:right w:val="single" w:sz="4" w:space="0" w:color="auto"/>
                  </w:tcBorders>
                  <w:vAlign w:val="center"/>
                  <w:hideMark/>
                </w:tcPr>
                <w:p w14:paraId="71FC789B" w14:textId="77777777" w:rsidR="00FC5566" w:rsidRPr="00FC5566" w:rsidRDefault="00FC5566" w:rsidP="00FC5566">
                  <w:pPr>
                    <w:jc w:val="center"/>
                    <w:rPr>
                      <w:sz w:val="16"/>
                      <w:szCs w:val="16"/>
                    </w:rPr>
                  </w:pPr>
                  <w:r w:rsidRPr="00FC5566">
                    <w:rPr>
                      <w:sz w:val="16"/>
                      <w:szCs w:val="16"/>
                    </w:rPr>
                    <w:t>350</w:t>
                  </w:r>
                </w:p>
              </w:tc>
              <w:tc>
                <w:tcPr>
                  <w:tcW w:w="1170" w:type="dxa"/>
                  <w:tcBorders>
                    <w:top w:val="nil"/>
                    <w:left w:val="single" w:sz="4" w:space="0" w:color="auto"/>
                    <w:bottom w:val="nil"/>
                    <w:right w:val="single" w:sz="4" w:space="0" w:color="auto"/>
                  </w:tcBorders>
                  <w:vAlign w:val="center"/>
                  <w:hideMark/>
                </w:tcPr>
                <w:p w14:paraId="7DABD2F5" w14:textId="77777777" w:rsidR="00FC5566" w:rsidRPr="00FC5566" w:rsidRDefault="00FC5566" w:rsidP="00FC5566">
                  <w:pPr>
                    <w:jc w:val="center"/>
                    <w:rPr>
                      <w:sz w:val="16"/>
                      <w:szCs w:val="16"/>
                    </w:rPr>
                  </w:pPr>
                  <w:r w:rsidRPr="00FC5566">
                    <w:rPr>
                      <w:sz w:val="16"/>
                      <w:szCs w:val="16"/>
                    </w:rPr>
                    <w:t>260</w:t>
                  </w:r>
                </w:p>
              </w:tc>
              <w:tc>
                <w:tcPr>
                  <w:tcW w:w="1260" w:type="dxa"/>
                  <w:tcBorders>
                    <w:top w:val="nil"/>
                    <w:left w:val="single" w:sz="4" w:space="0" w:color="auto"/>
                    <w:bottom w:val="nil"/>
                    <w:right w:val="single" w:sz="4" w:space="0" w:color="auto"/>
                  </w:tcBorders>
                  <w:vAlign w:val="center"/>
                  <w:hideMark/>
                </w:tcPr>
                <w:p w14:paraId="43C8FC90" w14:textId="77777777" w:rsidR="00FC5566" w:rsidRPr="00FC5566" w:rsidRDefault="00FC5566" w:rsidP="00FC5566">
                  <w:pPr>
                    <w:jc w:val="center"/>
                    <w:rPr>
                      <w:sz w:val="16"/>
                      <w:szCs w:val="16"/>
                    </w:rPr>
                  </w:pPr>
                  <w:r w:rsidRPr="00FC5566">
                    <w:rPr>
                      <w:sz w:val="16"/>
                      <w:szCs w:val="16"/>
                    </w:rPr>
                    <w:t>310</w:t>
                  </w:r>
                </w:p>
              </w:tc>
              <w:tc>
                <w:tcPr>
                  <w:tcW w:w="1440" w:type="dxa"/>
                  <w:tcBorders>
                    <w:top w:val="nil"/>
                    <w:left w:val="single" w:sz="4" w:space="0" w:color="auto"/>
                    <w:bottom w:val="nil"/>
                    <w:right w:val="single" w:sz="4" w:space="0" w:color="auto"/>
                  </w:tcBorders>
                  <w:vAlign w:val="center"/>
                  <w:hideMark/>
                </w:tcPr>
                <w:p w14:paraId="108DE806" w14:textId="77777777" w:rsidR="00FC5566" w:rsidRPr="00FC5566" w:rsidRDefault="00FC5566" w:rsidP="00FC5566">
                  <w:pPr>
                    <w:jc w:val="center"/>
                    <w:rPr>
                      <w:sz w:val="16"/>
                      <w:szCs w:val="16"/>
                    </w:rPr>
                  </w:pPr>
                  <w:r w:rsidRPr="00FC5566">
                    <w:rPr>
                      <w:sz w:val="16"/>
                      <w:szCs w:val="16"/>
                    </w:rPr>
                    <w:t>350</w:t>
                  </w:r>
                </w:p>
              </w:tc>
              <w:tc>
                <w:tcPr>
                  <w:tcW w:w="1124" w:type="dxa"/>
                  <w:tcBorders>
                    <w:top w:val="nil"/>
                    <w:left w:val="single" w:sz="4" w:space="0" w:color="auto"/>
                    <w:bottom w:val="nil"/>
                    <w:right w:val="single" w:sz="4" w:space="0" w:color="auto"/>
                  </w:tcBorders>
                  <w:vAlign w:val="center"/>
                  <w:hideMark/>
                </w:tcPr>
                <w:p w14:paraId="2F0ADB23" w14:textId="77777777" w:rsidR="00FC5566" w:rsidRPr="00FC5566" w:rsidRDefault="00FC5566" w:rsidP="00FC5566">
                  <w:pPr>
                    <w:jc w:val="center"/>
                    <w:rPr>
                      <w:sz w:val="16"/>
                      <w:szCs w:val="16"/>
                    </w:rPr>
                  </w:pPr>
                  <w:r w:rsidRPr="00FC5566">
                    <w:rPr>
                      <w:sz w:val="16"/>
                      <w:szCs w:val="16"/>
                    </w:rPr>
                    <w:t>210</w:t>
                  </w:r>
                </w:p>
              </w:tc>
              <w:tc>
                <w:tcPr>
                  <w:tcW w:w="1126" w:type="dxa"/>
                  <w:tcBorders>
                    <w:top w:val="nil"/>
                    <w:left w:val="single" w:sz="4" w:space="0" w:color="auto"/>
                    <w:bottom w:val="nil"/>
                    <w:right w:val="single" w:sz="4" w:space="0" w:color="auto"/>
                  </w:tcBorders>
                  <w:vAlign w:val="center"/>
                  <w:hideMark/>
                </w:tcPr>
                <w:p w14:paraId="4E85A6F4" w14:textId="77777777" w:rsidR="00FC5566" w:rsidRPr="00FC5566" w:rsidRDefault="00FC5566" w:rsidP="00FC5566">
                  <w:pPr>
                    <w:jc w:val="center"/>
                    <w:rPr>
                      <w:sz w:val="16"/>
                      <w:szCs w:val="16"/>
                    </w:rPr>
                  </w:pPr>
                  <w:r w:rsidRPr="00FC5566">
                    <w:rPr>
                      <w:sz w:val="16"/>
                      <w:szCs w:val="16"/>
                    </w:rPr>
                    <w:t>250</w:t>
                  </w:r>
                </w:p>
              </w:tc>
              <w:tc>
                <w:tcPr>
                  <w:tcW w:w="1440" w:type="dxa"/>
                  <w:tcBorders>
                    <w:top w:val="nil"/>
                    <w:left w:val="single" w:sz="4" w:space="0" w:color="auto"/>
                    <w:bottom w:val="nil"/>
                    <w:right w:val="single" w:sz="4" w:space="0" w:color="auto"/>
                  </w:tcBorders>
                  <w:vAlign w:val="center"/>
                  <w:hideMark/>
                </w:tcPr>
                <w:p w14:paraId="7862C54A" w14:textId="77777777" w:rsidR="00FC5566" w:rsidRPr="00FC5566" w:rsidRDefault="00FC5566" w:rsidP="00FC5566">
                  <w:pPr>
                    <w:jc w:val="center"/>
                    <w:rPr>
                      <w:sz w:val="16"/>
                      <w:szCs w:val="16"/>
                    </w:rPr>
                  </w:pPr>
                  <w:r w:rsidRPr="00FC5566">
                    <w:rPr>
                      <w:sz w:val="16"/>
                      <w:szCs w:val="16"/>
                    </w:rPr>
                    <w:t>280</w:t>
                  </w:r>
                </w:p>
              </w:tc>
              <w:tc>
                <w:tcPr>
                  <w:tcW w:w="1175" w:type="dxa"/>
                  <w:tcBorders>
                    <w:top w:val="nil"/>
                    <w:left w:val="single" w:sz="4" w:space="0" w:color="auto"/>
                    <w:bottom w:val="nil"/>
                    <w:right w:val="single" w:sz="4" w:space="0" w:color="auto"/>
                  </w:tcBorders>
                  <w:vAlign w:val="center"/>
                  <w:hideMark/>
                </w:tcPr>
                <w:p w14:paraId="0037A23F" w14:textId="77777777" w:rsidR="00FC5566" w:rsidRPr="00FC5566" w:rsidRDefault="00FC5566" w:rsidP="00FC5566">
                  <w:pPr>
                    <w:jc w:val="center"/>
                    <w:rPr>
                      <w:sz w:val="16"/>
                      <w:szCs w:val="16"/>
                    </w:rPr>
                  </w:pPr>
                  <w:r w:rsidRPr="00FC5566">
                    <w:rPr>
                      <w:sz w:val="16"/>
                      <w:szCs w:val="16"/>
                    </w:rPr>
                    <w:t>350</w:t>
                  </w:r>
                </w:p>
              </w:tc>
            </w:tr>
            <w:tr w:rsidR="00FC5566" w:rsidRPr="00FC5566" w14:paraId="4D0C7D17" w14:textId="77777777" w:rsidTr="00B247D5">
              <w:trPr>
                <w:jc w:val="center"/>
              </w:trPr>
              <w:tc>
                <w:tcPr>
                  <w:tcW w:w="1255" w:type="dxa"/>
                  <w:tcBorders>
                    <w:top w:val="nil"/>
                    <w:left w:val="single" w:sz="4" w:space="0" w:color="auto"/>
                    <w:bottom w:val="nil"/>
                    <w:right w:val="single" w:sz="4" w:space="0" w:color="auto"/>
                  </w:tcBorders>
                  <w:vAlign w:val="center"/>
                  <w:hideMark/>
                </w:tcPr>
                <w:p w14:paraId="5598608C" w14:textId="77777777" w:rsidR="00FC5566" w:rsidRPr="00FC5566" w:rsidRDefault="00FC5566" w:rsidP="00FC5566">
                  <w:pPr>
                    <w:jc w:val="center"/>
                    <w:rPr>
                      <w:sz w:val="16"/>
                      <w:szCs w:val="16"/>
                    </w:rPr>
                  </w:pPr>
                  <w:r w:rsidRPr="00FC5566">
                    <w:rPr>
                      <w:sz w:val="16"/>
                      <w:szCs w:val="16"/>
                    </w:rPr>
                    <w:t>400</w:t>
                  </w:r>
                </w:p>
              </w:tc>
              <w:tc>
                <w:tcPr>
                  <w:tcW w:w="1170" w:type="dxa"/>
                  <w:tcBorders>
                    <w:top w:val="nil"/>
                    <w:left w:val="single" w:sz="4" w:space="0" w:color="auto"/>
                    <w:bottom w:val="nil"/>
                    <w:right w:val="single" w:sz="4" w:space="0" w:color="auto"/>
                  </w:tcBorders>
                  <w:vAlign w:val="center"/>
                  <w:hideMark/>
                </w:tcPr>
                <w:p w14:paraId="51BCBC7D" w14:textId="77777777" w:rsidR="00FC5566" w:rsidRPr="00FC5566" w:rsidRDefault="00FC5566" w:rsidP="00FC5566">
                  <w:pPr>
                    <w:jc w:val="center"/>
                    <w:rPr>
                      <w:sz w:val="16"/>
                      <w:szCs w:val="16"/>
                    </w:rPr>
                  </w:pPr>
                  <w:r w:rsidRPr="00FC5566">
                    <w:rPr>
                      <w:sz w:val="16"/>
                      <w:szCs w:val="16"/>
                    </w:rPr>
                    <w:t>280</w:t>
                  </w:r>
                </w:p>
              </w:tc>
              <w:tc>
                <w:tcPr>
                  <w:tcW w:w="1260" w:type="dxa"/>
                  <w:tcBorders>
                    <w:top w:val="nil"/>
                    <w:left w:val="single" w:sz="4" w:space="0" w:color="auto"/>
                    <w:bottom w:val="nil"/>
                    <w:right w:val="single" w:sz="4" w:space="0" w:color="auto"/>
                  </w:tcBorders>
                  <w:vAlign w:val="center"/>
                  <w:hideMark/>
                </w:tcPr>
                <w:p w14:paraId="5097FB40" w14:textId="77777777" w:rsidR="00FC5566" w:rsidRPr="00FC5566" w:rsidRDefault="00FC5566" w:rsidP="00FC5566">
                  <w:pPr>
                    <w:jc w:val="center"/>
                    <w:rPr>
                      <w:sz w:val="16"/>
                      <w:szCs w:val="16"/>
                    </w:rPr>
                  </w:pPr>
                  <w:r w:rsidRPr="00FC5566">
                    <w:rPr>
                      <w:sz w:val="16"/>
                      <w:szCs w:val="16"/>
                    </w:rPr>
                    <w:t>335</w:t>
                  </w:r>
                </w:p>
              </w:tc>
              <w:tc>
                <w:tcPr>
                  <w:tcW w:w="1440" w:type="dxa"/>
                  <w:tcBorders>
                    <w:top w:val="nil"/>
                    <w:left w:val="single" w:sz="4" w:space="0" w:color="auto"/>
                    <w:bottom w:val="nil"/>
                    <w:right w:val="single" w:sz="4" w:space="0" w:color="auto"/>
                  </w:tcBorders>
                  <w:vAlign w:val="center"/>
                  <w:hideMark/>
                </w:tcPr>
                <w:p w14:paraId="718E990B" w14:textId="77777777" w:rsidR="00FC5566" w:rsidRPr="00FC5566" w:rsidRDefault="00FC5566" w:rsidP="00FC5566">
                  <w:pPr>
                    <w:jc w:val="center"/>
                    <w:rPr>
                      <w:sz w:val="16"/>
                      <w:szCs w:val="16"/>
                    </w:rPr>
                  </w:pPr>
                  <w:r w:rsidRPr="00FC5566">
                    <w:rPr>
                      <w:sz w:val="16"/>
                      <w:szCs w:val="16"/>
                    </w:rPr>
                    <w:t>380</w:t>
                  </w:r>
                </w:p>
              </w:tc>
              <w:tc>
                <w:tcPr>
                  <w:tcW w:w="1124" w:type="dxa"/>
                  <w:tcBorders>
                    <w:top w:val="nil"/>
                    <w:left w:val="single" w:sz="4" w:space="0" w:color="auto"/>
                    <w:bottom w:val="nil"/>
                    <w:right w:val="single" w:sz="4" w:space="0" w:color="auto"/>
                  </w:tcBorders>
                  <w:vAlign w:val="center"/>
                  <w:hideMark/>
                </w:tcPr>
                <w:p w14:paraId="06923030" w14:textId="77777777" w:rsidR="00FC5566" w:rsidRPr="00FC5566" w:rsidRDefault="00FC5566" w:rsidP="00FC5566">
                  <w:pPr>
                    <w:jc w:val="center"/>
                    <w:rPr>
                      <w:sz w:val="16"/>
                      <w:szCs w:val="16"/>
                    </w:rPr>
                  </w:pPr>
                  <w:r w:rsidRPr="00FC5566">
                    <w:rPr>
                      <w:sz w:val="16"/>
                      <w:szCs w:val="16"/>
                    </w:rPr>
                    <w:t>225</w:t>
                  </w:r>
                </w:p>
              </w:tc>
              <w:tc>
                <w:tcPr>
                  <w:tcW w:w="1126" w:type="dxa"/>
                  <w:tcBorders>
                    <w:top w:val="nil"/>
                    <w:left w:val="single" w:sz="4" w:space="0" w:color="auto"/>
                    <w:bottom w:val="nil"/>
                    <w:right w:val="single" w:sz="4" w:space="0" w:color="auto"/>
                  </w:tcBorders>
                  <w:vAlign w:val="center"/>
                  <w:hideMark/>
                </w:tcPr>
                <w:p w14:paraId="314F5836" w14:textId="77777777" w:rsidR="00FC5566" w:rsidRPr="00FC5566" w:rsidRDefault="00FC5566" w:rsidP="00FC5566">
                  <w:pPr>
                    <w:jc w:val="center"/>
                    <w:rPr>
                      <w:sz w:val="16"/>
                      <w:szCs w:val="16"/>
                    </w:rPr>
                  </w:pPr>
                  <w:r w:rsidRPr="00FC5566">
                    <w:rPr>
                      <w:sz w:val="16"/>
                      <w:szCs w:val="16"/>
                    </w:rPr>
                    <w:t>270</w:t>
                  </w:r>
                </w:p>
              </w:tc>
              <w:tc>
                <w:tcPr>
                  <w:tcW w:w="1440" w:type="dxa"/>
                  <w:tcBorders>
                    <w:top w:val="nil"/>
                    <w:left w:val="single" w:sz="4" w:space="0" w:color="auto"/>
                    <w:bottom w:val="nil"/>
                    <w:right w:val="single" w:sz="4" w:space="0" w:color="auto"/>
                  </w:tcBorders>
                  <w:vAlign w:val="center"/>
                  <w:hideMark/>
                </w:tcPr>
                <w:p w14:paraId="4BF7E0FD" w14:textId="77777777" w:rsidR="00FC5566" w:rsidRPr="00FC5566" w:rsidRDefault="00FC5566" w:rsidP="00FC5566">
                  <w:pPr>
                    <w:jc w:val="center"/>
                    <w:rPr>
                      <w:sz w:val="16"/>
                      <w:szCs w:val="16"/>
                    </w:rPr>
                  </w:pPr>
                  <w:r w:rsidRPr="00FC5566">
                    <w:rPr>
                      <w:sz w:val="16"/>
                      <w:szCs w:val="16"/>
                    </w:rPr>
                    <w:t>305</w:t>
                  </w:r>
                </w:p>
              </w:tc>
              <w:tc>
                <w:tcPr>
                  <w:tcW w:w="1175" w:type="dxa"/>
                  <w:tcBorders>
                    <w:top w:val="nil"/>
                    <w:left w:val="single" w:sz="4" w:space="0" w:color="auto"/>
                    <w:bottom w:val="nil"/>
                    <w:right w:val="single" w:sz="4" w:space="0" w:color="auto"/>
                  </w:tcBorders>
                  <w:vAlign w:val="center"/>
                  <w:hideMark/>
                </w:tcPr>
                <w:p w14:paraId="7F7F2DC9" w14:textId="77777777" w:rsidR="00FC5566" w:rsidRPr="00FC5566" w:rsidRDefault="00FC5566" w:rsidP="00FC5566">
                  <w:pPr>
                    <w:jc w:val="center"/>
                    <w:rPr>
                      <w:sz w:val="16"/>
                      <w:szCs w:val="16"/>
                    </w:rPr>
                  </w:pPr>
                  <w:r w:rsidRPr="00FC5566">
                    <w:rPr>
                      <w:sz w:val="16"/>
                      <w:szCs w:val="16"/>
                    </w:rPr>
                    <w:t>400</w:t>
                  </w:r>
                </w:p>
              </w:tc>
            </w:tr>
            <w:tr w:rsidR="00FC5566" w:rsidRPr="00FC5566" w14:paraId="4BC52B97" w14:textId="77777777" w:rsidTr="00B247D5">
              <w:trPr>
                <w:jc w:val="center"/>
              </w:trPr>
              <w:tc>
                <w:tcPr>
                  <w:tcW w:w="1255" w:type="dxa"/>
                  <w:tcBorders>
                    <w:top w:val="nil"/>
                    <w:left w:val="single" w:sz="4" w:space="0" w:color="auto"/>
                    <w:bottom w:val="single" w:sz="4" w:space="0" w:color="auto"/>
                    <w:right w:val="single" w:sz="4" w:space="0" w:color="auto"/>
                  </w:tcBorders>
                  <w:vAlign w:val="center"/>
                  <w:hideMark/>
                </w:tcPr>
                <w:p w14:paraId="7327CBF8" w14:textId="77777777" w:rsidR="00FC5566" w:rsidRPr="00FC5566" w:rsidRDefault="00FC5566" w:rsidP="00FC5566">
                  <w:pPr>
                    <w:jc w:val="center"/>
                    <w:rPr>
                      <w:sz w:val="16"/>
                      <w:szCs w:val="16"/>
                    </w:rPr>
                  </w:pPr>
                  <w:r w:rsidRPr="00FC5566">
                    <w:rPr>
                      <w:sz w:val="16"/>
                      <w:szCs w:val="16"/>
                    </w:rPr>
                    <w:t>500</w:t>
                  </w:r>
                </w:p>
              </w:tc>
              <w:tc>
                <w:tcPr>
                  <w:tcW w:w="1170" w:type="dxa"/>
                  <w:tcBorders>
                    <w:top w:val="nil"/>
                    <w:left w:val="single" w:sz="4" w:space="0" w:color="auto"/>
                    <w:bottom w:val="single" w:sz="4" w:space="0" w:color="auto"/>
                    <w:right w:val="single" w:sz="4" w:space="0" w:color="auto"/>
                  </w:tcBorders>
                  <w:vAlign w:val="center"/>
                  <w:hideMark/>
                </w:tcPr>
                <w:p w14:paraId="58C8E985" w14:textId="77777777" w:rsidR="00FC5566" w:rsidRPr="00FC5566" w:rsidRDefault="00FC5566" w:rsidP="00FC5566">
                  <w:pPr>
                    <w:jc w:val="center"/>
                    <w:rPr>
                      <w:sz w:val="16"/>
                      <w:szCs w:val="16"/>
                    </w:rPr>
                  </w:pPr>
                  <w:r w:rsidRPr="00FC5566">
                    <w:rPr>
                      <w:sz w:val="16"/>
                      <w:szCs w:val="16"/>
                    </w:rPr>
                    <w:t>320</w:t>
                  </w:r>
                </w:p>
              </w:tc>
              <w:tc>
                <w:tcPr>
                  <w:tcW w:w="1260" w:type="dxa"/>
                  <w:tcBorders>
                    <w:top w:val="nil"/>
                    <w:left w:val="single" w:sz="4" w:space="0" w:color="auto"/>
                    <w:bottom w:val="single" w:sz="4" w:space="0" w:color="auto"/>
                    <w:right w:val="single" w:sz="4" w:space="0" w:color="auto"/>
                  </w:tcBorders>
                  <w:vAlign w:val="center"/>
                  <w:hideMark/>
                </w:tcPr>
                <w:p w14:paraId="2EB37A0B" w14:textId="77777777" w:rsidR="00FC5566" w:rsidRPr="00FC5566" w:rsidRDefault="00FC5566" w:rsidP="00FC5566">
                  <w:pPr>
                    <w:jc w:val="center"/>
                    <w:rPr>
                      <w:sz w:val="16"/>
                      <w:szCs w:val="16"/>
                    </w:rPr>
                  </w:pPr>
                  <w:r w:rsidRPr="00FC5566">
                    <w:rPr>
                      <w:sz w:val="16"/>
                      <w:szCs w:val="16"/>
                    </w:rPr>
                    <w:t>380</w:t>
                  </w:r>
                </w:p>
              </w:tc>
              <w:tc>
                <w:tcPr>
                  <w:tcW w:w="1440" w:type="dxa"/>
                  <w:tcBorders>
                    <w:top w:val="nil"/>
                    <w:left w:val="single" w:sz="4" w:space="0" w:color="auto"/>
                    <w:bottom w:val="single" w:sz="4" w:space="0" w:color="auto"/>
                    <w:right w:val="single" w:sz="4" w:space="0" w:color="auto"/>
                  </w:tcBorders>
                  <w:vAlign w:val="center"/>
                  <w:hideMark/>
                </w:tcPr>
                <w:p w14:paraId="365DD2F6" w14:textId="77777777" w:rsidR="00FC5566" w:rsidRPr="00FC5566" w:rsidRDefault="00FC5566" w:rsidP="00FC5566">
                  <w:pPr>
                    <w:jc w:val="center"/>
                    <w:rPr>
                      <w:sz w:val="16"/>
                      <w:szCs w:val="16"/>
                    </w:rPr>
                  </w:pPr>
                  <w:r w:rsidRPr="00FC5566">
                    <w:rPr>
                      <w:sz w:val="16"/>
                      <w:szCs w:val="16"/>
                    </w:rPr>
                    <w:t>430</w:t>
                  </w:r>
                </w:p>
              </w:tc>
              <w:tc>
                <w:tcPr>
                  <w:tcW w:w="1124" w:type="dxa"/>
                  <w:tcBorders>
                    <w:top w:val="nil"/>
                    <w:left w:val="single" w:sz="4" w:space="0" w:color="auto"/>
                    <w:bottom w:val="single" w:sz="4" w:space="0" w:color="auto"/>
                    <w:right w:val="single" w:sz="4" w:space="0" w:color="auto"/>
                  </w:tcBorders>
                  <w:vAlign w:val="center"/>
                  <w:hideMark/>
                </w:tcPr>
                <w:p w14:paraId="4872EE79" w14:textId="77777777" w:rsidR="00FC5566" w:rsidRPr="00FC5566" w:rsidRDefault="00FC5566" w:rsidP="00FC5566">
                  <w:pPr>
                    <w:jc w:val="center"/>
                    <w:rPr>
                      <w:sz w:val="16"/>
                      <w:szCs w:val="16"/>
                    </w:rPr>
                  </w:pPr>
                  <w:r w:rsidRPr="00FC5566">
                    <w:rPr>
                      <w:sz w:val="16"/>
                      <w:szCs w:val="16"/>
                    </w:rPr>
                    <w:t>260</w:t>
                  </w:r>
                </w:p>
              </w:tc>
              <w:tc>
                <w:tcPr>
                  <w:tcW w:w="1126" w:type="dxa"/>
                  <w:tcBorders>
                    <w:top w:val="nil"/>
                    <w:left w:val="single" w:sz="4" w:space="0" w:color="auto"/>
                    <w:bottom w:val="single" w:sz="4" w:space="0" w:color="auto"/>
                    <w:right w:val="single" w:sz="4" w:space="0" w:color="auto"/>
                  </w:tcBorders>
                  <w:vAlign w:val="center"/>
                  <w:hideMark/>
                </w:tcPr>
                <w:p w14:paraId="7C338041" w14:textId="77777777" w:rsidR="00FC5566" w:rsidRPr="00FC5566" w:rsidRDefault="00FC5566" w:rsidP="00FC5566">
                  <w:pPr>
                    <w:jc w:val="center"/>
                    <w:rPr>
                      <w:sz w:val="16"/>
                      <w:szCs w:val="16"/>
                    </w:rPr>
                  </w:pPr>
                  <w:r w:rsidRPr="00FC5566">
                    <w:rPr>
                      <w:sz w:val="16"/>
                      <w:szCs w:val="16"/>
                    </w:rPr>
                    <w:t>310</w:t>
                  </w:r>
                </w:p>
              </w:tc>
              <w:tc>
                <w:tcPr>
                  <w:tcW w:w="1440" w:type="dxa"/>
                  <w:tcBorders>
                    <w:top w:val="nil"/>
                    <w:left w:val="single" w:sz="4" w:space="0" w:color="auto"/>
                    <w:bottom w:val="single" w:sz="4" w:space="0" w:color="auto"/>
                    <w:right w:val="single" w:sz="4" w:space="0" w:color="auto"/>
                  </w:tcBorders>
                  <w:vAlign w:val="center"/>
                  <w:hideMark/>
                </w:tcPr>
                <w:p w14:paraId="5ECC37D2" w14:textId="77777777" w:rsidR="00FC5566" w:rsidRPr="00FC5566" w:rsidRDefault="00FC5566" w:rsidP="00FC5566">
                  <w:pPr>
                    <w:jc w:val="center"/>
                    <w:rPr>
                      <w:sz w:val="16"/>
                      <w:szCs w:val="16"/>
                    </w:rPr>
                  </w:pPr>
                  <w:r w:rsidRPr="00FC5566">
                    <w:rPr>
                      <w:sz w:val="16"/>
                      <w:szCs w:val="16"/>
                    </w:rPr>
                    <w:t>350</w:t>
                  </w:r>
                </w:p>
              </w:tc>
              <w:tc>
                <w:tcPr>
                  <w:tcW w:w="1175" w:type="dxa"/>
                  <w:tcBorders>
                    <w:top w:val="nil"/>
                    <w:left w:val="single" w:sz="4" w:space="0" w:color="auto"/>
                    <w:bottom w:val="single" w:sz="4" w:space="0" w:color="auto"/>
                    <w:right w:val="single" w:sz="4" w:space="0" w:color="auto"/>
                  </w:tcBorders>
                  <w:vAlign w:val="center"/>
                  <w:hideMark/>
                </w:tcPr>
                <w:p w14:paraId="5B865704" w14:textId="77777777" w:rsidR="00FC5566" w:rsidRPr="00FC5566" w:rsidRDefault="00FC5566" w:rsidP="00FC5566">
                  <w:pPr>
                    <w:jc w:val="center"/>
                    <w:rPr>
                      <w:sz w:val="16"/>
                      <w:szCs w:val="16"/>
                    </w:rPr>
                  </w:pPr>
                  <w:r w:rsidRPr="00FC5566">
                    <w:rPr>
                      <w:sz w:val="16"/>
                      <w:szCs w:val="16"/>
                    </w:rPr>
                    <w:t>500</w:t>
                  </w:r>
                </w:p>
              </w:tc>
            </w:tr>
            <w:tr w:rsidR="00FC5566" w:rsidRPr="00FC5566" w14:paraId="7B01252E" w14:textId="77777777" w:rsidTr="00B247D5">
              <w:trPr>
                <w:jc w:val="center"/>
              </w:trPr>
              <w:tc>
                <w:tcPr>
                  <w:tcW w:w="1255" w:type="dxa"/>
                  <w:tcBorders>
                    <w:top w:val="single" w:sz="4" w:space="0" w:color="auto"/>
                    <w:left w:val="single" w:sz="4" w:space="0" w:color="auto"/>
                    <w:bottom w:val="nil"/>
                    <w:right w:val="single" w:sz="4" w:space="0" w:color="auto"/>
                  </w:tcBorders>
                  <w:vAlign w:val="center"/>
                  <w:hideMark/>
                </w:tcPr>
                <w:p w14:paraId="66261259" w14:textId="77777777" w:rsidR="00FC5566" w:rsidRPr="00FC5566" w:rsidRDefault="00FC5566" w:rsidP="00FC5566">
                  <w:pPr>
                    <w:jc w:val="center"/>
                    <w:rPr>
                      <w:sz w:val="16"/>
                      <w:szCs w:val="16"/>
                    </w:rPr>
                  </w:pPr>
                  <w:r w:rsidRPr="00FC5566">
                    <w:rPr>
                      <w:sz w:val="16"/>
                      <w:szCs w:val="16"/>
                    </w:rPr>
                    <w:t>600</w:t>
                  </w:r>
                </w:p>
              </w:tc>
              <w:tc>
                <w:tcPr>
                  <w:tcW w:w="1170" w:type="dxa"/>
                  <w:tcBorders>
                    <w:top w:val="single" w:sz="4" w:space="0" w:color="auto"/>
                    <w:left w:val="single" w:sz="4" w:space="0" w:color="auto"/>
                    <w:bottom w:val="nil"/>
                    <w:right w:val="single" w:sz="4" w:space="0" w:color="auto"/>
                  </w:tcBorders>
                  <w:vAlign w:val="center"/>
                  <w:hideMark/>
                </w:tcPr>
                <w:p w14:paraId="5D9AE002" w14:textId="77777777" w:rsidR="00FC5566" w:rsidRPr="00FC5566" w:rsidRDefault="00FC5566" w:rsidP="00FC5566">
                  <w:pPr>
                    <w:jc w:val="center"/>
                    <w:rPr>
                      <w:sz w:val="16"/>
                      <w:szCs w:val="16"/>
                    </w:rPr>
                  </w:pPr>
                  <w:r w:rsidRPr="00FC5566">
                    <w:rPr>
                      <w:sz w:val="16"/>
                      <w:szCs w:val="16"/>
                    </w:rPr>
                    <w:t>350</w:t>
                  </w:r>
                </w:p>
              </w:tc>
              <w:tc>
                <w:tcPr>
                  <w:tcW w:w="1260" w:type="dxa"/>
                  <w:tcBorders>
                    <w:top w:val="single" w:sz="4" w:space="0" w:color="auto"/>
                    <w:left w:val="single" w:sz="4" w:space="0" w:color="auto"/>
                    <w:bottom w:val="nil"/>
                    <w:right w:val="single" w:sz="4" w:space="0" w:color="auto"/>
                  </w:tcBorders>
                  <w:vAlign w:val="center"/>
                  <w:hideMark/>
                </w:tcPr>
                <w:p w14:paraId="19909A59" w14:textId="77777777" w:rsidR="00FC5566" w:rsidRPr="00FC5566" w:rsidRDefault="00FC5566" w:rsidP="00FC5566">
                  <w:pPr>
                    <w:jc w:val="center"/>
                    <w:rPr>
                      <w:sz w:val="16"/>
                      <w:szCs w:val="16"/>
                    </w:rPr>
                  </w:pPr>
                  <w:r w:rsidRPr="00FC5566">
                    <w:rPr>
                      <w:sz w:val="16"/>
                      <w:szCs w:val="16"/>
                    </w:rPr>
                    <w:t>420</w:t>
                  </w:r>
                </w:p>
              </w:tc>
              <w:tc>
                <w:tcPr>
                  <w:tcW w:w="1440" w:type="dxa"/>
                  <w:tcBorders>
                    <w:top w:val="single" w:sz="4" w:space="0" w:color="auto"/>
                    <w:left w:val="single" w:sz="4" w:space="0" w:color="auto"/>
                    <w:bottom w:val="nil"/>
                    <w:right w:val="single" w:sz="4" w:space="0" w:color="auto"/>
                  </w:tcBorders>
                  <w:vAlign w:val="center"/>
                  <w:hideMark/>
                </w:tcPr>
                <w:p w14:paraId="5B7E1834" w14:textId="77777777" w:rsidR="00FC5566" w:rsidRPr="00FC5566" w:rsidRDefault="00FC5566" w:rsidP="00FC5566">
                  <w:pPr>
                    <w:jc w:val="center"/>
                    <w:rPr>
                      <w:sz w:val="16"/>
                      <w:szCs w:val="16"/>
                    </w:rPr>
                  </w:pPr>
                  <w:r w:rsidRPr="00FC5566">
                    <w:rPr>
                      <w:sz w:val="16"/>
                      <w:szCs w:val="16"/>
                    </w:rPr>
                    <w:t>475</w:t>
                  </w:r>
                </w:p>
              </w:tc>
              <w:tc>
                <w:tcPr>
                  <w:tcW w:w="1124" w:type="dxa"/>
                  <w:tcBorders>
                    <w:top w:val="single" w:sz="4" w:space="0" w:color="auto"/>
                    <w:left w:val="single" w:sz="4" w:space="0" w:color="auto"/>
                    <w:bottom w:val="nil"/>
                    <w:right w:val="single" w:sz="4" w:space="0" w:color="auto"/>
                  </w:tcBorders>
                  <w:vAlign w:val="center"/>
                  <w:hideMark/>
                </w:tcPr>
                <w:p w14:paraId="0F7374DC" w14:textId="77777777" w:rsidR="00FC5566" w:rsidRPr="00FC5566" w:rsidRDefault="00FC5566" w:rsidP="00FC5566">
                  <w:pPr>
                    <w:jc w:val="center"/>
                    <w:rPr>
                      <w:sz w:val="16"/>
                      <w:szCs w:val="16"/>
                    </w:rPr>
                  </w:pPr>
                  <w:r w:rsidRPr="00FC5566">
                    <w:rPr>
                      <w:sz w:val="16"/>
                      <w:szCs w:val="16"/>
                    </w:rPr>
                    <w:t>285</w:t>
                  </w:r>
                </w:p>
              </w:tc>
              <w:tc>
                <w:tcPr>
                  <w:tcW w:w="1126" w:type="dxa"/>
                  <w:tcBorders>
                    <w:top w:val="single" w:sz="4" w:space="0" w:color="auto"/>
                    <w:left w:val="single" w:sz="4" w:space="0" w:color="auto"/>
                    <w:bottom w:val="nil"/>
                    <w:right w:val="single" w:sz="4" w:space="0" w:color="auto"/>
                  </w:tcBorders>
                  <w:vAlign w:val="center"/>
                  <w:hideMark/>
                </w:tcPr>
                <w:p w14:paraId="5B56D9F6" w14:textId="77777777" w:rsidR="00FC5566" w:rsidRPr="00FC5566" w:rsidRDefault="00FC5566" w:rsidP="00FC5566">
                  <w:pPr>
                    <w:jc w:val="center"/>
                    <w:rPr>
                      <w:sz w:val="16"/>
                      <w:szCs w:val="16"/>
                    </w:rPr>
                  </w:pPr>
                  <w:r w:rsidRPr="00FC5566">
                    <w:rPr>
                      <w:sz w:val="16"/>
                      <w:szCs w:val="16"/>
                    </w:rPr>
                    <w:t>340</w:t>
                  </w:r>
                </w:p>
              </w:tc>
              <w:tc>
                <w:tcPr>
                  <w:tcW w:w="1440" w:type="dxa"/>
                  <w:tcBorders>
                    <w:top w:val="single" w:sz="4" w:space="0" w:color="auto"/>
                    <w:left w:val="single" w:sz="4" w:space="0" w:color="auto"/>
                    <w:bottom w:val="nil"/>
                    <w:right w:val="single" w:sz="4" w:space="0" w:color="auto"/>
                  </w:tcBorders>
                  <w:vAlign w:val="center"/>
                  <w:hideMark/>
                </w:tcPr>
                <w:p w14:paraId="2DF49B7E" w14:textId="77777777" w:rsidR="00FC5566" w:rsidRPr="00FC5566" w:rsidRDefault="00FC5566" w:rsidP="00FC5566">
                  <w:pPr>
                    <w:jc w:val="center"/>
                    <w:rPr>
                      <w:sz w:val="16"/>
                      <w:szCs w:val="16"/>
                    </w:rPr>
                  </w:pPr>
                  <w:r w:rsidRPr="00FC5566">
                    <w:rPr>
                      <w:sz w:val="16"/>
                      <w:szCs w:val="16"/>
                    </w:rPr>
                    <w:t>385</w:t>
                  </w:r>
                </w:p>
              </w:tc>
              <w:tc>
                <w:tcPr>
                  <w:tcW w:w="1175" w:type="dxa"/>
                  <w:tcBorders>
                    <w:top w:val="single" w:sz="4" w:space="0" w:color="auto"/>
                    <w:left w:val="single" w:sz="4" w:space="0" w:color="auto"/>
                    <w:bottom w:val="nil"/>
                    <w:right w:val="single" w:sz="4" w:space="0" w:color="auto"/>
                  </w:tcBorders>
                  <w:vAlign w:val="center"/>
                  <w:hideMark/>
                </w:tcPr>
                <w:p w14:paraId="1BFE048C" w14:textId="77777777" w:rsidR="00FC5566" w:rsidRPr="00FC5566" w:rsidRDefault="00FC5566" w:rsidP="00FC5566">
                  <w:pPr>
                    <w:jc w:val="center"/>
                    <w:rPr>
                      <w:sz w:val="16"/>
                      <w:szCs w:val="16"/>
                    </w:rPr>
                  </w:pPr>
                  <w:r w:rsidRPr="00FC5566">
                    <w:rPr>
                      <w:sz w:val="16"/>
                      <w:szCs w:val="16"/>
                    </w:rPr>
                    <w:t>600</w:t>
                  </w:r>
                </w:p>
              </w:tc>
            </w:tr>
            <w:tr w:rsidR="00FC5566" w:rsidRPr="00FC5566" w14:paraId="51EF57F3" w14:textId="77777777" w:rsidTr="00B247D5">
              <w:trPr>
                <w:jc w:val="center"/>
              </w:trPr>
              <w:tc>
                <w:tcPr>
                  <w:tcW w:w="1255" w:type="dxa"/>
                  <w:tcBorders>
                    <w:top w:val="nil"/>
                    <w:left w:val="single" w:sz="4" w:space="0" w:color="auto"/>
                    <w:bottom w:val="nil"/>
                    <w:right w:val="single" w:sz="4" w:space="0" w:color="auto"/>
                  </w:tcBorders>
                  <w:vAlign w:val="center"/>
                  <w:hideMark/>
                </w:tcPr>
                <w:p w14:paraId="75FC49FF" w14:textId="77777777" w:rsidR="00FC5566" w:rsidRPr="00FC5566" w:rsidRDefault="00FC5566" w:rsidP="00FC5566">
                  <w:pPr>
                    <w:jc w:val="center"/>
                    <w:rPr>
                      <w:sz w:val="16"/>
                      <w:szCs w:val="16"/>
                    </w:rPr>
                  </w:pPr>
                  <w:r w:rsidRPr="00FC5566">
                    <w:rPr>
                      <w:sz w:val="16"/>
                      <w:szCs w:val="16"/>
                    </w:rPr>
                    <w:t>700</w:t>
                  </w:r>
                </w:p>
              </w:tc>
              <w:tc>
                <w:tcPr>
                  <w:tcW w:w="1170" w:type="dxa"/>
                  <w:tcBorders>
                    <w:top w:val="nil"/>
                    <w:left w:val="single" w:sz="4" w:space="0" w:color="auto"/>
                    <w:bottom w:val="nil"/>
                    <w:right w:val="single" w:sz="4" w:space="0" w:color="auto"/>
                  </w:tcBorders>
                  <w:vAlign w:val="center"/>
                  <w:hideMark/>
                </w:tcPr>
                <w:p w14:paraId="6AAFB83D" w14:textId="77777777" w:rsidR="00FC5566" w:rsidRPr="00FC5566" w:rsidRDefault="00FC5566" w:rsidP="00FC5566">
                  <w:pPr>
                    <w:jc w:val="center"/>
                    <w:rPr>
                      <w:sz w:val="16"/>
                      <w:szCs w:val="16"/>
                    </w:rPr>
                  </w:pPr>
                  <w:r w:rsidRPr="00FC5566">
                    <w:rPr>
                      <w:sz w:val="16"/>
                      <w:szCs w:val="16"/>
                    </w:rPr>
                    <w:t>385</w:t>
                  </w:r>
                </w:p>
              </w:tc>
              <w:tc>
                <w:tcPr>
                  <w:tcW w:w="1260" w:type="dxa"/>
                  <w:tcBorders>
                    <w:top w:val="nil"/>
                    <w:left w:val="single" w:sz="4" w:space="0" w:color="auto"/>
                    <w:bottom w:val="nil"/>
                    <w:right w:val="single" w:sz="4" w:space="0" w:color="auto"/>
                  </w:tcBorders>
                  <w:vAlign w:val="center"/>
                  <w:hideMark/>
                </w:tcPr>
                <w:p w14:paraId="723BFF0F" w14:textId="77777777" w:rsidR="00FC5566" w:rsidRPr="00FC5566" w:rsidRDefault="00FC5566" w:rsidP="00FC5566">
                  <w:pPr>
                    <w:jc w:val="center"/>
                    <w:rPr>
                      <w:sz w:val="16"/>
                      <w:szCs w:val="16"/>
                    </w:rPr>
                  </w:pPr>
                  <w:r w:rsidRPr="00FC5566">
                    <w:rPr>
                      <w:sz w:val="16"/>
                      <w:szCs w:val="16"/>
                    </w:rPr>
                    <w:t>460</w:t>
                  </w:r>
                </w:p>
              </w:tc>
              <w:tc>
                <w:tcPr>
                  <w:tcW w:w="1440" w:type="dxa"/>
                  <w:tcBorders>
                    <w:top w:val="nil"/>
                    <w:left w:val="single" w:sz="4" w:space="0" w:color="auto"/>
                    <w:bottom w:val="nil"/>
                    <w:right w:val="single" w:sz="4" w:space="0" w:color="auto"/>
                  </w:tcBorders>
                  <w:vAlign w:val="center"/>
                  <w:hideMark/>
                </w:tcPr>
                <w:p w14:paraId="02B4C8CE" w14:textId="77777777" w:rsidR="00FC5566" w:rsidRPr="00FC5566" w:rsidRDefault="00FC5566" w:rsidP="00FC5566">
                  <w:pPr>
                    <w:jc w:val="center"/>
                    <w:rPr>
                      <w:sz w:val="16"/>
                      <w:szCs w:val="16"/>
                    </w:rPr>
                  </w:pPr>
                  <w:r w:rsidRPr="00FC5566">
                    <w:rPr>
                      <w:sz w:val="16"/>
                      <w:szCs w:val="16"/>
                    </w:rPr>
                    <w:t>520</w:t>
                  </w:r>
                </w:p>
              </w:tc>
              <w:tc>
                <w:tcPr>
                  <w:tcW w:w="1124" w:type="dxa"/>
                  <w:tcBorders>
                    <w:top w:val="nil"/>
                    <w:left w:val="single" w:sz="4" w:space="0" w:color="auto"/>
                    <w:bottom w:val="nil"/>
                    <w:right w:val="single" w:sz="4" w:space="0" w:color="auto"/>
                  </w:tcBorders>
                  <w:vAlign w:val="center"/>
                  <w:hideMark/>
                </w:tcPr>
                <w:p w14:paraId="6C883F1B" w14:textId="77777777" w:rsidR="00FC5566" w:rsidRPr="00FC5566" w:rsidRDefault="00FC5566" w:rsidP="00FC5566">
                  <w:pPr>
                    <w:jc w:val="center"/>
                    <w:rPr>
                      <w:sz w:val="16"/>
                      <w:szCs w:val="16"/>
                    </w:rPr>
                  </w:pPr>
                  <w:r w:rsidRPr="00FC5566">
                    <w:rPr>
                      <w:sz w:val="16"/>
                      <w:szCs w:val="16"/>
                    </w:rPr>
                    <w:t>315</w:t>
                  </w:r>
                </w:p>
              </w:tc>
              <w:tc>
                <w:tcPr>
                  <w:tcW w:w="1126" w:type="dxa"/>
                  <w:tcBorders>
                    <w:top w:val="nil"/>
                    <w:left w:val="single" w:sz="4" w:space="0" w:color="auto"/>
                    <w:bottom w:val="nil"/>
                    <w:right w:val="single" w:sz="4" w:space="0" w:color="auto"/>
                  </w:tcBorders>
                  <w:vAlign w:val="center"/>
                  <w:hideMark/>
                </w:tcPr>
                <w:p w14:paraId="41E9D876" w14:textId="77777777" w:rsidR="00FC5566" w:rsidRPr="00FC5566" w:rsidRDefault="00FC5566" w:rsidP="00FC5566">
                  <w:pPr>
                    <w:jc w:val="center"/>
                    <w:rPr>
                      <w:sz w:val="16"/>
                      <w:szCs w:val="16"/>
                    </w:rPr>
                  </w:pPr>
                  <w:r w:rsidRPr="00FC5566">
                    <w:rPr>
                      <w:sz w:val="16"/>
                      <w:szCs w:val="16"/>
                    </w:rPr>
                    <w:t>375</w:t>
                  </w:r>
                </w:p>
              </w:tc>
              <w:tc>
                <w:tcPr>
                  <w:tcW w:w="1440" w:type="dxa"/>
                  <w:tcBorders>
                    <w:top w:val="nil"/>
                    <w:left w:val="single" w:sz="4" w:space="0" w:color="auto"/>
                    <w:bottom w:val="nil"/>
                    <w:right w:val="single" w:sz="4" w:space="0" w:color="auto"/>
                  </w:tcBorders>
                  <w:vAlign w:val="center"/>
                  <w:hideMark/>
                </w:tcPr>
                <w:p w14:paraId="4321F5C4" w14:textId="77777777" w:rsidR="00FC5566" w:rsidRPr="00FC5566" w:rsidRDefault="00FC5566" w:rsidP="00FC5566">
                  <w:pPr>
                    <w:jc w:val="center"/>
                    <w:rPr>
                      <w:sz w:val="16"/>
                      <w:szCs w:val="16"/>
                    </w:rPr>
                  </w:pPr>
                  <w:r w:rsidRPr="00FC5566">
                    <w:rPr>
                      <w:sz w:val="16"/>
                      <w:szCs w:val="16"/>
                    </w:rPr>
                    <w:t>425</w:t>
                  </w:r>
                </w:p>
              </w:tc>
              <w:tc>
                <w:tcPr>
                  <w:tcW w:w="1175" w:type="dxa"/>
                  <w:tcBorders>
                    <w:top w:val="nil"/>
                    <w:left w:val="single" w:sz="4" w:space="0" w:color="auto"/>
                    <w:bottom w:val="nil"/>
                    <w:right w:val="single" w:sz="4" w:space="0" w:color="auto"/>
                  </w:tcBorders>
                  <w:vAlign w:val="center"/>
                  <w:hideMark/>
                </w:tcPr>
                <w:p w14:paraId="08DE4450" w14:textId="77777777" w:rsidR="00FC5566" w:rsidRPr="00FC5566" w:rsidRDefault="00FC5566" w:rsidP="00FC5566">
                  <w:pPr>
                    <w:jc w:val="center"/>
                    <w:rPr>
                      <w:sz w:val="16"/>
                      <w:szCs w:val="16"/>
                    </w:rPr>
                  </w:pPr>
                  <w:r w:rsidRPr="00FC5566">
                    <w:rPr>
                      <w:sz w:val="16"/>
                      <w:szCs w:val="16"/>
                    </w:rPr>
                    <w:t>700</w:t>
                  </w:r>
                </w:p>
              </w:tc>
            </w:tr>
            <w:tr w:rsidR="00FC5566" w:rsidRPr="00FC5566" w14:paraId="3EE42C31" w14:textId="77777777" w:rsidTr="00B247D5">
              <w:trPr>
                <w:jc w:val="center"/>
              </w:trPr>
              <w:tc>
                <w:tcPr>
                  <w:tcW w:w="1255" w:type="dxa"/>
                  <w:tcBorders>
                    <w:top w:val="nil"/>
                    <w:left w:val="single" w:sz="4" w:space="0" w:color="auto"/>
                    <w:bottom w:val="nil"/>
                    <w:right w:val="single" w:sz="4" w:space="0" w:color="auto"/>
                  </w:tcBorders>
                  <w:vAlign w:val="center"/>
                  <w:hideMark/>
                </w:tcPr>
                <w:p w14:paraId="660DE988" w14:textId="77777777" w:rsidR="00FC5566" w:rsidRPr="00FC5566" w:rsidRDefault="00FC5566" w:rsidP="00FC5566">
                  <w:pPr>
                    <w:jc w:val="center"/>
                    <w:rPr>
                      <w:sz w:val="16"/>
                      <w:szCs w:val="16"/>
                    </w:rPr>
                  </w:pPr>
                  <w:r w:rsidRPr="00FC5566">
                    <w:rPr>
                      <w:sz w:val="16"/>
                      <w:szCs w:val="16"/>
                    </w:rPr>
                    <w:t>750</w:t>
                  </w:r>
                </w:p>
              </w:tc>
              <w:tc>
                <w:tcPr>
                  <w:tcW w:w="1170" w:type="dxa"/>
                  <w:tcBorders>
                    <w:top w:val="nil"/>
                    <w:left w:val="single" w:sz="4" w:space="0" w:color="auto"/>
                    <w:bottom w:val="nil"/>
                    <w:right w:val="single" w:sz="4" w:space="0" w:color="auto"/>
                  </w:tcBorders>
                  <w:vAlign w:val="center"/>
                  <w:hideMark/>
                </w:tcPr>
                <w:p w14:paraId="3EC4E198" w14:textId="77777777" w:rsidR="00FC5566" w:rsidRPr="00FC5566" w:rsidRDefault="00FC5566" w:rsidP="00FC5566">
                  <w:pPr>
                    <w:jc w:val="center"/>
                    <w:rPr>
                      <w:sz w:val="16"/>
                      <w:szCs w:val="16"/>
                    </w:rPr>
                  </w:pPr>
                  <w:r w:rsidRPr="00FC5566">
                    <w:rPr>
                      <w:sz w:val="16"/>
                      <w:szCs w:val="16"/>
                    </w:rPr>
                    <w:t>400</w:t>
                  </w:r>
                </w:p>
              </w:tc>
              <w:tc>
                <w:tcPr>
                  <w:tcW w:w="1260" w:type="dxa"/>
                  <w:tcBorders>
                    <w:top w:val="nil"/>
                    <w:left w:val="single" w:sz="4" w:space="0" w:color="auto"/>
                    <w:bottom w:val="nil"/>
                    <w:right w:val="single" w:sz="4" w:space="0" w:color="auto"/>
                  </w:tcBorders>
                  <w:vAlign w:val="center"/>
                  <w:hideMark/>
                </w:tcPr>
                <w:p w14:paraId="220F603C" w14:textId="77777777" w:rsidR="00FC5566" w:rsidRPr="00FC5566" w:rsidRDefault="00FC5566" w:rsidP="00FC5566">
                  <w:pPr>
                    <w:jc w:val="center"/>
                    <w:rPr>
                      <w:sz w:val="16"/>
                      <w:szCs w:val="16"/>
                    </w:rPr>
                  </w:pPr>
                  <w:r w:rsidRPr="00FC5566">
                    <w:rPr>
                      <w:sz w:val="16"/>
                      <w:szCs w:val="16"/>
                    </w:rPr>
                    <w:t>475</w:t>
                  </w:r>
                </w:p>
              </w:tc>
              <w:tc>
                <w:tcPr>
                  <w:tcW w:w="1440" w:type="dxa"/>
                  <w:tcBorders>
                    <w:top w:val="nil"/>
                    <w:left w:val="single" w:sz="4" w:space="0" w:color="auto"/>
                    <w:bottom w:val="nil"/>
                    <w:right w:val="single" w:sz="4" w:space="0" w:color="auto"/>
                  </w:tcBorders>
                  <w:vAlign w:val="center"/>
                  <w:hideMark/>
                </w:tcPr>
                <w:p w14:paraId="42EB935F" w14:textId="77777777" w:rsidR="00FC5566" w:rsidRPr="00FC5566" w:rsidRDefault="00FC5566" w:rsidP="00FC5566">
                  <w:pPr>
                    <w:jc w:val="center"/>
                    <w:rPr>
                      <w:sz w:val="16"/>
                      <w:szCs w:val="16"/>
                    </w:rPr>
                  </w:pPr>
                  <w:r w:rsidRPr="00FC5566">
                    <w:rPr>
                      <w:sz w:val="16"/>
                      <w:szCs w:val="16"/>
                    </w:rPr>
                    <w:t>535</w:t>
                  </w:r>
                </w:p>
              </w:tc>
              <w:tc>
                <w:tcPr>
                  <w:tcW w:w="1124" w:type="dxa"/>
                  <w:tcBorders>
                    <w:top w:val="nil"/>
                    <w:left w:val="single" w:sz="4" w:space="0" w:color="auto"/>
                    <w:bottom w:val="nil"/>
                    <w:right w:val="single" w:sz="4" w:space="0" w:color="auto"/>
                  </w:tcBorders>
                  <w:vAlign w:val="center"/>
                  <w:hideMark/>
                </w:tcPr>
                <w:p w14:paraId="6281787B" w14:textId="77777777" w:rsidR="00FC5566" w:rsidRPr="00FC5566" w:rsidRDefault="00FC5566" w:rsidP="00FC5566">
                  <w:pPr>
                    <w:jc w:val="center"/>
                    <w:rPr>
                      <w:sz w:val="16"/>
                      <w:szCs w:val="16"/>
                    </w:rPr>
                  </w:pPr>
                  <w:r w:rsidRPr="00FC5566">
                    <w:rPr>
                      <w:sz w:val="16"/>
                      <w:szCs w:val="16"/>
                    </w:rPr>
                    <w:t>320</w:t>
                  </w:r>
                </w:p>
              </w:tc>
              <w:tc>
                <w:tcPr>
                  <w:tcW w:w="1126" w:type="dxa"/>
                  <w:tcBorders>
                    <w:top w:val="nil"/>
                    <w:left w:val="single" w:sz="4" w:space="0" w:color="auto"/>
                    <w:bottom w:val="nil"/>
                    <w:right w:val="single" w:sz="4" w:space="0" w:color="auto"/>
                  </w:tcBorders>
                  <w:vAlign w:val="center"/>
                  <w:hideMark/>
                </w:tcPr>
                <w:p w14:paraId="1BF7DFC7" w14:textId="77777777" w:rsidR="00FC5566" w:rsidRPr="00FC5566" w:rsidRDefault="00FC5566" w:rsidP="00FC5566">
                  <w:pPr>
                    <w:jc w:val="center"/>
                    <w:rPr>
                      <w:sz w:val="16"/>
                      <w:szCs w:val="16"/>
                    </w:rPr>
                  </w:pPr>
                  <w:r w:rsidRPr="00FC5566">
                    <w:rPr>
                      <w:sz w:val="16"/>
                      <w:szCs w:val="16"/>
                    </w:rPr>
                    <w:t>385</w:t>
                  </w:r>
                </w:p>
              </w:tc>
              <w:tc>
                <w:tcPr>
                  <w:tcW w:w="1440" w:type="dxa"/>
                  <w:tcBorders>
                    <w:top w:val="nil"/>
                    <w:left w:val="single" w:sz="4" w:space="0" w:color="auto"/>
                    <w:bottom w:val="nil"/>
                    <w:right w:val="single" w:sz="4" w:space="0" w:color="auto"/>
                  </w:tcBorders>
                  <w:vAlign w:val="center"/>
                  <w:hideMark/>
                </w:tcPr>
                <w:p w14:paraId="0F5087A6" w14:textId="77777777" w:rsidR="00FC5566" w:rsidRPr="00FC5566" w:rsidRDefault="00FC5566" w:rsidP="00FC5566">
                  <w:pPr>
                    <w:jc w:val="center"/>
                    <w:rPr>
                      <w:sz w:val="16"/>
                      <w:szCs w:val="16"/>
                    </w:rPr>
                  </w:pPr>
                  <w:r w:rsidRPr="00FC5566">
                    <w:rPr>
                      <w:sz w:val="16"/>
                      <w:szCs w:val="16"/>
                    </w:rPr>
                    <w:t>435</w:t>
                  </w:r>
                </w:p>
              </w:tc>
              <w:tc>
                <w:tcPr>
                  <w:tcW w:w="1175" w:type="dxa"/>
                  <w:tcBorders>
                    <w:top w:val="nil"/>
                    <w:left w:val="single" w:sz="4" w:space="0" w:color="auto"/>
                    <w:bottom w:val="nil"/>
                    <w:right w:val="single" w:sz="4" w:space="0" w:color="auto"/>
                  </w:tcBorders>
                  <w:vAlign w:val="center"/>
                  <w:hideMark/>
                </w:tcPr>
                <w:p w14:paraId="1F70A12E" w14:textId="77777777" w:rsidR="00FC5566" w:rsidRPr="00FC5566" w:rsidRDefault="00FC5566" w:rsidP="00FC5566">
                  <w:pPr>
                    <w:jc w:val="center"/>
                    <w:rPr>
                      <w:sz w:val="16"/>
                      <w:szCs w:val="16"/>
                    </w:rPr>
                  </w:pPr>
                  <w:r w:rsidRPr="00FC5566">
                    <w:rPr>
                      <w:sz w:val="16"/>
                      <w:szCs w:val="16"/>
                    </w:rPr>
                    <w:t>750</w:t>
                  </w:r>
                </w:p>
              </w:tc>
            </w:tr>
            <w:tr w:rsidR="00FC5566" w:rsidRPr="00FC5566" w14:paraId="4C8EABC4" w14:textId="77777777" w:rsidTr="00B247D5">
              <w:trPr>
                <w:jc w:val="center"/>
              </w:trPr>
              <w:tc>
                <w:tcPr>
                  <w:tcW w:w="1255" w:type="dxa"/>
                  <w:tcBorders>
                    <w:top w:val="nil"/>
                    <w:left w:val="single" w:sz="4" w:space="0" w:color="auto"/>
                    <w:bottom w:val="nil"/>
                    <w:right w:val="single" w:sz="4" w:space="0" w:color="auto"/>
                  </w:tcBorders>
                  <w:vAlign w:val="center"/>
                  <w:hideMark/>
                </w:tcPr>
                <w:p w14:paraId="52801C68" w14:textId="77777777" w:rsidR="00FC5566" w:rsidRPr="00FC5566" w:rsidRDefault="00FC5566" w:rsidP="00FC5566">
                  <w:pPr>
                    <w:jc w:val="center"/>
                    <w:rPr>
                      <w:sz w:val="16"/>
                      <w:szCs w:val="16"/>
                    </w:rPr>
                  </w:pPr>
                  <w:r w:rsidRPr="00FC5566">
                    <w:rPr>
                      <w:sz w:val="16"/>
                      <w:szCs w:val="16"/>
                    </w:rPr>
                    <w:t>800</w:t>
                  </w:r>
                </w:p>
              </w:tc>
              <w:tc>
                <w:tcPr>
                  <w:tcW w:w="1170" w:type="dxa"/>
                  <w:tcBorders>
                    <w:top w:val="nil"/>
                    <w:left w:val="single" w:sz="4" w:space="0" w:color="auto"/>
                    <w:bottom w:val="nil"/>
                    <w:right w:val="single" w:sz="4" w:space="0" w:color="auto"/>
                  </w:tcBorders>
                  <w:vAlign w:val="center"/>
                  <w:hideMark/>
                </w:tcPr>
                <w:p w14:paraId="17CE9BFF" w14:textId="77777777" w:rsidR="00FC5566" w:rsidRPr="00FC5566" w:rsidRDefault="00FC5566" w:rsidP="00FC5566">
                  <w:pPr>
                    <w:jc w:val="center"/>
                    <w:rPr>
                      <w:sz w:val="16"/>
                      <w:szCs w:val="16"/>
                    </w:rPr>
                  </w:pPr>
                  <w:r w:rsidRPr="00FC5566">
                    <w:rPr>
                      <w:sz w:val="16"/>
                      <w:szCs w:val="16"/>
                    </w:rPr>
                    <w:t>410</w:t>
                  </w:r>
                </w:p>
              </w:tc>
              <w:tc>
                <w:tcPr>
                  <w:tcW w:w="1260" w:type="dxa"/>
                  <w:tcBorders>
                    <w:top w:val="nil"/>
                    <w:left w:val="single" w:sz="4" w:space="0" w:color="auto"/>
                    <w:bottom w:val="nil"/>
                    <w:right w:val="single" w:sz="4" w:space="0" w:color="auto"/>
                  </w:tcBorders>
                  <w:vAlign w:val="center"/>
                  <w:hideMark/>
                </w:tcPr>
                <w:p w14:paraId="6C4353C9" w14:textId="77777777" w:rsidR="00FC5566" w:rsidRPr="00FC5566" w:rsidRDefault="00FC5566" w:rsidP="00FC5566">
                  <w:pPr>
                    <w:jc w:val="center"/>
                    <w:rPr>
                      <w:sz w:val="16"/>
                      <w:szCs w:val="16"/>
                    </w:rPr>
                  </w:pPr>
                  <w:r w:rsidRPr="00FC5566">
                    <w:rPr>
                      <w:sz w:val="16"/>
                      <w:szCs w:val="16"/>
                    </w:rPr>
                    <w:t>490</w:t>
                  </w:r>
                </w:p>
              </w:tc>
              <w:tc>
                <w:tcPr>
                  <w:tcW w:w="1440" w:type="dxa"/>
                  <w:tcBorders>
                    <w:top w:val="nil"/>
                    <w:left w:val="single" w:sz="4" w:space="0" w:color="auto"/>
                    <w:bottom w:val="nil"/>
                    <w:right w:val="single" w:sz="4" w:space="0" w:color="auto"/>
                  </w:tcBorders>
                  <w:vAlign w:val="center"/>
                  <w:hideMark/>
                </w:tcPr>
                <w:p w14:paraId="6DF2312A" w14:textId="77777777" w:rsidR="00FC5566" w:rsidRPr="00FC5566" w:rsidRDefault="00FC5566" w:rsidP="00FC5566">
                  <w:pPr>
                    <w:jc w:val="center"/>
                    <w:rPr>
                      <w:sz w:val="16"/>
                      <w:szCs w:val="16"/>
                    </w:rPr>
                  </w:pPr>
                  <w:r w:rsidRPr="00FC5566">
                    <w:rPr>
                      <w:sz w:val="16"/>
                      <w:szCs w:val="16"/>
                    </w:rPr>
                    <w:t>555</w:t>
                  </w:r>
                </w:p>
              </w:tc>
              <w:tc>
                <w:tcPr>
                  <w:tcW w:w="1124" w:type="dxa"/>
                  <w:tcBorders>
                    <w:top w:val="nil"/>
                    <w:left w:val="single" w:sz="4" w:space="0" w:color="auto"/>
                    <w:bottom w:val="nil"/>
                    <w:right w:val="single" w:sz="4" w:space="0" w:color="auto"/>
                  </w:tcBorders>
                  <w:vAlign w:val="center"/>
                  <w:hideMark/>
                </w:tcPr>
                <w:p w14:paraId="7F550EDE" w14:textId="77777777" w:rsidR="00FC5566" w:rsidRPr="00FC5566" w:rsidRDefault="00FC5566" w:rsidP="00FC5566">
                  <w:pPr>
                    <w:jc w:val="center"/>
                    <w:rPr>
                      <w:sz w:val="16"/>
                      <w:szCs w:val="16"/>
                    </w:rPr>
                  </w:pPr>
                  <w:r w:rsidRPr="00FC5566">
                    <w:rPr>
                      <w:sz w:val="16"/>
                      <w:szCs w:val="16"/>
                    </w:rPr>
                    <w:t>330</w:t>
                  </w:r>
                </w:p>
              </w:tc>
              <w:tc>
                <w:tcPr>
                  <w:tcW w:w="1126" w:type="dxa"/>
                  <w:tcBorders>
                    <w:top w:val="nil"/>
                    <w:left w:val="single" w:sz="4" w:space="0" w:color="auto"/>
                    <w:bottom w:val="nil"/>
                    <w:right w:val="single" w:sz="4" w:space="0" w:color="auto"/>
                  </w:tcBorders>
                  <w:vAlign w:val="center"/>
                  <w:hideMark/>
                </w:tcPr>
                <w:p w14:paraId="7D28492A" w14:textId="77777777" w:rsidR="00FC5566" w:rsidRPr="00FC5566" w:rsidRDefault="00FC5566" w:rsidP="00FC5566">
                  <w:pPr>
                    <w:jc w:val="center"/>
                    <w:rPr>
                      <w:sz w:val="16"/>
                      <w:szCs w:val="16"/>
                    </w:rPr>
                  </w:pPr>
                  <w:r w:rsidRPr="00FC5566">
                    <w:rPr>
                      <w:sz w:val="16"/>
                      <w:szCs w:val="16"/>
                    </w:rPr>
                    <w:t>395</w:t>
                  </w:r>
                </w:p>
              </w:tc>
              <w:tc>
                <w:tcPr>
                  <w:tcW w:w="1440" w:type="dxa"/>
                  <w:tcBorders>
                    <w:top w:val="nil"/>
                    <w:left w:val="single" w:sz="4" w:space="0" w:color="auto"/>
                    <w:bottom w:val="nil"/>
                    <w:right w:val="single" w:sz="4" w:space="0" w:color="auto"/>
                  </w:tcBorders>
                  <w:vAlign w:val="center"/>
                  <w:hideMark/>
                </w:tcPr>
                <w:p w14:paraId="0D8BCD77" w14:textId="77777777" w:rsidR="00FC5566" w:rsidRPr="00FC5566" w:rsidRDefault="00FC5566" w:rsidP="00FC5566">
                  <w:pPr>
                    <w:jc w:val="center"/>
                    <w:rPr>
                      <w:sz w:val="16"/>
                      <w:szCs w:val="16"/>
                    </w:rPr>
                  </w:pPr>
                  <w:r w:rsidRPr="00FC5566">
                    <w:rPr>
                      <w:sz w:val="16"/>
                      <w:szCs w:val="16"/>
                    </w:rPr>
                    <w:t>445</w:t>
                  </w:r>
                </w:p>
              </w:tc>
              <w:tc>
                <w:tcPr>
                  <w:tcW w:w="1175" w:type="dxa"/>
                  <w:tcBorders>
                    <w:top w:val="nil"/>
                    <w:left w:val="single" w:sz="4" w:space="0" w:color="auto"/>
                    <w:bottom w:val="nil"/>
                    <w:right w:val="single" w:sz="4" w:space="0" w:color="auto"/>
                  </w:tcBorders>
                  <w:vAlign w:val="center"/>
                  <w:hideMark/>
                </w:tcPr>
                <w:p w14:paraId="475615C9" w14:textId="77777777" w:rsidR="00FC5566" w:rsidRPr="00FC5566" w:rsidRDefault="00FC5566" w:rsidP="00FC5566">
                  <w:pPr>
                    <w:jc w:val="center"/>
                    <w:rPr>
                      <w:sz w:val="16"/>
                      <w:szCs w:val="16"/>
                    </w:rPr>
                  </w:pPr>
                  <w:r w:rsidRPr="00FC5566">
                    <w:rPr>
                      <w:sz w:val="16"/>
                      <w:szCs w:val="16"/>
                    </w:rPr>
                    <w:t>800</w:t>
                  </w:r>
                </w:p>
              </w:tc>
            </w:tr>
            <w:tr w:rsidR="00FC5566" w:rsidRPr="00FC5566" w14:paraId="3196638E" w14:textId="77777777" w:rsidTr="00B247D5">
              <w:trPr>
                <w:jc w:val="center"/>
              </w:trPr>
              <w:tc>
                <w:tcPr>
                  <w:tcW w:w="1255" w:type="dxa"/>
                  <w:tcBorders>
                    <w:top w:val="nil"/>
                    <w:left w:val="single" w:sz="4" w:space="0" w:color="auto"/>
                    <w:bottom w:val="single" w:sz="4" w:space="0" w:color="auto"/>
                    <w:right w:val="single" w:sz="4" w:space="0" w:color="auto"/>
                  </w:tcBorders>
                  <w:vAlign w:val="center"/>
                  <w:hideMark/>
                </w:tcPr>
                <w:p w14:paraId="18605FB0" w14:textId="77777777" w:rsidR="00FC5566" w:rsidRPr="00FC5566" w:rsidRDefault="00FC5566" w:rsidP="00FC5566">
                  <w:pPr>
                    <w:jc w:val="center"/>
                    <w:rPr>
                      <w:sz w:val="16"/>
                      <w:szCs w:val="16"/>
                    </w:rPr>
                  </w:pPr>
                  <w:r w:rsidRPr="00FC5566">
                    <w:rPr>
                      <w:sz w:val="16"/>
                      <w:szCs w:val="16"/>
                    </w:rPr>
                    <w:t>900</w:t>
                  </w:r>
                </w:p>
              </w:tc>
              <w:tc>
                <w:tcPr>
                  <w:tcW w:w="1170" w:type="dxa"/>
                  <w:tcBorders>
                    <w:top w:val="nil"/>
                    <w:left w:val="single" w:sz="4" w:space="0" w:color="auto"/>
                    <w:bottom w:val="single" w:sz="4" w:space="0" w:color="auto"/>
                    <w:right w:val="single" w:sz="4" w:space="0" w:color="auto"/>
                  </w:tcBorders>
                  <w:vAlign w:val="center"/>
                  <w:hideMark/>
                </w:tcPr>
                <w:p w14:paraId="4443A27A" w14:textId="77777777" w:rsidR="00FC5566" w:rsidRPr="00FC5566" w:rsidRDefault="00FC5566" w:rsidP="00FC5566">
                  <w:pPr>
                    <w:jc w:val="center"/>
                    <w:rPr>
                      <w:sz w:val="16"/>
                      <w:szCs w:val="16"/>
                    </w:rPr>
                  </w:pPr>
                  <w:r w:rsidRPr="00FC5566">
                    <w:rPr>
                      <w:sz w:val="16"/>
                      <w:szCs w:val="16"/>
                    </w:rPr>
                    <w:t>435</w:t>
                  </w:r>
                </w:p>
              </w:tc>
              <w:tc>
                <w:tcPr>
                  <w:tcW w:w="1260" w:type="dxa"/>
                  <w:tcBorders>
                    <w:top w:val="nil"/>
                    <w:left w:val="single" w:sz="4" w:space="0" w:color="auto"/>
                    <w:bottom w:val="single" w:sz="4" w:space="0" w:color="auto"/>
                    <w:right w:val="single" w:sz="4" w:space="0" w:color="auto"/>
                  </w:tcBorders>
                  <w:vAlign w:val="center"/>
                  <w:hideMark/>
                </w:tcPr>
                <w:p w14:paraId="71BCFD5B" w14:textId="77777777" w:rsidR="00FC5566" w:rsidRPr="00FC5566" w:rsidRDefault="00FC5566" w:rsidP="00FC5566">
                  <w:pPr>
                    <w:jc w:val="center"/>
                    <w:rPr>
                      <w:sz w:val="16"/>
                      <w:szCs w:val="16"/>
                    </w:rPr>
                  </w:pPr>
                  <w:r w:rsidRPr="00FC5566">
                    <w:rPr>
                      <w:sz w:val="16"/>
                      <w:szCs w:val="16"/>
                    </w:rPr>
                    <w:t>520</w:t>
                  </w:r>
                </w:p>
              </w:tc>
              <w:tc>
                <w:tcPr>
                  <w:tcW w:w="1440" w:type="dxa"/>
                  <w:tcBorders>
                    <w:top w:val="nil"/>
                    <w:left w:val="single" w:sz="4" w:space="0" w:color="auto"/>
                    <w:bottom w:val="single" w:sz="4" w:space="0" w:color="auto"/>
                    <w:right w:val="single" w:sz="4" w:space="0" w:color="auto"/>
                  </w:tcBorders>
                  <w:vAlign w:val="center"/>
                  <w:hideMark/>
                </w:tcPr>
                <w:p w14:paraId="7A50807E" w14:textId="77777777" w:rsidR="00FC5566" w:rsidRPr="00FC5566" w:rsidRDefault="00FC5566" w:rsidP="00FC5566">
                  <w:pPr>
                    <w:jc w:val="center"/>
                    <w:rPr>
                      <w:sz w:val="16"/>
                      <w:szCs w:val="16"/>
                    </w:rPr>
                  </w:pPr>
                  <w:r w:rsidRPr="00FC5566">
                    <w:rPr>
                      <w:sz w:val="16"/>
                      <w:szCs w:val="16"/>
                    </w:rPr>
                    <w:t>585</w:t>
                  </w:r>
                </w:p>
              </w:tc>
              <w:tc>
                <w:tcPr>
                  <w:tcW w:w="1124" w:type="dxa"/>
                  <w:tcBorders>
                    <w:top w:val="nil"/>
                    <w:left w:val="single" w:sz="4" w:space="0" w:color="auto"/>
                    <w:bottom w:val="single" w:sz="4" w:space="0" w:color="auto"/>
                    <w:right w:val="single" w:sz="4" w:space="0" w:color="auto"/>
                  </w:tcBorders>
                  <w:vAlign w:val="center"/>
                  <w:hideMark/>
                </w:tcPr>
                <w:p w14:paraId="7D5E6C76" w14:textId="77777777" w:rsidR="00FC5566" w:rsidRPr="00FC5566" w:rsidRDefault="00FC5566" w:rsidP="00FC5566">
                  <w:pPr>
                    <w:jc w:val="center"/>
                    <w:rPr>
                      <w:sz w:val="16"/>
                      <w:szCs w:val="16"/>
                    </w:rPr>
                  </w:pPr>
                  <w:r w:rsidRPr="00FC5566">
                    <w:rPr>
                      <w:sz w:val="16"/>
                      <w:szCs w:val="16"/>
                    </w:rPr>
                    <w:t>355</w:t>
                  </w:r>
                </w:p>
              </w:tc>
              <w:tc>
                <w:tcPr>
                  <w:tcW w:w="1126" w:type="dxa"/>
                  <w:tcBorders>
                    <w:top w:val="nil"/>
                    <w:left w:val="single" w:sz="4" w:space="0" w:color="auto"/>
                    <w:bottom w:val="single" w:sz="4" w:space="0" w:color="auto"/>
                    <w:right w:val="single" w:sz="4" w:space="0" w:color="auto"/>
                  </w:tcBorders>
                  <w:vAlign w:val="center"/>
                  <w:hideMark/>
                </w:tcPr>
                <w:p w14:paraId="2A73F377" w14:textId="77777777" w:rsidR="00FC5566" w:rsidRPr="00FC5566" w:rsidRDefault="00FC5566" w:rsidP="00FC5566">
                  <w:pPr>
                    <w:jc w:val="center"/>
                    <w:rPr>
                      <w:sz w:val="16"/>
                      <w:szCs w:val="16"/>
                    </w:rPr>
                  </w:pPr>
                  <w:r w:rsidRPr="00FC5566">
                    <w:rPr>
                      <w:sz w:val="16"/>
                      <w:szCs w:val="16"/>
                    </w:rPr>
                    <w:t>425</w:t>
                  </w:r>
                </w:p>
              </w:tc>
              <w:tc>
                <w:tcPr>
                  <w:tcW w:w="1440" w:type="dxa"/>
                  <w:tcBorders>
                    <w:top w:val="nil"/>
                    <w:left w:val="single" w:sz="4" w:space="0" w:color="auto"/>
                    <w:bottom w:val="single" w:sz="4" w:space="0" w:color="auto"/>
                    <w:right w:val="single" w:sz="4" w:space="0" w:color="auto"/>
                  </w:tcBorders>
                  <w:vAlign w:val="center"/>
                  <w:hideMark/>
                </w:tcPr>
                <w:p w14:paraId="3D4FD4CD" w14:textId="77777777" w:rsidR="00FC5566" w:rsidRPr="00FC5566" w:rsidRDefault="00FC5566" w:rsidP="00FC5566">
                  <w:pPr>
                    <w:jc w:val="center"/>
                    <w:rPr>
                      <w:sz w:val="16"/>
                      <w:szCs w:val="16"/>
                    </w:rPr>
                  </w:pPr>
                  <w:r w:rsidRPr="00FC5566">
                    <w:rPr>
                      <w:sz w:val="16"/>
                      <w:szCs w:val="16"/>
                    </w:rPr>
                    <w:t>480</w:t>
                  </w:r>
                </w:p>
              </w:tc>
              <w:tc>
                <w:tcPr>
                  <w:tcW w:w="1175" w:type="dxa"/>
                  <w:tcBorders>
                    <w:top w:val="nil"/>
                    <w:left w:val="single" w:sz="4" w:space="0" w:color="auto"/>
                    <w:bottom w:val="single" w:sz="4" w:space="0" w:color="auto"/>
                    <w:right w:val="single" w:sz="4" w:space="0" w:color="auto"/>
                  </w:tcBorders>
                  <w:vAlign w:val="center"/>
                  <w:hideMark/>
                </w:tcPr>
                <w:p w14:paraId="3AA39BA2" w14:textId="77777777" w:rsidR="00FC5566" w:rsidRPr="00FC5566" w:rsidRDefault="00FC5566" w:rsidP="00FC5566">
                  <w:pPr>
                    <w:jc w:val="center"/>
                    <w:rPr>
                      <w:sz w:val="16"/>
                      <w:szCs w:val="16"/>
                    </w:rPr>
                  </w:pPr>
                  <w:r w:rsidRPr="00FC5566">
                    <w:rPr>
                      <w:sz w:val="16"/>
                      <w:szCs w:val="16"/>
                    </w:rPr>
                    <w:t>900</w:t>
                  </w:r>
                </w:p>
              </w:tc>
            </w:tr>
            <w:tr w:rsidR="00FC5566" w:rsidRPr="00FC5566" w14:paraId="7B3F311B" w14:textId="77777777" w:rsidTr="00B247D5">
              <w:trPr>
                <w:jc w:val="center"/>
              </w:trPr>
              <w:tc>
                <w:tcPr>
                  <w:tcW w:w="1255" w:type="dxa"/>
                  <w:tcBorders>
                    <w:top w:val="single" w:sz="4" w:space="0" w:color="auto"/>
                    <w:left w:val="single" w:sz="4" w:space="0" w:color="auto"/>
                    <w:bottom w:val="nil"/>
                    <w:right w:val="single" w:sz="4" w:space="0" w:color="auto"/>
                  </w:tcBorders>
                  <w:vAlign w:val="center"/>
                  <w:hideMark/>
                </w:tcPr>
                <w:p w14:paraId="7175FFEC" w14:textId="77777777" w:rsidR="00FC5566" w:rsidRPr="00FC5566" w:rsidRDefault="00FC5566" w:rsidP="00FC5566">
                  <w:pPr>
                    <w:jc w:val="center"/>
                    <w:rPr>
                      <w:sz w:val="16"/>
                      <w:szCs w:val="16"/>
                    </w:rPr>
                  </w:pPr>
                  <w:r w:rsidRPr="00FC5566">
                    <w:rPr>
                      <w:sz w:val="16"/>
                      <w:szCs w:val="16"/>
                    </w:rPr>
                    <w:t>1000</w:t>
                  </w:r>
                </w:p>
              </w:tc>
              <w:tc>
                <w:tcPr>
                  <w:tcW w:w="1170" w:type="dxa"/>
                  <w:tcBorders>
                    <w:top w:val="single" w:sz="4" w:space="0" w:color="auto"/>
                    <w:left w:val="single" w:sz="4" w:space="0" w:color="auto"/>
                    <w:bottom w:val="nil"/>
                    <w:right w:val="single" w:sz="4" w:space="0" w:color="auto"/>
                  </w:tcBorders>
                  <w:vAlign w:val="center"/>
                  <w:hideMark/>
                </w:tcPr>
                <w:p w14:paraId="56E7E98F" w14:textId="77777777" w:rsidR="00FC5566" w:rsidRPr="00FC5566" w:rsidRDefault="00FC5566" w:rsidP="00FC5566">
                  <w:pPr>
                    <w:jc w:val="center"/>
                    <w:rPr>
                      <w:sz w:val="16"/>
                      <w:szCs w:val="16"/>
                    </w:rPr>
                  </w:pPr>
                  <w:r w:rsidRPr="00FC5566">
                    <w:rPr>
                      <w:sz w:val="16"/>
                      <w:szCs w:val="16"/>
                    </w:rPr>
                    <w:t>455</w:t>
                  </w:r>
                </w:p>
              </w:tc>
              <w:tc>
                <w:tcPr>
                  <w:tcW w:w="1260" w:type="dxa"/>
                  <w:tcBorders>
                    <w:top w:val="single" w:sz="4" w:space="0" w:color="auto"/>
                    <w:left w:val="single" w:sz="4" w:space="0" w:color="auto"/>
                    <w:bottom w:val="nil"/>
                    <w:right w:val="single" w:sz="4" w:space="0" w:color="auto"/>
                  </w:tcBorders>
                  <w:vAlign w:val="center"/>
                  <w:hideMark/>
                </w:tcPr>
                <w:p w14:paraId="19F7F149" w14:textId="77777777" w:rsidR="00FC5566" w:rsidRPr="00FC5566" w:rsidRDefault="00FC5566" w:rsidP="00FC5566">
                  <w:pPr>
                    <w:jc w:val="center"/>
                    <w:rPr>
                      <w:sz w:val="16"/>
                      <w:szCs w:val="16"/>
                    </w:rPr>
                  </w:pPr>
                  <w:r w:rsidRPr="00FC5566">
                    <w:rPr>
                      <w:sz w:val="16"/>
                      <w:szCs w:val="16"/>
                    </w:rPr>
                    <w:t>545</w:t>
                  </w:r>
                </w:p>
              </w:tc>
              <w:tc>
                <w:tcPr>
                  <w:tcW w:w="1440" w:type="dxa"/>
                  <w:tcBorders>
                    <w:top w:val="single" w:sz="4" w:space="0" w:color="auto"/>
                    <w:left w:val="single" w:sz="4" w:space="0" w:color="auto"/>
                    <w:bottom w:val="nil"/>
                    <w:right w:val="single" w:sz="4" w:space="0" w:color="auto"/>
                  </w:tcBorders>
                  <w:vAlign w:val="center"/>
                  <w:hideMark/>
                </w:tcPr>
                <w:p w14:paraId="57F04B4B" w14:textId="77777777" w:rsidR="00FC5566" w:rsidRPr="00FC5566" w:rsidRDefault="00FC5566" w:rsidP="00FC5566">
                  <w:pPr>
                    <w:jc w:val="center"/>
                    <w:rPr>
                      <w:sz w:val="16"/>
                      <w:szCs w:val="16"/>
                    </w:rPr>
                  </w:pPr>
                  <w:r w:rsidRPr="00FC5566">
                    <w:rPr>
                      <w:sz w:val="16"/>
                      <w:szCs w:val="16"/>
                    </w:rPr>
                    <w:t>615</w:t>
                  </w:r>
                </w:p>
              </w:tc>
              <w:tc>
                <w:tcPr>
                  <w:tcW w:w="1124" w:type="dxa"/>
                  <w:tcBorders>
                    <w:top w:val="single" w:sz="4" w:space="0" w:color="auto"/>
                    <w:left w:val="single" w:sz="4" w:space="0" w:color="auto"/>
                    <w:bottom w:val="nil"/>
                    <w:right w:val="single" w:sz="4" w:space="0" w:color="auto"/>
                  </w:tcBorders>
                  <w:vAlign w:val="center"/>
                  <w:hideMark/>
                </w:tcPr>
                <w:p w14:paraId="38856AEA" w14:textId="77777777" w:rsidR="00FC5566" w:rsidRPr="00FC5566" w:rsidRDefault="00FC5566" w:rsidP="00FC5566">
                  <w:pPr>
                    <w:jc w:val="center"/>
                    <w:rPr>
                      <w:sz w:val="16"/>
                      <w:szCs w:val="16"/>
                    </w:rPr>
                  </w:pPr>
                  <w:r w:rsidRPr="00FC5566">
                    <w:rPr>
                      <w:sz w:val="16"/>
                      <w:szCs w:val="16"/>
                    </w:rPr>
                    <w:t>375</w:t>
                  </w:r>
                </w:p>
              </w:tc>
              <w:tc>
                <w:tcPr>
                  <w:tcW w:w="1126" w:type="dxa"/>
                  <w:tcBorders>
                    <w:top w:val="single" w:sz="4" w:space="0" w:color="auto"/>
                    <w:left w:val="single" w:sz="4" w:space="0" w:color="auto"/>
                    <w:bottom w:val="nil"/>
                    <w:right w:val="single" w:sz="4" w:space="0" w:color="auto"/>
                  </w:tcBorders>
                  <w:vAlign w:val="center"/>
                  <w:hideMark/>
                </w:tcPr>
                <w:p w14:paraId="716377B5" w14:textId="77777777" w:rsidR="00FC5566" w:rsidRPr="00FC5566" w:rsidRDefault="00FC5566" w:rsidP="00FC5566">
                  <w:pPr>
                    <w:jc w:val="center"/>
                    <w:rPr>
                      <w:sz w:val="16"/>
                      <w:szCs w:val="16"/>
                    </w:rPr>
                  </w:pPr>
                  <w:r w:rsidRPr="00FC5566">
                    <w:rPr>
                      <w:sz w:val="16"/>
                      <w:szCs w:val="16"/>
                    </w:rPr>
                    <w:t>445</w:t>
                  </w:r>
                </w:p>
              </w:tc>
              <w:tc>
                <w:tcPr>
                  <w:tcW w:w="1440" w:type="dxa"/>
                  <w:tcBorders>
                    <w:top w:val="single" w:sz="4" w:space="0" w:color="auto"/>
                    <w:left w:val="single" w:sz="4" w:space="0" w:color="auto"/>
                    <w:bottom w:val="nil"/>
                    <w:right w:val="single" w:sz="4" w:space="0" w:color="auto"/>
                  </w:tcBorders>
                  <w:vAlign w:val="center"/>
                  <w:hideMark/>
                </w:tcPr>
                <w:p w14:paraId="0FF45FC1" w14:textId="77777777" w:rsidR="00FC5566" w:rsidRPr="00FC5566" w:rsidRDefault="00FC5566" w:rsidP="00FC5566">
                  <w:pPr>
                    <w:jc w:val="center"/>
                    <w:rPr>
                      <w:sz w:val="16"/>
                      <w:szCs w:val="16"/>
                    </w:rPr>
                  </w:pPr>
                  <w:r w:rsidRPr="00FC5566">
                    <w:rPr>
                      <w:sz w:val="16"/>
                      <w:szCs w:val="16"/>
                    </w:rPr>
                    <w:t>500</w:t>
                  </w:r>
                </w:p>
              </w:tc>
              <w:tc>
                <w:tcPr>
                  <w:tcW w:w="1175" w:type="dxa"/>
                  <w:tcBorders>
                    <w:top w:val="single" w:sz="4" w:space="0" w:color="auto"/>
                    <w:left w:val="single" w:sz="4" w:space="0" w:color="auto"/>
                    <w:bottom w:val="nil"/>
                    <w:right w:val="single" w:sz="4" w:space="0" w:color="auto"/>
                  </w:tcBorders>
                  <w:vAlign w:val="center"/>
                  <w:hideMark/>
                </w:tcPr>
                <w:p w14:paraId="2D0A327A" w14:textId="77777777" w:rsidR="00FC5566" w:rsidRPr="00FC5566" w:rsidRDefault="00FC5566" w:rsidP="00FC5566">
                  <w:pPr>
                    <w:jc w:val="center"/>
                    <w:rPr>
                      <w:sz w:val="16"/>
                      <w:szCs w:val="16"/>
                    </w:rPr>
                  </w:pPr>
                  <w:r w:rsidRPr="00FC5566">
                    <w:rPr>
                      <w:sz w:val="16"/>
                      <w:szCs w:val="16"/>
                    </w:rPr>
                    <w:t>1000</w:t>
                  </w:r>
                </w:p>
              </w:tc>
            </w:tr>
            <w:tr w:rsidR="00FC5566" w:rsidRPr="00FC5566" w14:paraId="30DE31FF" w14:textId="77777777" w:rsidTr="00B247D5">
              <w:trPr>
                <w:jc w:val="center"/>
              </w:trPr>
              <w:tc>
                <w:tcPr>
                  <w:tcW w:w="1255" w:type="dxa"/>
                  <w:tcBorders>
                    <w:top w:val="nil"/>
                    <w:left w:val="single" w:sz="4" w:space="0" w:color="auto"/>
                    <w:bottom w:val="nil"/>
                    <w:right w:val="single" w:sz="4" w:space="0" w:color="auto"/>
                  </w:tcBorders>
                  <w:vAlign w:val="center"/>
                  <w:hideMark/>
                </w:tcPr>
                <w:p w14:paraId="424BE141" w14:textId="77777777" w:rsidR="00FC5566" w:rsidRPr="00FC5566" w:rsidRDefault="00FC5566" w:rsidP="00FC5566">
                  <w:pPr>
                    <w:jc w:val="center"/>
                    <w:rPr>
                      <w:sz w:val="16"/>
                      <w:szCs w:val="16"/>
                    </w:rPr>
                  </w:pPr>
                  <w:r w:rsidRPr="00FC5566">
                    <w:rPr>
                      <w:sz w:val="16"/>
                      <w:szCs w:val="16"/>
                    </w:rPr>
                    <w:t>1250</w:t>
                  </w:r>
                </w:p>
              </w:tc>
              <w:tc>
                <w:tcPr>
                  <w:tcW w:w="1170" w:type="dxa"/>
                  <w:tcBorders>
                    <w:top w:val="nil"/>
                    <w:left w:val="single" w:sz="4" w:space="0" w:color="auto"/>
                    <w:bottom w:val="nil"/>
                    <w:right w:val="single" w:sz="4" w:space="0" w:color="auto"/>
                  </w:tcBorders>
                  <w:vAlign w:val="center"/>
                  <w:hideMark/>
                </w:tcPr>
                <w:p w14:paraId="740D4B9C" w14:textId="77777777" w:rsidR="00FC5566" w:rsidRPr="00FC5566" w:rsidRDefault="00FC5566" w:rsidP="00FC5566">
                  <w:pPr>
                    <w:jc w:val="center"/>
                    <w:rPr>
                      <w:sz w:val="16"/>
                      <w:szCs w:val="16"/>
                    </w:rPr>
                  </w:pPr>
                  <w:r w:rsidRPr="00FC5566">
                    <w:rPr>
                      <w:sz w:val="16"/>
                      <w:szCs w:val="16"/>
                    </w:rPr>
                    <w:t>495</w:t>
                  </w:r>
                </w:p>
              </w:tc>
              <w:tc>
                <w:tcPr>
                  <w:tcW w:w="1260" w:type="dxa"/>
                  <w:tcBorders>
                    <w:top w:val="nil"/>
                    <w:left w:val="single" w:sz="4" w:space="0" w:color="auto"/>
                    <w:bottom w:val="nil"/>
                    <w:right w:val="single" w:sz="4" w:space="0" w:color="auto"/>
                  </w:tcBorders>
                  <w:vAlign w:val="center"/>
                  <w:hideMark/>
                </w:tcPr>
                <w:p w14:paraId="3D1A8713" w14:textId="77777777" w:rsidR="00FC5566" w:rsidRPr="00FC5566" w:rsidRDefault="00FC5566" w:rsidP="00FC5566">
                  <w:pPr>
                    <w:jc w:val="center"/>
                    <w:rPr>
                      <w:sz w:val="16"/>
                      <w:szCs w:val="16"/>
                    </w:rPr>
                  </w:pPr>
                  <w:r w:rsidRPr="00FC5566">
                    <w:rPr>
                      <w:sz w:val="16"/>
                      <w:szCs w:val="16"/>
                    </w:rPr>
                    <w:t>590</w:t>
                  </w:r>
                </w:p>
              </w:tc>
              <w:tc>
                <w:tcPr>
                  <w:tcW w:w="1440" w:type="dxa"/>
                  <w:tcBorders>
                    <w:top w:val="nil"/>
                    <w:left w:val="single" w:sz="4" w:space="0" w:color="auto"/>
                    <w:bottom w:val="nil"/>
                    <w:right w:val="single" w:sz="4" w:space="0" w:color="auto"/>
                  </w:tcBorders>
                  <w:vAlign w:val="center"/>
                  <w:hideMark/>
                </w:tcPr>
                <w:p w14:paraId="3DBCB0DB" w14:textId="77777777" w:rsidR="00FC5566" w:rsidRPr="00FC5566" w:rsidRDefault="00FC5566" w:rsidP="00FC5566">
                  <w:pPr>
                    <w:jc w:val="center"/>
                    <w:rPr>
                      <w:sz w:val="16"/>
                      <w:szCs w:val="16"/>
                    </w:rPr>
                  </w:pPr>
                  <w:r w:rsidRPr="00FC5566">
                    <w:rPr>
                      <w:sz w:val="16"/>
                      <w:szCs w:val="16"/>
                    </w:rPr>
                    <w:t>665</w:t>
                  </w:r>
                </w:p>
              </w:tc>
              <w:tc>
                <w:tcPr>
                  <w:tcW w:w="1124" w:type="dxa"/>
                  <w:tcBorders>
                    <w:top w:val="nil"/>
                    <w:left w:val="single" w:sz="4" w:space="0" w:color="auto"/>
                    <w:bottom w:val="nil"/>
                    <w:right w:val="single" w:sz="4" w:space="0" w:color="auto"/>
                  </w:tcBorders>
                  <w:vAlign w:val="center"/>
                  <w:hideMark/>
                </w:tcPr>
                <w:p w14:paraId="0AD989F1" w14:textId="77777777" w:rsidR="00FC5566" w:rsidRPr="00FC5566" w:rsidRDefault="00FC5566" w:rsidP="00FC5566">
                  <w:pPr>
                    <w:jc w:val="center"/>
                    <w:rPr>
                      <w:sz w:val="16"/>
                      <w:szCs w:val="16"/>
                    </w:rPr>
                  </w:pPr>
                  <w:r w:rsidRPr="00FC5566">
                    <w:rPr>
                      <w:sz w:val="16"/>
                      <w:szCs w:val="16"/>
                    </w:rPr>
                    <w:t>405</w:t>
                  </w:r>
                </w:p>
              </w:tc>
              <w:tc>
                <w:tcPr>
                  <w:tcW w:w="1126" w:type="dxa"/>
                  <w:tcBorders>
                    <w:top w:val="nil"/>
                    <w:left w:val="single" w:sz="4" w:space="0" w:color="auto"/>
                    <w:bottom w:val="nil"/>
                    <w:right w:val="single" w:sz="4" w:space="0" w:color="auto"/>
                  </w:tcBorders>
                  <w:vAlign w:val="center"/>
                  <w:hideMark/>
                </w:tcPr>
                <w:p w14:paraId="568DA7DC" w14:textId="77777777" w:rsidR="00FC5566" w:rsidRPr="00FC5566" w:rsidRDefault="00FC5566" w:rsidP="00FC5566">
                  <w:pPr>
                    <w:jc w:val="center"/>
                    <w:rPr>
                      <w:sz w:val="16"/>
                      <w:szCs w:val="16"/>
                    </w:rPr>
                  </w:pPr>
                  <w:r w:rsidRPr="00FC5566">
                    <w:rPr>
                      <w:sz w:val="16"/>
                      <w:szCs w:val="16"/>
                    </w:rPr>
                    <w:t>485</w:t>
                  </w:r>
                </w:p>
              </w:tc>
              <w:tc>
                <w:tcPr>
                  <w:tcW w:w="1440" w:type="dxa"/>
                  <w:tcBorders>
                    <w:top w:val="nil"/>
                    <w:left w:val="single" w:sz="4" w:space="0" w:color="auto"/>
                    <w:bottom w:val="nil"/>
                    <w:right w:val="single" w:sz="4" w:space="0" w:color="auto"/>
                  </w:tcBorders>
                  <w:vAlign w:val="center"/>
                  <w:hideMark/>
                </w:tcPr>
                <w:p w14:paraId="136D7D70" w14:textId="77777777" w:rsidR="00FC5566" w:rsidRPr="00FC5566" w:rsidRDefault="00FC5566" w:rsidP="00FC5566">
                  <w:pPr>
                    <w:jc w:val="center"/>
                    <w:rPr>
                      <w:sz w:val="16"/>
                      <w:szCs w:val="16"/>
                    </w:rPr>
                  </w:pPr>
                  <w:r w:rsidRPr="00FC5566">
                    <w:rPr>
                      <w:sz w:val="16"/>
                      <w:szCs w:val="16"/>
                    </w:rPr>
                    <w:t>545</w:t>
                  </w:r>
                </w:p>
              </w:tc>
              <w:tc>
                <w:tcPr>
                  <w:tcW w:w="1175" w:type="dxa"/>
                  <w:tcBorders>
                    <w:top w:val="nil"/>
                    <w:left w:val="single" w:sz="4" w:space="0" w:color="auto"/>
                    <w:bottom w:val="nil"/>
                    <w:right w:val="single" w:sz="4" w:space="0" w:color="auto"/>
                  </w:tcBorders>
                  <w:vAlign w:val="center"/>
                  <w:hideMark/>
                </w:tcPr>
                <w:p w14:paraId="6A71F558" w14:textId="77777777" w:rsidR="00FC5566" w:rsidRPr="00FC5566" w:rsidRDefault="00FC5566" w:rsidP="00FC5566">
                  <w:pPr>
                    <w:jc w:val="center"/>
                    <w:rPr>
                      <w:sz w:val="16"/>
                      <w:szCs w:val="16"/>
                    </w:rPr>
                  </w:pPr>
                  <w:r w:rsidRPr="00FC5566">
                    <w:rPr>
                      <w:sz w:val="16"/>
                      <w:szCs w:val="16"/>
                    </w:rPr>
                    <w:t>1250</w:t>
                  </w:r>
                </w:p>
              </w:tc>
            </w:tr>
            <w:tr w:rsidR="00FC5566" w:rsidRPr="00FC5566" w14:paraId="4C244064" w14:textId="77777777" w:rsidTr="00B247D5">
              <w:trPr>
                <w:jc w:val="center"/>
              </w:trPr>
              <w:tc>
                <w:tcPr>
                  <w:tcW w:w="1255" w:type="dxa"/>
                  <w:tcBorders>
                    <w:top w:val="nil"/>
                    <w:left w:val="single" w:sz="4" w:space="0" w:color="auto"/>
                    <w:bottom w:val="nil"/>
                    <w:right w:val="single" w:sz="4" w:space="0" w:color="auto"/>
                  </w:tcBorders>
                  <w:vAlign w:val="center"/>
                  <w:hideMark/>
                </w:tcPr>
                <w:p w14:paraId="5730D53C" w14:textId="77777777" w:rsidR="00FC5566" w:rsidRPr="00FC5566" w:rsidRDefault="00FC5566" w:rsidP="00FC5566">
                  <w:pPr>
                    <w:jc w:val="center"/>
                    <w:rPr>
                      <w:sz w:val="16"/>
                      <w:szCs w:val="16"/>
                    </w:rPr>
                  </w:pPr>
                  <w:r w:rsidRPr="00FC5566">
                    <w:rPr>
                      <w:sz w:val="16"/>
                      <w:szCs w:val="16"/>
                    </w:rPr>
                    <w:t>1500</w:t>
                  </w:r>
                </w:p>
              </w:tc>
              <w:tc>
                <w:tcPr>
                  <w:tcW w:w="1170" w:type="dxa"/>
                  <w:tcBorders>
                    <w:top w:val="nil"/>
                    <w:left w:val="single" w:sz="4" w:space="0" w:color="auto"/>
                    <w:bottom w:val="nil"/>
                    <w:right w:val="single" w:sz="4" w:space="0" w:color="auto"/>
                  </w:tcBorders>
                  <w:vAlign w:val="center"/>
                  <w:hideMark/>
                </w:tcPr>
                <w:p w14:paraId="07713139" w14:textId="77777777" w:rsidR="00FC5566" w:rsidRPr="00FC5566" w:rsidRDefault="00FC5566" w:rsidP="00FC5566">
                  <w:pPr>
                    <w:jc w:val="center"/>
                    <w:rPr>
                      <w:sz w:val="16"/>
                      <w:szCs w:val="16"/>
                    </w:rPr>
                  </w:pPr>
                  <w:r w:rsidRPr="00FC5566">
                    <w:rPr>
                      <w:sz w:val="16"/>
                      <w:szCs w:val="16"/>
                    </w:rPr>
                    <w:t>525</w:t>
                  </w:r>
                </w:p>
              </w:tc>
              <w:tc>
                <w:tcPr>
                  <w:tcW w:w="1260" w:type="dxa"/>
                  <w:tcBorders>
                    <w:top w:val="nil"/>
                    <w:left w:val="single" w:sz="4" w:space="0" w:color="auto"/>
                    <w:bottom w:val="nil"/>
                    <w:right w:val="single" w:sz="4" w:space="0" w:color="auto"/>
                  </w:tcBorders>
                  <w:vAlign w:val="center"/>
                  <w:hideMark/>
                </w:tcPr>
                <w:p w14:paraId="1C7A03B1" w14:textId="77777777" w:rsidR="00FC5566" w:rsidRPr="00FC5566" w:rsidRDefault="00FC5566" w:rsidP="00FC5566">
                  <w:pPr>
                    <w:jc w:val="center"/>
                    <w:rPr>
                      <w:sz w:val="16"/>
                      <w:szCs w:val="16"/>
                    </w:rPr>
                  </w:pPr>
                  <w:r w:rsidRPr="00FC5566">
                    <w:rPr>
                      <w:sz w:val="16"/>
                      <w:szCs w:val="16"/>
                    </w:rPr>
                    <w:t>625</w:t>
                  </w:r>
                </w:p>
              </w:tc>
              <w:tc>
                <w:tcPr>
                  <w:tcW w:w="1440" w:type="dxa"/>
                  <w:tcBorders>
                    <w:top w:val="nil"/>
                    <w:left w:val="single" w:sz="4" w:space="0" w:color="auto"/>
                    <w:bottom w:val="nil"/>
                    <w:right w:val="single" w:sz="4" w:space="0" w:color="auto"/>
                  </w:tcBorders>
                  <w:vAlign w:val="center"/>
                  <w:hideMark/>
                </w:tcPr>
                <w:p w14:paraId="0FEC68AF" w14:textId="77777777" w:rsidR="00FC5566" w:rsidRPr="00FC5566" w:rsidRDefault="00FC5566" w:rsidP="00FC5566">
                  <w:pPr>
                    <w:jc w:val="center"/>
                    <w:rPr>
                      <w:sz w:val="16"/>
                      <w:szCs w:val="16"/>
                    </w:rPr>
                  </w:pPr>
                  <w:r w:rsidRPr="00FC5566">
                    <w:rPr>
                      <w:sz w:val="16"/>
                      <w:szCs w:val="16"/>
                    </w:rPr>
                    <w:t>705</w:t>
                  </w:r>
                </w:p>
              </w:tc>
              <w:tc>
                <w:tcPr>
                  <w:tcW w:w="1124" w:type="dxa"/>
                  <w:tcBorders>
                    <w:top w:val="nil"/>
                    <w:left w:val="single" w:sz="4" w:space="0" w:color="auto"/>
                    <w:bottom w:val="nil"/>
                    <w:right w:val="single" w:sz="4" w:space="0" w:color="auto"/>
                  </w:tcBorders>
                  <w:vAlign w:val="center"/>
                  <w:hideMark/>
                </w:tcPr>
                <w:p w14:paraId="7B78AAB5" w14:textId="77777777" w:rsidR="00FC5566" w:rsidRPr="00FC5566" w:rsidRDefault="00FC5566" w:rsidP="00FC5566">
                  <w:pPr>
                    <w:jc w:val="center"/>
                    <w:rPr>
                      <w:sz w:val="16"/>
                      <w:szCs w:val="16"/>
                    </w:rPr>
                  </w:pPr>
                  <w:r w:rsidRPr="00FC5566">
                    <w:rPr>
                      <w:sz w:val="16"/>
                      <w:szCs w:val="16"/>
                    </w:rPr>
                    <w:t>435</w:t>
                  </w:r>
                </w:p>
              </w:tc>
              <w:tc>
                <w:tcPr>
                  <w:tcW w:w="1126" w:type="dxa"/>
                  <w:tcBorders>
                    <w:top w:val="nil"/>
                    <w:left w:val="single" w:sz="4" w:space="0" w:color="auto"/>
                    <w:bottom w:val="nil"/>
                    <w:right w:val="single" w:sz="4" w:space="0" w:color="auto"/>
                  </w:tcBorders>
                  <w:vAlign w:val="center"/>
                  <w:hideMark/>
                </w:tcPr>
                <w:p w14:paraId="5F39D73D" w14:textId="77777777" w:rsidR="00FC5566" w:rsidRPr="00FC5566" w:rsidRDefault="00FC5566" w:rsidP="00FC5566">
                  <w:pPr>
                    <w:jc w:val="center"/>
                    <w:rPr>
                      <w:sz w:val="16"/>
                      <w:szCs w:val="16"/>
                    </w:rPr>
                  </w:pPr>
                  <w:r w:rsidRPr="00FC5566">
                    <w:rPr>
                      <w:sz w:val="16"/>
                      <w:szCs w:val="16"/>
                    </w:rPr>
                    <w:t>520</w:t>
                  </w:r>
                </w:p>
              </w:tc>
              <w:tc>
                <w:tcPr>
                  <w:tcW w:w="1440" w:type="dxa"/>
                  <w:tcBorders>
                    <w:top w:val="nil"/>
                    <w:left w:val="single" w:sz="4" w:space="0" w:color="auto"/>
                    <w:bottom w:val="nil"/>
                    <w:right w:val="single" w:sz="4" w:space="0" w:color="auto"/>
                  </w:tcBorders>
                  <w:vAlign w:val="center"/>
                  <w:hideMark/>
                </w:tcPr>
                <w:p w14:paraId="4903382B" w14:textId="77777777" w:rsidR="00FC5566" w:rsidRPr="00FC5566" w:rsidRDefault="00FC5566" w:rsidP="00FC5566">
                  <w:pPr>
                    <w:jc w:val="center"/>
                    <w:rPr>
                      <w:sz w:val="16"/>
                      <w:szCs w:val="16"/>
                    </w:rPr>
                  </w:pPr>
                  <w:r w:rsidRPr="00FC5566">
                    <w:rPr>
                      <w:sz w:val="16"/>
                      <w:szCs w:val="16"/>
                    </w:rPr>
                    <w:t>585</w:t>
                  </w:r>
                </w:p>
              </w:tc>
              <w:tc>
                <w:tcPr>
                  <w:tcW w:w="1175" w:type="dxa"/>
                  <w:tcBorders>
                    <w:top w:val="nil"/>
                    <w:left w:val="single" w:sz="4" w:space="0" w:color="auto"/>
                    <w:bottom w:val="nil"/>
                    <w:right w:val="single" w:sz="4" w:space="0" w:color="auto"/>
                  </w:tcBorders>
                  <w:vAlign w:val="center"/>
                  <w:hideMark/>
                </w:tcPr>
                <w:p w14:paraId="1B8EB0E0" w14:textId="77777777" w:rsidR="00FC5566" w:rsidRPr="00FC5566" w:rsidRDefault="00FC5566" w:rsidP="00FC5566">
                  <w:pPr>
                    <w:jc w:val="center"/>
                    <w:rPr>
                      <w:sz w:val="16"/>
                      <w:szCs w:val="16"/>
                    </w:rPr>
                  </w:pPr>
                  <w:r w:rsidRPr="00FC5566">
                    <w:rPr>
                      <w:sz w:val="16"/>
                      <w:szCs w:val="16"/>
                    </w:rPr>
                    <w:t>1500</w:t>
                  </w:r>
                </w:p>
              </w:tc>
            </w:tr>
            <w:tr w:rsidR="00FC5566" w:rsidRPr="00FC5566" w14:paraId="60449455" w14:textId="77777777" w:rsidTr="00B247D5">
              <w:trPr>
                <w:jc w:val="center"/>
              </w:trPr>
              <w:tc>
                <w:tcPr>
                  <w:tcW w:w="1255" w:type="dxa"/>
                  <w:tcBorders>
                    <w:top w:val="nil"/>
                    <w:left w:val="single" w:sz="4" w:space="0" w:color="auto"/>
                    <w:bottom w:val="nil"/>
                    <w:right w:val="single" w:sz="4" w:space="0" w:color="auto"/>
                  </w:tcBorders>
                  <w:vAlign w:val="center"/>
                  <w:hideMark/>
                </w:tcPr>
                <w:p w14:paraId="25C70CF4" w14:textId="77777777" w:rsidR="00FC5566" w:rsidRPr="00FC5566" w:rsidRDefault="00FC5566" w:rsidP="00FC5566">
                  <w:pPr>
                    <w:jc w:val="center"/>
                    <w:rPr>
                      <w:sz w:val="16"/>
                      <w:szCs w:val="16"/>
                    </w:rPr>
                  </w:pPr>
                  <w:r w:rsidRPr="00FC5566">
                    <w:rPr>
                      <w:sz w:val="16"/>
                      <w:szCs w:val="16"/>
                    </w:rPr>
                    <w:t>1750</w:t>
                  </w:r>
                </w:p>
              </w:tc>
              <w:tc>
                <w:tcPr>
                  <w:tcW w:w="1170" w:type="dxa"/>
                  <w:tcBorders>
                    <w:top w:val="nil"/>
                    <w:left w:val="single" w:sz="4" w:space="0" w:color="auto"/>
                    <w:bottom w:val="nil"/>
                    <w:right w:val="single" w:sz="4" w:space="0" w:color="auto"/>
                  </w:tcBorders>
                  <w:vAlign w:val="center"/>
                  <w:hideMark/>
                </w:tcPr>
                <w:p w14:paraId="6048B133" w14:textId="77777777" w:rsidR="00FC5566" w:rsidRPr="00FC5566" w:rsidRDefault="00FC5566" w:rsidP="00FC5566">
                  <w:pPr>
                    <w:jc w:val="center"/>
                    <w:rPr>
                      <w:sz w:val="16"/>
                      <w:szCs w:val="16"/>
                    </w:rPr>
                  </w:pPr>
                  <w:r w:rsidRPr="00FC5566">
                    <w:rPr>
                      <w:sz w:val="16"/>
                      <w:szCs w:val="16"/>
                    </w:rPr>
                    <w:t>545</w:t>
                  </w:r>
                </w:p>
              </w:tc>
              <w:tc>
                <w:tcPr>
                  <w:tcW w:w="1260" w:type="dxa"/>
                  <w:tcBorders>
                    <w:top w:val="nil"/>
                    <w:left w:val="single" w:sz="4" w:space="0" w:color="auto"/>
                    <w:bottom w:val="nil"/>
                    <w:right w:val="single" w:sz="4" w:space="0" w:color="auto"/>
                  </w:tcBorders>
                  <w:vAlign w:val="center"/>
                  <w:hideMark/>
                </w:tcPr>
                <w:p w14:paraId="5FC2D315" w14:textId="77777777" w:rsidR="00FC5566" w:rsidRPr="00FC5566" w:rsidRDefault="00FC5566" w:rsidP="00FC5566">
                  <w:pPr>
                    <w:jc w:val="center"/>
                    <w:rPr>
                      <w:sz w:val="16"/>
                      <w:szCs w:val="16"/>
                    </w:rPr>
                  </w:pPr>
                  <w:r w:rsidRPr="00FC5566">
                    <w:rPr>
                      <w:sz w:val="16"/>
                      <w:szCs w:val="16"/>
                    </w:rPr>
                    <w:t>650</w:t>
                  </w:r>
                </w:p>
              </w:tc>
              <w:tc>
                <w:tcPr>
                  <w:tcW w:w="1440" w:type="dxa"/>
                  <w:tcBorders>
                    <w:top w:val="nil"/>
                    <w:left w:val="single" w:sz="4" w:space="0" w:color="auto"/>
                    <w:bottom w:val="nil"/>
                    <w:right w:val="single" w:sz="4" w:space="0" w:color="auto"/>
                  </w:tcBorders>
                  <w:vAlign w:val="center"/>
                  <w:hideMark/>
                </w:tcPr>
                <w:p w14:paraId="5028B980" w14:textId="77777777" w:rsidR="00FC5566" w:rsidRPr="00FC5566" w:rsidRDefault="00FC5566" w:rsidP="00FC5566">
                  <w:pPr>
                    <w:jc w:val="center"/>
                    <w:rPr>
                      <w:sz w:val="16"/>
                      <w:szCs w:val="16"/>
                    </w:rPr>
                  </w:pPr>
                  <w:r w:rsidRPr="00FC5566">
                    <w:rPr>
                      <w:sz w:val="16"/>
                      <w:szCs w:val="16"/>
                    </w:rPr>
                    <w:t>735</w:t>
                  </w:r>
                </w:p>
              </w:tc>
              <w:tc>
                <w:tcPr>
                  <w:tcW w:w="1124" w:type="dxa"/>
                  <w:tcBorders>
                    <w:top w:val="nil"/>
                    <w:left w:val="single" w:sz="4" w:space="0" w:color="auto"/>
                    <w:bottom w:val="nil"/>
                    <w:right w:val="single" w:sz="4" w:space="0" w:color="auto"/>
                  </w:tcBorders>
                  <w:vAlign w:val="center"/>
                  <w:hideMark/>
                </w:tcPr>
                <w:p w14:paraId="45613A6B" w14:textId="77777777" w:rsidR="00FC5566" w:rsidRPr="00FC5566" w:rsidRDefault="00FC5566" w:rsidP="00FC5566">
                  <w:pPr>
                    <w:jc w:val="center"/>
                    <w:rPr>
                      <w:sz w:val="16"/>
                      <w:szCs w:val="16"/>
                    </w:rPr>
                  </w:pPr>
                  <w:r w:rsidRPr="00FC5566">
                    <w:rPr>
                      <w:sz w:val="16"/>
                      <w:szCs w:val="16"/>
                    </w:rPr>
                    <w:t>455</w:t>
                  </w:r>
                </w:p>
              </w:tc>
              <w:tc>
                <w:tcPr>
                  <w:tcW w:w="1126" w:type="dxa"/>
                  <w:tcBorders>
                    <w:top w:val="nil"/>
                    <w:left w:val="single" w:sz="4" w:space="0" w:color="auto"/>
                    <w:bottom w:val="nil"/>
                    <w:right w:val="single" w:sz="4" w:space="0" w:color="auto"/>
                  </w:tcBorders>
                  <w:vAlign w:val="center"/>
                  <w:hideMark/>
                </w:tcPr>
                <w:p w14:paraId="3E0AE952" w14:textId="77777777" w:rsidR="00FC5566" w:rsidRPr="00FC5566" w:rsidRDefault="00FC5566" w:rsidP="00FC5566">
                  <w:pPr>
                    <w:jc w:val="center"/>
                    <w:rPr>
                      <w:sz w:val="16"/>
                      <w:szCs w:val="16"/>
                    </w:rPr>
                  </w:pPr>
                  <w:r w:rsidRPr="00FC5566">
                    <w:rPr>
                      <w:sz w:val="16"/>
                      <w:szCs w:val="16"/>
                    </w:rPr>
                    <w:t>545</w:t>
                  </w:r>
                </w:p>
              </w:tc>
              <w:tc>
                <w:tcPr>
                  <w:tcW w:w="1440" w:type="dxa"/>
                  <w:tcBorders>
                    <w:top w:val="nil"/>
                    <w:left w:val="single" w:sz="4" w:space="0" w:color="auto"/>
                    <w:bottom w:val="nil"/>
                    <w:right w:val="single" w:sz="4" w:space="0" w:color="auto"/>
                  </w:tcBorders>
                  <w:vAlign w:val="center"/>
                  <w:hideMark/>
                </w:tcPr>
                <w:p w14:paraId="43A5CF72" w14:textId="77777777" w:rsidR="00FC5566" w:rsidRPr="00FC5566" w:rsidRDefault="00FC5566" w:rsidP="00FC5566">
                  <w:pPr>
                    <w:jc w:val="center"/>
                    <w:rPr>
                      <w:sz w:val="16"/>
                      <w:szCs w:val="16"/>
                    </w:rPr>
                  </w:pPr>
                  <w:r w:rsidRPr="00FC5566">
                    <w:rPr>
                      <w:sz w:val="16"/>
                      <w:szCs w:val="16"/>
                    </w:rPr>
                    <w:t>615</w:t>
                  </w:r>
                </w:p>
              </w:tc>
              <w:tc>
                <w:tcPr>
                  <w:tcW w:w="1175" w:type="dxa"/>
                  <w:tcBorders>
                    <w:top w:val="nil"/>
                    <w:left w:val="single" w:sz="4" w:space="0" w:color="auto"/>
                    <w:bottom w:val="nil"/>
                    <w:right w:val="single" w:sz="4" w:space="0" w:color="auto"/>
                  </w:tcBorders>
                  <w:vAlign w:val="center"/>
                  <w:hideMark/>
                </w:tcPr>
                <w:p w14:paraId="4B142E64" w14:textId="77777777" w:rsidR="00FC5566" w:rsidRPr="00FC5566" w:rsidRDefault="00FC5566" w:rsidP="00FC5566">
                  <w:pPr>
                    <w:jc w:val="center"/>
                    <w:rPr>
                      <w:sz w:val="16"/>
                      <w:szCs w:val="16"/>
                    </w:rPr>
                  </w:pPr>
                  <w:r w:rsidRPr="00FC5566">
                    <w:rPr>
                      <w:sz w:val="16"/>
                      <w:szCs w:val="16"/>
                    </w:rPr>
                    <w:t>1750</w:t>
                  </w:r>
                </w:p>
              </w:tc>
            </w:tr>
            <w:tr w:rsidR="00FC5566" w:rsidRPr="00FC5566" w14:paraId="607F5D7D" w14:textId="77777777" w:rsidTr="00B247D5">
              <w:trPr>
                <w:jc w:val="center"/>
              </w:trPr>
              <w:tc>
                <w:tcPr>
                  <w:tcW w:w="1255" w:type="dxa"/>
                  <w:tcBorders>
                    <w:top w:val="nil"/>
                    <w:left w:val="single" w:sz="4" w:space="0" w:color="auto"/>
                    <w:bottom w:val="single" w:sz="4" w:space="0" w:color="auto"/>
                    <w:right w:val="single" w:sz="4" w:space="0" w:color="auto"/>
                  </w:tcBorders>
                  <w:vAlign w:val="center"/>
                  <w:hideMark/>
                </w:tcPr>
                <w:p w14:paraId="41FB7132" w14:textId="77777777" w:rsidR="00FC5566" w:rsidRPr="00FC5566" w:rsidRDefault="00FC5566" w:rsidP="00FC5566">
                  <w:pPr>
                    <w:jc w:val="center"/>
                    <w:rPr>
                      <w:sz w:val="16"/>
                      <w:szCs w:val="16"/>
                    </w:rPr>
                  </w:pPr>
                  <w:r w:rsidRPr="00FC5566">
                    <w:rPr>
                      <w:sz w:val="16"/>
                      <w:szCs w:val="16"/>
                    </w:rPr>
                    <w:t>2000</w:t>
                  </w:r>
                </w:p>
              </w:tc>
              <w:tc>
                <w:tcPr>
                  <w:tcW w:w="1170" w:type="dxa"/>
                  <w:tcBorders>
                    <w:top w:val="nil"/>
                    <w:left w:val="single" w:sz="4" w:space="0" w:color="auto"/>
                    <w:bottom w:val="single" w:sz="4" w:space="0" w:color="auto"/>
                    <w:right w:val="single" w:sz="4" w:space="0" w:color="auto"/>
                  </w:tcBorders>
                  <w:vAlign w:val="center"/>
                  <w:hideMark/>
                </w:tcPr>
                <w:p w14:paraId="66326FB7" w14:textId="77777777" w:rsidR="00FC5566" w:rsidRPr="00FC5566" w:rsidRDefault="00FC5566" w:rsidP="00FC5566">
                  <w:pPr>
                    <w:jc w:val="center"/>
                    <w:rPr>
                      <w:sz w:val="16"/>
                      <w:szCs w:val="16"/>
                    </w:rPr>
                  </w:pPr>
                  <w:r w:rsidRPr="00FC5566">
                    <w:rPr>
                      <w:sz w:val="16"/>
                      <w:szCs w:val="16"/>
                    </w:rPr>
                    <w:t>555</w:t>
                  </w:r>
                </w:p>
              </w:tc>
              <w:tc>
                <w:tcPr>
                  <w:tcW w:w="1260" w:type="dxa"/>
                  <w:tcBorders>
                    <w:top w:val="nil"/>
                    <w:left w:val="single" w:sz="4" w:space="0" w:color="auto"/>
                    <w:bottom w:val="single" w:sz="4" w:space="0" w:color="auto"/>
                    <w:right w:val="single" w:sz="4" w:space="0" w:color="auto"/>
                  </w:tcBorders>
                  <w:vAlign w:val="center"/>
                  <w:hideMark/>
                </w:tcPr>
                <w:p w14:paraId="37F4B68B" w14:textId="77777777" w:rsidR="00FC5566" w:rsidRPr="00FC5566" w:rsidRDefault="00FC5566" w:rsidP="00FC5566">
                  <w:pPr>
                    <w:jc w:val="center"/>
                    <w:rPr>
                      <w:sz w:val="16"/>
                      <w:szCs w:val="16"/>
                    </w:rPr>
                  </w:pPr>
                  <w:r w:rsidRPr="00FC5566">
                    <w:rPr>
                      <w:sz w:val="16"/>
                      <w:szCs w:val="16"/>
                    </w:rPr>
                    <w:t>665</w:t>
                  </w:r>
                </w:p>
              </w:tc>
              <w:tc>
                <w:tcPr>
                  <w:tcW w:w="1440" w:type="dxa"/>
                  <w:tcBorders>
                    <w:top w:val="nil"/>
                    <w:left w:val="single" w:sz="4" w:space="0" w:color="auto"/>
                    <w:bottom w:val="single" w:sz="4" w:space="0" w:color="auto"/>
                    <w:right w:val="single" w:sz="4" w:space="0" w:color="auto"/>
                  </w:tcBorders>
                  <w:vAlign w:val="center"/>
                  <w:hideMark/>
                </w:tcPr>
                <w:p w14:paraId="420BBE06" w14:textId="77777777" w:rsidR="00FC5566" w:rsidRPr="00FC5566" w:rsidRDefault="00FC5566" w:rsidP="00FC5566">
                  <w:pPr>
                    <w:jc w:val="center"/>
                    <w:rPr>
                      <w:sz w:val="16"/>
                      <w:szCs w:val="16"/>
                    </w:rPr>
                  </w:pPr>
                  <w:r w:rsidRPr="00FC5566">
                    <w:rPr>
                      <w:sz w:val="16"/>
                      <w:szCs w:val="16"/>
                    </w:rPr>
                    <w:t>750</w:t>
                  </w:r>
                </w:p>
              </w:tc>
              <w:tc>
                <w:tcPr>
                  <w:tcW w:w="1124" w:type="dxa"/>
                  <w:tcBorders>
                    <w:top w:val="nil"/>
                    <w:left w:val="single" w:sz="4" w:space="0" w:color="auto"/>
                    <w:bottom w:val="single" w:sz="4" w:space="0" w:color="auto"/>
                    <w:right w:val="single" w:sz="4" w:space="0" w:color="auto"/>
                  </w:tcBorders>
                  <w:vAlign w:val="center"/>
                  <w:hideMark/>
                </w:tcPr>
                <w:p w14:paraId="5785C99D" w14:textId="77777777" w:rsidR="00FC5566" w:rsidRPr="00FC5566" w:rsidRDefault="00FC5566" w:rsidP="00FC5566">
                  <w:pPr>
                    <w:jc w:val="center"/>
                    <w:rPr>
                      <w:sz w:val="16"/>
                      <w:szCs w:val="16"/>
                    </w:rPr>
                  </w:pPr>
                  <w:r w:rsidRPr="00FC5566">
                    <w:rPr>
                      <w:sz w:val="16"/>
                      <w:szCs w:val="16"/>
                    </w:rPr>
                    <w:t>470</w:t>
                  </w:r>
                </w:p>
              </w:tc>
              <w:tc>
                <w:tcPr>
                  <w:tcW w:w="1126" w:type="dxa"/>
                  <w:tcBorders>
                    <w:top w:val="nil"/>
                    <w:left w:val="single" w:sz="4" w:space="0" w:color="auto"/>
                    <w:bottom w:val="single" w:sz="4" w:space="0" w:color="auto"/>
                    <w:right w:val="single" w:sz="4" w:space="0" w:color="auto"/>
                  </w:tcBorders>
                  <w:vAlign w:val="center"/>
                  <w:hideMark/>
                </w:tcPr>
                <w:p w14:paraId="42947948" w14:textId="77777777" w:rsidR="00FC5566" w:rsidRPr="00FC5566" w:rsidRDefault="00FC5566" w:rsidP="00FC5566">
                  <w:pPr>
                    <w:jc w:val="center"/>
                    <w:rPr>
                      <w:sz w:val="16"/>
                      <w:szCs w:val="16"/>
                    </w:rPr>
                  </w:pPr>
                  <w:r w:rsidRPr="00FC5566">
                    <w:rPr>
                      <w:sz w:val="16"/>
                      <w:szCs w:val="16"/>
                    </w:rPr>
                    <w:t>560</w:t>
                  </w:r>
                </w:p>
              </w:tc>
              <w:tc>
                <w:tcPr>
                  <w:tcW w:w="1440" w:type="dxa"/>
                  <w:tcBorders>
                    <w:top w:val="nil"/>
                    <w:left w:val="single" w:sz="4" w:space="0" w:color="auto"/>
                    <w:bottom w:val="single" w:sz="4" w:space="0" w:color="auto"/>
                    <w:right w:val="single" w:sz="4" w:space="0" w:color="auto"/>
                  </w:tcBorders>
                  <w:vAlign w:val="center"/>
                  <w:hideMark/>
                </w:tcPr>
                <w:p w14:paraId="54FD928D" w14:textId="77777777" w:rsidR="00FC5566" w:rsidRPr="00FC5566" w:rsidRDefault="00FC5566" w:rsidP="00FC5566">
                  <w:pPr>
                    <w:jc w:val="center"/>
                    <w:rPr>
                      <w:sz w:val="16"/>
                      <w:szCs w:val="16"/>
                    </w:rPr>
                  </w:pPr>
                  <w:r w:rsidRPr="00FC5566">
                    <w:rPr>
                      <w:sz w:val="16"/>
                      <w:szCs w:val="16"/>
                    </w:rPr>
                    <w:t>630</w:t>
                  </w:r>
                </w:p>
              </w:tc>
              <w:tc>
                <w:tcPr>
                  <w:tcW w:w="1175" w:type="dxa"/>
                  <w:tcBorders>
                    <w:top w:val="nil"/>
                    <w:left w:val="single" w:sz="4" w:space="0" w:color="auto"/>
                    <w:bottom w:val="single" w:sz="4" w:space="0" w:color="auto"/>
                    <w:right w:val="single" w:sz="4" w:space="0" w:color="auto"/>
                  </w:tcBorders>
                  <w:vAlign w:val="center"/>
                  <w:hideMark/>
                </w:tcPr>
                <w:p w14:paraId="1EEC0B6F" w14:textId="77777777" w:rsidR="00FC5566" w:rsidRPr="00FC5566" w:rsidRDefault="00FC5566" w:rsidP="00FC5566">
                  <w:pPr>
                    <w:jc w:val="center"/>
                    <w:rPr>
                      <w:sz w:val="16"/>
                      <w:szCs w:val="16"/>
                    </w:rPr>
                  </w:pPr>
                  <w:r w:rsidRPr="00FC5566">
                    <w:rPr>
                      <w:sz w:val="16"/>
                      <w:szCs w:val="16"/>
                    </w:rPr>
                    <w:t>2000</w:t>
                  </w:r>
                </w:p>
              </w:tc>
            </w:tr>
          </w:tbl>
          <w:p w14:paraId="11327F25" w14:textId="77777777" w:rsidR="00FC5566" w:rsidRPr="00FC5566" w:rsidRDefault="00FC5566" w:rsidP="00FC5566">
            <w:pPr>
              <w:widowControl w:val="0"/>
              <w:autoSpaceDE w:val="0"/>
              <w:autoSpaceDN w:val="0"/>
              <w:ind w:right="88"/>
              <w:rPr>
                <w:b/>
                <w:bCs/>
                <w:sz w:val="16"/>
                <w:szCs w:val="16"/>
              </w:rPr>
            </w:pPr>
            <w:r w:rsidRPr="00FC5566">
              <w:rPr>
                <w:b/>
                <w:bCs/>
                <w:sz w:val="16"/>
                <w:szCs w:val="16"/>
              </w:rPr>
              <w:t xml:space="preserve">      </w:t>
            </w:r>
            <w:r w:rsidRPr="00FC5566">
              <w:rPr>
                <w:sz w:val="16"/>
                <w:szCs w:val="16"/>
              </w:rPr>
              <w:t>Notes:</w:t>
            </w:r>
          </w:p>
          <w:p w14:paraId="59447626" w14:textId="77777777" w:rsidR="00FC5566" w:rsidRPr="00FC5566" w:rsidRDefault="00FC5566" w:rsidP="00FC5566">
            <w:pPr>
              <w:widowControl w:val="0"/>
              <w:autoSpaceDE w:val="0"/>
              <w:autoSpaceDN w:val="0"/>
              <w:ind w:left="108" w:right="88"/>
              <w:rPr>
                <w:sz w:val="16"/>
                <w:szCs w:val="16"/>
              </w:rPr>
            </w:pPr>
            <w:r w:rsidRPr="00FC5566">
              <w:rPr>
                <w:sz w:val="16"/>
                <w:szCs w:val="16"/>
              </w:rPr>
              <w:t xml:space="preserve">    1. Section 310.15(B) shall be referenced for ampacity correction factors where the ambient temperature is other than 30°C (86°F).</w:t>
            </w:r>
          </w:p>
          <w:p w14:paraId="32756320" w14:textId="77777777" w:rsidR="00FC5566" w:rsidRPr="00FC5566" w:rsidRDefault="00FC5566" w:rsidP="00FC5566">
            <w:pPr>
              <w:widowControl w:val="0"/>
              <w:autoSpaceDE w:val="0"/>
              <w:autoSpaceDN w:val="0"/>
              <w:ind w:left="108" w:right="88"/>
              <w:rPr>
                <w:sz w:val="16"/>
                <w:szCs w:val="16"/>
              </w:rPr>
            </w:pPr>
            <w:r w:rsidRPr="00FC5566">
              <w:rPr>
                <w:sz w:val="16"/>
                <w:szCs w:val="16"/>
              </w:rPr>
              <w:t xml:space="preserve">    2. Section 310.15(C)(1) shall be referenced for more than three current-carrying conductors.</w:t>
            </w:r>
          </w:p>
          <w:p w14:paraId="5C689BDD" w14:textId="77777777" w:rsidR="00FC5566" w:rsidRPr="00FC5566" w:rsidRDefault="00FC5566" w:rsidP="00FC5566">
            <w:pPr>
              <w:widowControl w:val="0"/>
              <w:autoSpaceDE w:val="0"/>
              <w:autoSpaceDN w:val="0"/>
              <w:ind w:left="108" w:right="88"/>
              <w:rPr>
                <w:sz w:val="16"/>
                <w:szCs w:val="16"/>
              </w:rPr>
            </w:pPr>
            <w:r w:rsidRPr="00FC5566">
              <w:rPr>
                <w:sz w:val="16"/>
                <w:szCs w:val="16"/>
              </w:rPr>
              <w:t xml:space="preserve">    3. Section 310.16 shall be referenced for conditions of use.</w:t>
            </w:r>
          </w:p>
          <w:p w14:paraId="343053F0" w14:textId="77777777" w:rsidR="00FC5566" w:rsidRPr="00FC5566" w:rsidRDefault="00FC5566" w:rsidP="00FC5566">
            <w:pPr>
              <w:widowControl w:val="0"/>
              <w:autoSpaceDE w:val="0"/>
              <w:autoSpaceDN w:val="0"/>
              <w:ind w:left="108" w:right="88"/>
              <w:rPr>
                <w:sz w:val="16"/>
                <w:szCs w:val="16"/>
              </w:rPr>
            </w:pPr>
            <w:r w:rsidRPr="00FC5566">
              <w:rPr>
                <w:sz w:val="16"/>
                <w:szCs w:val="16"/>
              </w:rPr>
              <w:t xml:space="preserve">    4. Ampacity for 18 AWG copper Type MI and Type MTW shall be 14 amperes at 90°C (194°F).</w:t>
            </w:r>
          </w:p>
          <w:p w14:paraId="3D10F22F" w14:textId="77777777" w:rsidR="00FC5566" w:rsidRPr="00FC5566" w:rsidRDefault="00FC5566" w:rsidP="00FC5566">
            <w:pPr>
              <w:widowControl w:val="0"/>
              <w:autoSpaceDE w:val="0"/>
              <w:autoSpaceDN w:val="0"/>
              <w:ind w:left="108" w:right="88"/>
              <w:rPr>
                <w:sz w:val="16"/>
                <w:szCs w:val="16"/>
              </w:rPr>
            </w:pPr>
            <w:r w:rsidRPr="00FC5566">
              <w:rPr>
                <w:sz w:val="16"/>
                <w:szCs w:val="16"/>
              </w:rPr>
              <w:t xml:space="preserve">    5. Ampacity for 16 AWG copper Type MI and Type MTW shall be 18 amperes at 90°C (194°F).</w:t>
            </w:r>
          </w:p>
          <w:p w14:paraId="4E27C04D" w14:textId="77777777" w:rsidR="00FC5566" w:rsidRPr="00FC5566" w:rsidRDefault="00FC5566" w:rsidP="00FC5566">
            <w:pPr>
              <w:widowControl w:val="0"/>
              <w:autoSpaceDE w:val="0"/>
              <w:autoSpaceDN w:val="0"/>
              <w:ind w:left="108" w:right="88"/>
              <w:rPr>
                <w:sz w:val="16"/>
                <w:szCs w:val="16"/>
              </w:rPr>
            </w:pPr>
            <w:r w:rsidRPr="00FC5566">
              <w:rPr>
                <w:sz w:val="16"/>
                <w:szCs w:val="16"/>
                <w:vertAlign w:val="superscript"/>
              </w:rPr>
              <w:t xml:space="preserve">       1</w:t>
            </w:r>
            <w:r w:rsidRPr="00FC5566">
              <w:rPr>
                <w:sz w:val="16"/>
                <w:szCs w:val="16"/>
              </w:rPr>
              <w:t>Section 240.4(D) shall be referenced for conductor overcurrent protection limitations, except as modified elsewhere in the code.</w:t>
            </w:r>
          </w:p>
          <w:p w14:paraId="660931E5" w14:textId="77777777" w:rsidR="00FC5566" w:rsidRPr="00FC5566" w:rsidRDefault="00FC5566" w:rsidP="00FC5566">
            <w:pPr>
              <w:widowControl w:val="0"/>
              <w:autoSpaceDE w:val="0"/>
              <w:autoSpaceDN w:val="0"/>
              <w:ind w:left="108" w:right="88"/>
              <w:rPr>
                <w:sz w:val="16"/>
                <w:szCs w:val="16"/>
              </w:rPr>
            </w:pPr>
            <w:r w:rsidRPr="00FC5566">
              <w:rPr>
                <w:sz w:val="16"/>
                <w:szCs w:val="16"/>
                <w:vertAlign w:val="superscript"/>
              </w:rPr>
              <w:t xml:space="preserve">        2</w:t>
            </w:r>
            <w:r w:rsidRPr="00FC5566">
              <w:rPr>
                <w:sz w:val="16"/>
                <w:szCs w:val="16"/>
              </w:rPr>
              <w:t>Ampacity shall be used for adjustment or correction only.</w:t>
            </w:r>
          </w:p>
          <w:p w14:paraId="09CC1BED" w14:textId="77777777" w:rsidR="00FC5566" w:rsidRPr="00FC5566" w:rsidRDefault="00FC5566" w:rsidP="00FC5566">
            <w:pPr>
              <w:widowControl w:val="0"/>
              <w:autoSpaceDE w:val="0"/>
              <w:autoSpaceDN w:val="0"/>
              <w:ind w:left="108" w:right="88"/>
              <w:rPr>
                <w:sz w:val="16"/>
                <w:szCs w:val="16"/>
              </w:rPr>
            </w:pPr>
            <w:r w:rsidRPr="00FC5566">
              <w:rPr>
                <w:sz w:val="16"/>
                <w:szCs w:val="16"/>
                <w:vertAlign w:val="superscript"/>
              </w:rPr>
              <w:t xml:space="preserve">        3</w:t>
            </w:r>
            <w:r w:rsidRPr="00FC5566">
              <w:rPr>
                <w:sz w:val="16"/>
                <w:szCs w:val="16"/>
              </w:rPr>
              <w:t>Ampacity shall be applicable only to copper-clad aluminum conductors.</w:t>
            </w:r>
          </w:p>
        </w:tc>
      </w:tr>
      <w:tr w:rsidR="00FC5566" w:rsidRPr="00FC5566" w14:paraId="4E1DA498" w14:textId="77777777" w:rsidTr="00B247D5">
        <w:trPr>
          <w:trHeight w:val="288"/>
        </w:trPr>
        <w:tc>
          <w:tcPr>
            <w:tcW w:w="1120" w:type="dxa"/>
          </w:tcPr>
          <w:p w14:paraId="28D054C9" w14:textId="77777777" w:rsidR="00FC5566" w:rsidRPr="00FC5566" w:rsidRDefault="00FC5566" w:rsidP="00FC5566">
            <w:pPr>
              <w:widowControl w:val="0"/>
              <w:autoSpaceDE w:val="0"/>
              <w:autoSpaceDN w:val="0"/>
              <w:jc w:val="center"/>
              <w:rPr>
                <w:sz w:val="16"/>
                <w:szCs w:val="16"/>
              </w:rPr>
            </w:pPr>
            <w:r w:rsidRPr="00FC5566">
              <w:rPr>
                <w:sz w:val="16"/>
                <w:szCs w:val="16"/>
              </w:rPr>
              <w:t>Amend</w:t>
            </w:r>
          </w:p>
        </w:tc>
        <w:tc>
          <w:tcPr>
            <w:tcW w:w="2347" w:type="dxa"/>
            <w:gridSpan w:val="2"/>
          </w:tcPr>
          <w:p w14:paraId="5B5164E1" w14:textId="77777777" w:rsidR="00FC5566" w:rsidRPr="00FC5566" w:rsidRDefault="00FC5566" w:rsidP="00FC5566">
            <w:pPr>
              <w:widowControl w:val="0"/>
              <w:autoSpaceDE w:val="0"/>
              <w:autoSpaceDN w:val="0"/>
              <w:ind w:left="107" w:right="46"/>
              <w:rPr>
                <w:sz w:val="16"/>
                <w:szCs w:val="16"/>
              </w:rPr>
            </w:pPr>
            <w:r w:rsidRPr="00FC5566">
              <w:rPr>
                <w:sz w:val="16"/>
                <w:szCs w:val="16"/>
              </w:rPr>
              <w:t xml:space="preserve">312.5, Cabinets, Cutout Boxes, and Meter Socket Enclosures.  </w:t>
            </w:r>
          </w:p>
        </w:tc>
        <w:tc>
          <w:tcPr>
            <w:tcW w:w="7063" w:type="dxa"/>
          </w:tcPr>
          <w:p w14:paraId="5C97FEFA" w14:textId="77777777" w:rsidR="00FC5566" w:rsidRPr="00FC5566" w:rsidRDefault="00FC5566" w:rsidP="00FC5566">
            <w:pPr>
              <w:widowControl w:val="0"/>
              <w:autoSpaceDE w:val="0"/>
              <w:autoSpaceDN w:val="0"/>
              <w:ind w:left="108" w:right="88"/>
              <w:rPr>
                <w:sz w:val="16"/>
                <w:szCs w:val="16"/>
              </w:rPr>
            </w:pPr>
          </w:p>
        </w:tc>
      </w:tr>
      <w:tr w:rsidR="00FC5566" w:rsidRPr="00FC5566" w14:paraId="2096C84E" w14:textId="77777777" w:rsidTr="00B247D5">
        <w:trPr>
          <w:trHeight w:val="259"/>
        </w:trPr>
        <w:tc>
          <w:tcPr>
            <w:tcW w:w="1120" w:type="dxa"/>
          </w:tcPr>
          <w:p w14:paraId="62404B03" w14:textId="77777777" w:rsidR="00FC5566" w:rsidRPr="00FC5566" w:rsidRDefault="00FC5566" w:rsidP="00FC5566">
            <w:pPr>
              <w:widowControl w:val="0"/>
              <w:autoSpaceDE w:val="0"/>
              <w:autoSpaceDN w:val="0"/>
              <w:jc w:val="center"/>
              <w:rPr>
                <w:sz w:val="16"/>
                <w:szCs w:val="16"/>
              </w:rPr>
            </w:pPr>
            <w:r w:rsidRPr="00FC5566">
              <w:rPr>
                <w:sz w:val="16"/>
                <w:szCs w:val="16"/>
              </w:rPr>
              <w:t>Amend</w:t>
            </w:r>
          </w:p>
        </w:tc>
        <w:tc>
          <w:tcPr>
            <w:tcW w:w="2347" w:type="dxa"/>
            <w:gridSpan w:val="2"/>
          </w:tcPr>
          <w:p w14:paraId="578A8C3A" w14:textId="77777777" w:rsidR="00FC5566" w:rsidRPr="00FC5566" w:rsidRDefault="00FC5566" w:rsidP="00FC5566">
            <w:pPr>
              <w:widowControl w:val="0"/>
              <w:autoSpaceDE w:val="0"/>
              <w:autoSpaceDN w:val="0"/>
              <w:ind w:left="107" w:right="46"/>
              <w:rPr>
                <w:sz w:val="16"/>
                <w:szCs w:val="16"/>
              </w:rPr>
            </w:pPr>
            <w:r w:rsidRPr="00FC5566">
              <w:rPr>
                <w:sz w:val="16"/>
                <w:szCs w:val="16"/>
              </w:rPr>
              <w:t>Item (C), Cables.</w:t>
            </w:r>
          </w:p>
        </w:tc>
        <w:tc>
          <w:tcPr>
            <w:tcW w:w="7063" w:type="dxa"/>
          </w:tcPr>
          <w:p w14:paraId="79327A9D" w14:textId="77777777" w:rsidR="00FC5566" w:rsidRPr="00FC5566" w:rsidRDefault="00FC5566" w:rsidP="00FC5566">
            <w:pPr>
              <w:widowControl w:val="0"/>
              <w:autoSpaceDE w:val="0"/>
              <w:autoSpaceDN w:val="0"/>
              <w:rPr>
                <w:sz w:val="16"/>
                <w:szCs w:val="16"/>
              </w:rPr>
            </w:pPr>
          </w:p>
        </w:tc>
      </w:tr>
      <w:tr w:rsidR="00FC5566" w:rsidRPr="00FC5566" w14:paraId="14516350" w14:textId="77777777" w:rsidTr="00B247D5">
        <w:trPr>
          <w:trHeight w:val="259"/>
        </w:trPr>
        <w:tc>
          <w:tcPr>
            <w:tcW w:w="1120" w:type="dxa"/>
          </w:tcPr>
          <w:p w14:paraId="538F2822" w14:textId="77777777" w:rsidR="00FC5566" w:rsidRPr="00FC5566" w:rsidRDefault="00FC5566" w:rsidP="00FC5566">
            <w:pPr>
              <w:widowControl w:val="0"/>
              <w:autoSpaceDE w:val="0"/>
              <w:autoSpaceDN w:val="0"/>
              <w:jc w:val="center"/>
              <w:rPr>
                <w:sz w:val="16"/>
                <w:szCs w:val="16"/>
              </w:rPr>
            </w:pPr>
            <w:r w:rsidRPr="00FC5566">
              <w:rPr>
                <w:sz w:val="16"/>
                <w:szCs w:val="16"/>
              </w:rPr>
              <w:t>Amend</w:t>
            </w:r>
          </w:p>
        </w:tc>
        <w:tc>
          <w:tcPr>
            <w:tcW w:w="2347" w:type="dxa"/>
            <w:gridSpan w:val="2"/>
          </w:tcPr>
          <w:p w14:paraId="36038B5A" w14:textId="77777777" w:rsidR="00FC5566" w:rsidRPr="00FC5566" w:rsidRDefault="00FC5566" w:rsidP="00FC5566">
            <w:pPr>
              <w:widowControl w:val="0"/>
              <w:autoSpaceDE w:val="0"/>
              <w:autoSpaceDN w:val="0"/>
              <w:ind w:left="107" w:right="46"/>
              <w:rPr>
                <w:sz w:val="16"/>
                <w:szCs w:val="16"/>
              </w:rPr>
            </w:pPr>
            <w:r w:rsidRPr="00FC5566">
              <w:rPr>
                <w:sz w:val="16"/>
                <w:szCs w:val="16"/>
              </w:rPr>
              <w:t>Exceptions</w:t>
            </w:r>
          </w:p>
        </w:tc>
        <w:tc>
          <w:tcPr>
            <w:tcW w:w="7063" w:type="dxa"/>
          </w:tcPr>
          <w:p w14:paraId="4105BDDB" w14:textId="77777777" w:rsidR="00FC5566" w:rsidRPr="00FC5566" w:rsidRDefault="00FC5566" w:rsidP="00FC5566">
            <w:pPr>
              <w:widowControl w:val="0"/>
              <w:autoSpaceDE w:val="0"/>
              <w:autoSpaceDN w:val="0"/>
              <w:rPr>
                <w:sz w:val="16"/>
                <w:szCs w:val="16"/>
              </w:rPr>
            </w:pPr>
          </w:p>
        </w:tc>
      </w:tr>
      <w:tr w:rsidR="00FC5566" w:rsidRPr="00FC5566" w14:paraId="2E1665CE" w14:textId="77777777" w:rsidTr="00B247D5">
        <w:trPr>
          <w:trHeight w:val="2955"/>
        </w:trPr>
        <w:tc>
          <w:tcPr>
            <w:tcW w:w="1120" w:type="dxa"/>
          </w:tcPr>
          <w:p w14:paraId="115BA4FE" w14:textId="77777777" w:rsidR="00FC5566" w:rsidRPr="00FC5566" w:rsidRDefault="00FC5566" w:rsidP="00FC5566">
            <w:pPr>
              <w:widowControl w:val="0"/>
              <w:autoSpaceDE w:val="0"/>
              <w:autoSpaceDN w:val="0"/>
              <w:jc w:val="center"/>
              <w:rPr>
                <w:sz w:val="16"/>
                <w:szCs w:val="16"/>
              </w:rPr>
            </w:pPr>
            <w:r w:rsidRPr="00FC5566">
              <w:rPr>
                <w:sz w:val="16"/>
                <w:szCs w:val="16"/>
              </w:rPr>
              <w:t xml:space="preserve">Adopt </w:t>
            </w:r>
          </w:p>
        </w:tc>
        <w:tc>
          <w:tcPr>
            <w:tcW w:w="2347" w:type="dxa"/>
            <w:gridSpan w:val="2"/>
          </w:tcPr>
          <w:p w14:paraId="03D56F35" w14:textId="77777777" w:rsidR="00FC5566" w:rsidRPr="00FC5566" w:rsidRDefault="00FC5566" w:rsidP="00FC5566">
            <w:pPr>
              <w:widowControl w:val="0"/>
              <w:autoSpaceDE w:val="0"/>
              <w:autoSpaceDN w:val="0"/>
              <w:ind w:left="107" w:right="46"/>
              <w:rPr>
                <w:sz w:val="16"/>
                <w:szCs w:val="16"/>
              </w:rPr>
            </w:pPr>
            <w:r w:rsidRPr="00FC5566">
              <w:rPr>
                <w:sz w:val="16"/>
                <w:szCs w:val="16"/>
              </w:rPr>
              <w:t>Item (3)</w:t>
            </w:r>
          </w:p>
        </w:tc>
        <w:tc>
          <w:tcPr>
            <w:tcW w:w="7063" w:type="dxa"/>
          </w:tcPr>
          <w:p w14:paraId="2E17E9F2" w14:textId="77777777" w:rsidR="00FC5566" w:rsidRPr="00FC5566" w:rsidRDefault="00FC5566" w:rsidP="00FC5566">
            <w:pPr>
              <w:widowControl w:val="0"/>
              <w:autoSpaceDE w:val="0"/>
              <w:autoSpaceDN w:val="0"/>
              <w:ind w:left="108" w:right="88"/>
              <w:rPr>
                <w:sz w:val="16"/>
                <w:szCs w:val="16"/>
              </w:rPr>
            </w:pPr>
            <w:r w:rsidRPr="00FC5566">
              <w:rPr>
                <w:sz w:val="16"/>
                <w:szCs w:val="16"/>
              </w:rPr>
              <w:t>Where cables enter any side of a service mounted exterior panel from an interior location, a nonflexible raceway(s) shall be permitted to be installed without individual cable connectors, provided all of the following conditions are met:</w:t>
            </w:r>
          </w:p>
          <w:p w14:paraId="6676AA66" w14:textId="77777777" w:rsidR="00FC5566" w:rsidRPr="00FC5566" w:rsidRDefault="00FC5566" w:rsidP="00FC5566">
            <w:pPr>
              <w:widowControl w:val="0"/>
              <w:autoSpaceDE w:val="0"/>
              <w:autoSpaceDN w:val="0"/>
              <w:ind w:left="108" w:right="88"/>
              <w:rPr>
                <w:sz w:val="16"/>
                <w:szCs w:val="16"/>
              </w:rPr>
            </w:pPr>
            <w:r w:rsidRPr="00FC5566">
              <w:rPr>
                <w:sz w:val="16"/>
                <w:szCs w:val="16"/>
              </w:rPr>
              <w:t>(1) Each cable is fastened within 300 mm (12 in.), measured along the sheath, of the outer end of the raceway, where practicable. </w:t>
            </w:r>
          </w:p>
          <w:p w14:paraId="717401D0" w14:textId="77777777" w:rsidR="00FC5566" w:rsidRPr="00FC5566" w:rsidRDefault="00FC5566" w:rsidP="00FC5566">
            <w:pPr>
              <w:widowControl w:val="0"/>
              <w:autoSpaceDE w:val="0"/>
              <w:autoSpaceDN w:val="0"/>
              <w:ind w:left="108" w:right="88"/>
              <w:rPr>
                <w:sz w:val="16"/>
                <w:szCs w:val="16"/>
              </w:rPr>
            </w:pPr>
            <w:r w:rsidRPr="00FC5566">
              <w:rPr>
                <w:sz w:val="16"/>
                <w:szCs w:val="16"/>
              </w:rPr>
              <w:t>(2) The raceway shall not extend more than (24 in.) outside the enclosure.</w:t>
            </w:r>
          </w:p>
          <w:p w14:paraId="0A7684F2" w14:textId="77777777" w:rsidR="00FC5566" w:rsidRPr="00FC5566" w:rsidRDefault="00FC5566" w:rsidP="00FC5566">
            <w:pPr>
              <w:widowControl w:val="0"/>
              <w:autoSpaceDE w:val="0"/>
              <w:autoSpaceDN w:val="0"/>
              <w:ind w:left="108" w:right="88"/>
              <w:rPr>
                <w:sz w:val="16"/>
                <w:szCs w:val="16"/>
              </w:rPr>
            </w:pPr>
            <w:r w:rsidRPr="00FC5566">
              <w:rPr>
                <w:sz w:val="16"/>
                <w:szCs w:val="16"/>
              </w:rPr>
              <w:t>(3) A fitting is provided on each end of the raceway to protect the cable(s) from abrasion.</w:t>
            </w:r>
          </w:p>
          <w:p w14:paraId="7FD6FF78" w14:textId="77777777" w:rsidR="00FC5566" w:rsidRPr="00FC5566" w:rsidRDefault="00FC5566" w:rsidP="00FC5566">
            <w:pPr>
              <w:widowControl w:val="0"/>
              <w:autoSpaceDE w:val="0"/>
              <w:autoSpaceDN w:val="0"/>
              <w:ind w:left="108" w:right="88"/>
              <w:rPr>
                <w:sz w:val="16"/>
                <w:szCs w:val="16"/>
              </w:rPr>
            </w:pPr>
            <w:r w:rsidRPr="00FC5566">
              <w:rPr>
                <w:sz w:val="16"/>
                <w:szCs w:val="16"/>
              </w:rPr>
              <w:t>(4) The raceway is sealed or plugged at the outer end using approved means.  See 300.7.</w:t>
            </w:r>
          </w:p>
          <w:p w14:paraId="76138A56" w14:textId="77777777" w:rsidR="00FC5566" w:rsidRPr="00FC5566" w:rsidRDefault="00FC5566" w:rsidP="00FC5566">
            <w:pPr>
              <w:widowControl w:val="0"/>
              <w:autoSpaceDE w:val="0"/>
              <w:autoSpaceDN w:val="0"/>
              <w:ind w:left="108" w:right="88"/>
              <w:rPr>
                <w:sz w:val="16"/>
                <w:szCs w:val="16"/>
              </w:rPr>
            </w:pPr>
            <w:r w:rsidRPr="00FC5566">
              <w:rPr>
                <w:sz w:val="16"/>
                <w:szCs w:val="16"/>
              </w:rPr>
              <w:t>(5) The cable sheath is continuous through the raceway and extends into the enclosure beyond the fitting not less than 6 mm (1⁄4 in.).</w:t>
            </w:r>
          </w:p>
          <w:p w14:paraId="66AF0D3C" w14:textId="77777777" w:rsidR="00FC5566" w:rsidRPr="00FC5566" w:rsidRDefault="00FC5566" w:rsidP="00FC5566">
            <w:pPr>
              <w:widowControl w:val="0"/>
              <w:autoSpaceDE w:val="0"/>
              <w:autoSpaceDN w:val="0"/>
              <w:ind w:left="108" w:right="88"/>
              <w:rPr>
                <w:sz w:val="16"/>
                <w:szCs w:val="16"/>
              </w:rPr>
            </w:pPr>
            <w:r w:rsidRPr="00FC5566">
              <w:rPr>
                <w:sz w:val="16"/>
                <w:szCs w:val="16"/>
              </w:rPr>
              <w:t>(6) The raceway is fastened at its outer end and at other points in accordance with the applicable article, where practicable. </w:t>
            </w:r>
          </w:p>
          <w:p w14:paraId="649BAAB6" w14:textId="77777777" w:rsidR="00FC5566" w:rsidRPr="00FC5566" w:rsidRDefault="00FC5566" w:rsidP="00FC5566">
            <w:pPr>
              <w:widowControl w:val="0"/>
              <w:autoSpaceDE w:val="0"/>
              <w:autoSpaceDN w:val="0"/>
              <w:ind w:left="108" w:right="88"/>
              <w:rPr>
                <w:sz w:val="16"/>
                <w:szCs w:val="16"/>
              </w:rPr>
            </w:pPr>
            <w:r w:rsidRPr="00FC5566">
              <w:rPr>
                <w:sz w:val="16"/>
                <w:szCs w:val="16"/>
              </w:rPr>
              <w:t>(7) Where installed as conduit or tubing, the cable fill does not exceed the amount that would be permitted for complete conduit or tubing systems by Table 1 of Chapter 9 of this Code and all applicable notes thereto. Note 2 to the tables in Chapter 9 does not apply to this condition.</w:t>
            </w:r>
          </w:p>
          <w:p w14:paraId="42F0E1E2" w14:textId="77777777" w:rsidR="00FC5566" w:rsidRPr="00FC5566" w:rsidRDefault="00FC5566" w:rsidP="00FC5566">
            <w:pPr>
              <w:widowControl w:val="0"/>
              <w:autoSpaceDE w:val="0"/>
              <w:autoSpaceDN w:val="0"/>
              <w:ind w:left="108" w:right="88"/>
              <w:rPr>
                <w:sz w:val="16"/>
                <w:szCs w:val="16"/>
              </w:rPr>
            </w:pPr>
            <w:r w:rsidRPr="00FC5566">
              <w:rPr>
                <w:sz w:val="16"/>
                <w:szCs w:val="16"/>
              </w:rPr>
              <w:t xml:space="preserve">(8) The raceway shall not contain splices or taps.   </w:t>
            </w:r>
          </w:p>
        </w:tc>
      </w:tr>
      <w:tr w:rsidR="00FC5566" w:rsidRPr="00FC5566" w14:paraId="3D6CCDEA" w14:textId="77777777" w:rsidTr="00B247D5">
        <w:trPr>
          <w:trHeight w:val="259"/>
        </w:trPr>
        <w:tc>
          <w:tcPr>
            <w:tcW w:w="1120" w:type="dxa"/>
          </w:tcPr>
          <w:p w14:paraId="2C4C6D59" w14:textId="77777777" w:rsidR="00FC5566" w:rsidRPr="00FC5566" w:rsidRDefault="00FC5566" w:rsidP="00FC5566">
            <w:pPr>
              <w:widowControl w:val="0"/>
              <w:autoSpaceDE w:val="0"/>
              <w:autoSpaceDN w:val="0"/>
              <w:jc w:val="center"/>
              <w:rPr>
                <w:sz w:val="16"/>
                <w:szCs w:val="16"/>
              </w:rPr>
            </w:pPr>
            <w:r w:rsidRPr="00FC5566">
              <w:rPr>
                <w:sz w:val="16"/>
                <w:szCs w:val="16"/>
              </w:rPr>
              <w:lastRenderedPageBreak/>
              <w:t>Amend</w:t>
            </w:r>
          </w:p>
        </w:tc>
        <w:tc>
          <w:tcPr>
            <w:tcW w:w="2347" w:type="dxa"/>
            <w:gridSpan w:val="2"/>
          </w:tcPr>
          <w:p w14:paraId="0B0BBD30" w14:textId="77777777" w:rsidR="00FC5566" w:rsidRPr="00FC5566" w:rsidRDefault="00FC5566" w:rsidP="00FC5566">
            <w:pPr>
              <w:widowControl w:val="0"/>
              <w:autoSpaceDE w:val="0"/>
              <w:autoSpaceDN w:val="0"/>
              <w:ind w:left="107" w:right="46"/>
              <w:rPr>
                <w:sz w:val="16"/>
                <w:szCs w:val="16"/>
              </w:rPr>
            </w:pPr>
            <w:r w:rsidRPr="00FC5566">
              <w:rPr>
                <w:sz w:val="16"/>
                <w:szCs w:val="16"/>
              </w:rPr>
              <w:t>352.44, Expansion Fittings.</w:t>
            </w:r>
          </w:p>
        </w:tc>
        <w:tc>
          <w:tcPr>
            <w:tcW w:w="7063" w:type="dxa"/>
          </w:tcPr>
          <w:p w14:paraId="5C658359" w14:textId="77777777" w:rsidR="00FC5566" w:rsidRPr="00FC5566" w:rsidRDefault="00FC5566" w:rsidP="00FC5566">
            <w:pPr>
              <w:widowControl w:val="0"/>
              <w:autoSpaceDE w:val="0"/>
              <w:autoSpaceDN w:val="0"/>
              <w:ind w:right="88"/>
              <w:rPr>
                <w:sz w:val="16"/>
                <w:szCs w:val="16"/>
              </w:rPr>
            </w:pPr>
          </w:p>
        </w:tc>
      </w:tr>
      <w:tr w:rsidR="00FC5566" w:rsidRPr="00FC5566" w14:paraId="7A5154D3" w14:textId="77777777" w:rsidTr="00B247D5">
        <w:trPr>
          <w:trHeight w:val="918"/>
        </w:trPr>
        <w:tc>
          <w:tcPr>
            <w:tcW w:w="1120" w:type="dxa"/>
          </w:tcPr>
          <w:p w14:paraId="12246905" w14:textId="77777777" w:rsidR="00FC5566" w:rsidRPr="00FC5566" w:rsidRDefault="00FC5566" w:rsidP="00FC5566">
            <w:pPr>
              <w:widowControl w:val="0"/>
              <w:autoSpaceDE w:val="0"/>
              <w:autoSpaceDN w:val="0"/>
              <w:jc w:val="center"/>
              <w:rPr>
                <w:sz w:val="16"/>
                <w:szCs w:val="16"/>
              </w:rPr>
            </w:pPr>
            <w:r w:rsidRPr="00FC5566">
              <w:rPr>
                <w:sz w:val="16"/>
                <w:szCs w:val="16"/>
              </w:rPr>
              <w:t>Amend</w:t>
            </w:r>
          </w:p>
        </w:tc>
        <w:tc>
          <w:tcPr>
            <w:tcW w:w="2347" w:type="dxa"/>
            <w:gridSpan w:val="2"/>
          </w:tcPr>
          <w:p w14:paraId="19DDA495" w14:textId="77777777" w:rsidR="00FC5566" w:rsidRPr="00FC5566" w:rsidRDefault="00FC5566" w:rsidP="00FC5566">
            <w:pPr>
              <w:widowControl w:val="0"/>
              <w:autoSpaceDE w:val="0"/>
              <w:autoSpaceDN w:val="0"/>
              <w:ind w:left="107" w:right="46"/>
              <w:rPr>
                <w:sz w:val="16"/>
                <w:szCs w:val="16"/>
              </w:rPr>
            </w:pPr>
            <w:r w:rsidRPr="00FC5566">
              <w:rPr>
                <w:sz w:val="16"/>
                <w:szCs w:val="16"/>
              </w:rPr>
              <w:t>Item (A), Thermal Expansion and Contraction.</w:t>
            </w:r>
          </w:p>
        </w:tc>
        <w:tc>
          <w:tcPr>
            <w:tcW w:w="7063" w:type="dxa"/>
          </w:tcPr>
          <w:p w14:paraId="66FFB1B5" w14:textId="77777777" w:rsidR="00FC5566" w:rsidRPr="00FC5566" w:rsidRDefault="00FC5566" w:rsidP="00FC5566">
            <w:pPr>
              <w:widowControl w:val="0"/>
              <w:autoSpaceDE w:val="0"/>
              <w:autoSpaceDN w:val="0"/>
              <w:ind w:left="108" w:right="88"/>
              <w:rPr>
                <w:sz w:val="16"/>
                <w:szCs w:val="16"/>
              </w:rPr>
            </w:pPr>
            <w:r w:rsidRPr="00FC5566">
              <w:rPr>
                <w:sz w:val="16"/>
                <w:szCs w:val="16"/>
              </w:rPr>
              <w:t>Expansion fittings for PVC conduit shall be provided to compensate for thermal expansion and contraction where the length change, in accordance with Table 352.44(A), is expected to be 6 mm (1⁄4 in.) or greater in a straight run between securely mounted items such as boxes, cabinets, elbows, or other conduit terminations.  Expansion fittings shall not be required where the conduit length between securely mounted fittings does not exceed 10ft unless the expected temperature change exceeds 100° F.  Expansion fittings shall be installed per the manufacturer’s installation instructions.</w:t>
            </w:r>
          </w:p>
        </w:tc>
      </w:tr>
      <w:tr w:rsidR="00FC5566" w:rsidRPr="00FC5566" w14:paraId="7A75F0E6" w14:textId="77777777" w:rsidTr="00B247D5">
        <w:trPr>
          <w:trHeight w:val="259"/>
        </w:trPr>
        <w:tc>
          <w:tcPr>
            <w:tcW w:w="1120" w:type="dxa"/>
            <w:tcBorders>
              <w:top w:val="single" w:sz="6" w:space="0" w:color="000000"/>
              <w:left w:val="single" w:sz="6" w:space="0" w:color="000000"/>
              <w:bottom w:val="single" w:sz="6" w:space="0" w:color="000000"/>
              <w:right w:val="single" w:sz="6" w:space="0" w:color="000000"/>
            </w:tcBorders>
          </w:tcPr>
          <w:p w14:paraId="1D302E52" w14:textId="77777777" w:rsidR="00FC5566" w:rsidRPr="00FC5566" w:rsidRDefault="00FC5566" w:rsidP="00FC5566">
            <w:pPr>
              <w:jc w:val="center"/>
              <w:rPr>
                <w:spacing w:val="-2"/>
                <w:sz w:val="16"/>
                <w:szCs w:val="16"/>
              </w:rPr>
            </w:pPr>
            <w:r w:rsidRPr="00FC5566">
              <w:rPr>
                <w:spacing w:val="-2"/>
                <w:sz w:val="16"/>
                <w:szCs w:val="16"/>
              </w:rPr>
              <w:t>Amend</w:t>
            </w:r>
          </w:p>
        </w:tc>
        <w:tc>
          <w:tcPr>
            <w:tcW w:w="2347" w:type="dxa"/>
            <w:gridSpan w:val="2"/>
            <w:tcBorders>
              <w:top w:val="single" w:sz="6" w:space="0" w:color="000000"/>
              <w:left w:val="single" w:sz="6" w:space="0" w:color="000000"/>
              <w:bottom w:val="single" w:sz="6" w:space="0" w:color="000000"/>
              <w:right w:val="single" w:sz="6" w:space="0" w:color="000000"/>
            </w:tcBorders>
          </w:tcPr>
          <w:p w14:paraId="5C6DC971" w14:textId="77777777" w:rsidR="00FC5566" w:rsidRPr="00FC5566" w:rsidRDefault="00FC5566" w:rsidP="00FC5566">
            <w:pPr>
              <w:ind w:left="107" w:right="46"/>
              <w:rPr>
                <w:sz w:val="16"/>
                <w:szCs w:val="16"/>
              </w:rPr>
            </w:pPr>
            <w:r w:rsidRPr="00FC5566">
              <w:rPr>
                <w:sz w:val="16"/>
                <w:szCs w:val="16"/>
              </w:rPr>
              <w:t>Chapter 4, Equipment for General Use</w:t>
            </w:r>
          </w:p>
        </w:tc>
        <w:tc>
          <w:tcPr>
            <w:tcW w:w="7063" w:type="dxa"/>
            <w:tcBorders>
              <w:top w:val="single" w:sz="6" w:space="0" w:color="000000"/>
              <w:left w:val="single" w:sz="6" w:space="0" w:color="000000"/>
              <w:bottom w:val="single" w:sz="6" w:space="0" w:color="000000"/>
              <w:right w:val="single" w:sz="6" w:space="0" w:color="000000"/>
            </w:tcBorders>
          </w:tcPr>
          <w:p w14:paraId="7AD5E317" w14:textId="77777777" w:rsidR="00FC5566" w:rsidRPr="00FC5566" w:rsidRDefault="00FC5566" w:rsidP="00FC5566">
            <w:pPr>
              <w:ind w:right="83"/>
              <w:rPr>
                <w:sz w:val="16"/>
                <w:szCs w:val="16"/>
              </w:rPr>
            </w:pPr>
          </w:p>
        </w:tc>
      </w:tr>
      <w:tr w:rsidR="00FC5566" w:rsidRPr="00FC5566" w14:paraId="6815B1B2" w14:textId="77777777" w:rsidTr="00B247D5">
        <w:trPr>
          <w:trHeight w:val="259"/>
        </w:trPr>
        <w:tc>
          <w:tcPr>
            <w:tcW w:w="1120" w:type="dxa"/>
            <w:tcBorders>
              <w:top w:val="single" w:sz="6" w:space="0" w:color="000000"/>
              <w:left w:val="single" w:sz="6" w:space="0" w:color="000000"/>
              <w:bottom w:val="single" w:sz="6" w:space="0" w:color="000000"/>
              <w:right w:val="single" w:sz="6" w:space="0" w:color="000000"/>
            </w:tcBorders>
          </w:tcPr>
          <w:p w14:paraId="19A79806" w14:textId="77777777" w:rsidR="00FC5566" w:rsidRPr="00FC5566" w:rsidRDefault="00FC5566" w:rsidP="00FC5566">
            <w:pPr>
              <w:jc w:val="center"/>
              <w:rPr>
                <w:spacing w:val="-2"/>
                <w:sz w:val="16"/>
                <w:szCs w:val="16"/>
              </w:rPr>
            </w:pPr>
            <w:r w:rsidRPr="00FC5566">
              <w:rPr>
                <w:spacing w:val="-2"/>
                <w:sz w:val="16"/>
                <w:szCs w:val="16"/>
              </w:rPr>
              <w:t>Amend</w:t>
            </w:r>
          </w:p>
        </w:tc>
        <w:tc>
          <w:tcPr>
            <w:tcW w:w="2347" w:type="dxa"/>
            <w:gridSpan w:val="2"/>
            <w:tcBorders>
              <w:top w:val="single" w:sz="6" w:space="0" w:color="000000"/>
              <w:left w:val="single" w:sz="6" w:space="0" w:color="000000"/>
              <w:bottom w:val="single" w:sz="6" w:space="0" w:color="000000"/>
              <w:right w:val="single" w:sz="6" w:space="0" w:color="000000"/>
            </w:tcBorders>
          </w:tcPr>
          <w:p w14:paraId="4D7FEA62" w14:textId="77777777" w:rsidR="00FC5566" w:rsidRPr="00FC5566" w:rsidRDefault="00FC5566" w:rsidP="00FC5566">
            <w:pPr>
              <w:ind w:left="107" w:right="46"/>
              <w:rPr>
                <w:sz w:val="16"/>
                <w:szCs w:val="16"/>
              </w:rPr>
            </w:pPr>
            <w:r w:rsidRPr="00FC5566">
              <w:rPr>
                <w:sz w:val="16"/>
                <w:szCs w:val="16"/>
              </w:rPr>
              <w:t>Article 445.10, Location</w:t>
            </w:r>
          </w:p>
        </w:tc>
        <w:tc>
          <w:tcPr>
            <w:tcW w:w="7063" w:type="dxa"/>
            <w:tcBorders>
              <w:top w:val="single" w:sz="6" w:space="0" w:color="000000"/>
              <w:left w:val="single" w:sz="6" w:space="0" w:color="000000"/>
              <w:bottom w:val="single" w:sz="6" w:space="0" w:color="000000"/>
              <w:right w:val="single" w:sz="6" w:space="0" w:color="000000"/>
            </w:tcBorders>
          </w:tcPr>
          <w:p w14:paraId="3F4F8107" w14:textId="77777777" w:rsidR="00FC5566" w:rsidRPr="00FC5566" w:rsidRDefault="00FC5566" w:rsidP="00FC5566">
            <w:pPr>
              <w:ind w:right="83"/>
              <w:rPr>
                <w:sz w:val="16"/>
                <w:szCs w:val="16"/>
              </w:rPr>
            </w:pPr>
          </w:p>
        </w:tc>
      </w:tr>
      <w:tr w:rsidR="00FC5566" w:rsidRPr="00FC5566" w14:paraId="0CAEB4A0" w14:textId="77777777" w:rsidTr="00B247D5">
        <w:trPr>
          <w:trHeight w:val="369"/>
        </w:trPr>
        <w:tc>
          <w:tcPr>
            <w:tcW w:w="1120" w:type="dxa"/>
            <w:tcBorders>
              <w:top w:val="single" w:sz="6" w:space="0" w:color="000000"/>
              <w:left w:val="single" w:sz="6" w:space="0" w:color="000000"/>
              <w:bottom w:val="single" w:sz="6" w:space="0" w:color="000000"/>
              <w:right w:val="single" w:sz="6" w:space="0" w:color="000000"/>
            </w:tcBorders>
          </w:tcPr>
          <w:p w14:paraId="234EF6CC" w14:textId="77777777" w:rsidR="00FC5566" w:rsidRPr="00FC5566" w:rsidRDefault="00FC5566" w:rsidP="00FC5566">
            <w:pPr>
              <w:jc w:val="center"/>
              <w:rPr>
                <w:spacing w:val="-2"/>
                <w:sz w:val="16"/>
                <w:szCs w:val="16"/>
              </w:rPr>
            </w:pPr>
            <w:r w:rsidRPr="00FC5566">
              <w:rPr>
                <w:spacing w:val="-2"/>
                <w:sz w:val="16"/>
                <w:szCs w:val="16"/>
              </w:rPr>
              <w:t>Adopt</w:t>
            </w:r>
          </w:p>
        </w:tc>
        <w:tc>
          <w:tcPr>
            <w:tcW w:w="2347" w:type="dxa"/>
            <w:gridSpan w:val="2"/>
            <w:tcBorders>
              <w:top w:val="single" w:sz="6" w:space="0" w:color="000000"/>
              <w:left w:val="single" w:sz="6" w:space="0" w:color="000000"/>
              <w:bottom w:val="single" w:sz="6" w:space="0" w:color="000000"/>
              <w:right w:val="single" w:sz="6" w:space="0" w:color="000000"/>
            </w:tcBorders>
          </w:tcPr>
          <w:p w14:paraId="275EB0A0" w14:textId="77777777" w:rsidR="00FC5566" w:rsidRPr="00FC5566" w:rsidRDefault="00FC5566" w:rsidP="00FC5566">
            <w:pPr>
              <w:ind w:left="107" w:right="46"/>
              <w:rPr>
                <w:sz w:val="16"/>
                <w:szCs w:val="16"/>
              </w:rPr>
            </w:pPr>
            <w:r w:rsidRPr="00FC5566">
              <w:rPr>
                <w:sz w:val="16"/>
                <w:szCs w:val="16"/>
              </w:rPr>
              <w:t>Item (A), Residential Generators.</w:t>
            </w:r>
          </w:p>
        </w:tc>
        <w:tc>
          <w:tcPr>
            <w:tcW w:w="7063" w:type="dxa"/>
            <w:tcBorders>
              <w:top w:val="single" w:sz="6" w:space="0" w:color="000000"/>
              <w:left w:val="single" w:sz="6" w:space="0" w:color="000000"/>
              <w:bottom w:val="single" w:sz="6" w:space="0" w:color="000000"/>
              <w:right w:val="single" w:sz="6" w:space="0" w:color="000000"/>
            </w:tcBorders>
          </w:tcPr>
          <w:p w14:paraId="76AAACA9" w14:textId="77777777" w:rsidR="00FC5566" w:rsidRPr="00FC5566" w:rsidRDefault="00FC5566" w:rsidP="00FC5566">
            <w:pPr>
              <w:ind w:left="136" w:right="83"/>
              <w:rPr>
                <w:sz w:val="16"/>
                <w:szCs w:val="16"/>
              </w:rPr>
            </w:pPr>
            <w:r w:rsidRPr="00FC5566">
              <w:rPr>
                <w:sz w:val="16"/>
                <w:szCs w:val="16"/>
              </w:rPr>
              <w:t>When a Fuel Fired Standby generator(s) or Transfer Switch (Automatic or Manual) is installed, it shall be located outside the dwelling, it shall be installed per the manufacturer’s installation instructions and the additional following requirements shall be as follows:</w:t>
            </w:r>
          </w:p>
        </w:tc>
      </w:tr>
      <w:tr w:rsidR="00FC5566" w:rsidRPr="00FC5566" w14:paraId="194FCCFA" w14:textId="77777777" w:rsidTr="00B247D5">
        <w:trPr>
          <w:trHeight w:val="369"/>
        </w:trPr>
        <w:tc>
          <w:tcPr>
            <w:tcW w:w="1120" w:type="dxa"/>
            <w:tcBorders>
              <w:top w:val="single" w:sz="6" w:space="0" w:color="000000"/>
              <w:left w:val="single" w:sz="6" w:space="0" w:color="000000"/>
              <w:bottom w:val="single" w:sz="6" w:space="0" w:color="000000"/>
              <w:right w:val="single" w:sz="6" w:space="0" w:color="000000"/>
            </w:tcBorders>
          </w:tcPr>
          <w:p w14:paraId="255420E3" w14:textId="77777777" w:rsidR="00FC5566" w:rsidRPr="00FC5566" w:rsidRDefault="00FC5566" w:rsidP="00FC5566">
            <w:pPr>
              <w:jc w:val="center"/>
              <w:rPr>
                <w:spacing w:val="-2"/>
                <w:sz w:val="16"/>
                <w:szCs w:val="16"/>
              </w:rPr>
            </w:pPr>
            <w:r w:rsidRPr="00FC5566">
              <w:rPr>
                <w:spacing w:val="-2"/>
                <w:sz w:val="16"/>
                <w:szCs w:val="16"/>
              </w:rPr>
              <w:t>Adopt</w:t>
            </w:r>
          </w:p>
        </w:tc>
        <w:tc>
          <w:tcPr>
            <w:tcW w:w="2347" w:type="dxa"/>
            <w:gridSpan w:val="2"/>
            <w:tcBorders>
              <w:top w:val="single" w:sz="6" w:space="0" w:color="000000"/>
              <w:left w:val="single" w:sz="6" w:space="0" w:color="000000"/>
              <w:bottom w:val="single" w:sz="6" w:space="0" w:color="000000"/>
              <w:right w:val="single" w:sz="6" w:space="0" w:color="000000"/>
            </w:tcBorders>
          </w:tcPr>
          <w:p w14:paraId="277E783D" w14:textId="77777777" w:rsidR="00FC5566" w:rsidRPr="00FC5566" w:rsidRDefault="00FC5566" w:rsidP="00FC5566">
            <w:pPr>
              <w:ind w:left="107" w:right="46"/>
              <w:rPr>
                <w:sz w:val="16"/>
                <w:szCs w:val="16"/>
              </w:rPr>
            </w:pPr>
            <w:r w:rsidRPr="00FC5566">
              <w:rPr>
                <w:sz w:val="16"/>
                <w:szCs w:val="16"/>
              </w:rPr>
              <w:t>Item (1)</w:t>
            </w:r>
          </w:p>
        </w:tc>
        <w:tc>
          <w:tcPr>
            <w:tcW w:w="7063" w:type="dxa"/>
            <w:tcBorders>
              <w:top w:val="single" w:sz="6" w:space="0" w:color="000000"/>
              <w:left w:val="single" w:sz="6" w:space="0" w:color="000000"/>
              <w:bottom w:val="single" w:sz="6" w:space="0" w:color="000000"/>
              <w:right w:val="single" w:sz="6" w:space="0" w:color="000000"/>
            </w:tcBorders>
          </w:tcPr>
          <w:p w14:paraId="39D7727C" w14:textId="77777777" w:rsidR="00FC5566" w:rsidRPr="00FC5566" w:rsidRDefault="00FC5566" w:rsidP="00FC5566">
            <w:pPr>
              <w:ind w:left="136" w:right="83"/>
              <w:rPr>
                <w:sz w:val="16"/>
                <w:szCs w:val="16"/>
              </w:rPr>
            </w:pPr>
            <w:r w:rsidRPr="00FC5566">
              <w:rPr>
                <w:sz w:val="16"/>
                <w:szCs w:val="16"/>
              </w:rPr>
              <w:t>A Carbon Monoxide Alarm shall be permanently installed in each sleeping area inside the dwelling and an additional Carbon Monoxide Alarm shall be permanently installed outside of each separate sleeping area in the immediate vicinity of the bedroom, as approved by the building official. The single detector shall be located in a hallway or room adjacent to the bedrooms.</w:t>
            </w:r>
          </w:p>
        </w:tc>
      </w:tr>
    </w:tbl>
    <w:p w14:paraId="257742B4"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both"/>
        <w:outlineLvl w:val="3"/>
        <w:rPr>
          <w:kern w:val="2"/>
        </w:rPr>
        <w:sectPr w:rsidR="00FC5566" w:rsidRPr="00FC5566" w:rsidSect="00FC5566">
          <w:type w:val="continuous"/>
          <w:pgSz w:w="12240" w:h="15840"/>
          <w:pgMar w:top="720" w:right="864" w:bottom="317" w:left="864" w:header="576" w:footer="432" w:gutter="0"/>
          <w:cols w:space="720"/>
          <w:docGrid w:linePitch="360"/>
        </w:sectPr>
      </w:pPr>
    </w:p>
    <w:p w14:paraId="6B46A97D"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both"/>
        <w:outlineLvl w:val="3"/>
        <w:rPr>
          <w:kern w:val="2"/>
        </w:rPr>
      </w:pPr>
    </w:p>
    <w:p w14:paraId="10E0FFCC"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 xml:space="preserve">Promulgated in accordance with R.S. 37:3727-3750. </w:t>
      </w:r>
    </w:p>
    <w:p w14:paraId="22C1F16E"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 xml:space="preserve">Promulgated by the Department of Public Safety and Corrections, State Uniform Construction Code Council, LR 33:291 (February 2007), amended LR 34:93 (January 2008), LR 34:883 (May 2008), LR 34:2205 (October 2008), LR 35:1904 (September 2009), LR 36:2574 (November 2010), effective January 1, 2011, LR 37:601 (February 2011), LR 37:913 (March 2011), repromulgated LR 37:2187 (July 2011), repromulgated LR 37:2726 (September 2011), LR 37:3065 (October 2011), LR 38:1994 (August 2012), amended by the Department of Public Safety and Corrections, Uniform Construction Code Council, LR 39:1825 (July 2013), LR 39:2512 (September 2013), LR 40:2609 (December </w:t>
      </w:r>
      <w:r w:rsidRPr="00FC5566">
        <w:rPr>
          <w:kern w:val="2"/>
          <w:sz w:val="18"/>
        </w:rPr>
        <w:br w:type="column"/>
      </w:r>
      <w:r w:rsidRPr="00FC5566">
        <w:rPr>
          <w:kern w:val="2"/>
          <w:sz w:val="18"/>
        </w:rPr>
        <w:t xml:space="preserve">2014), amended by the Department of Public Safety and Corrections, </w:t>
      </w:r>
    </w:p>
    <w:p w14:paraId="0557C4E8"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both"/>
        <w:rPr>
          <w:kern w:val="2"/>
          <w:sz w:val="18"/>
        </w:rPr>
      </w:pPr>
      <w:r w:rsidRPr="00FC5566">
        <w:rPr>
          <w:kern w:val="2"/>
          <w:sz w:val="18"/>
        </w:rPr>
        <w:t>Office of State Fire Marshall, LR 41:2387 (November 2015), amended by the Department of Public Safety and Corrections, Office of the State Fire Marshal, Uniform Construction Code Council, LR 44:95 (January 2018), repromulgated LR 45:932 (July 2019), amended LR 48:2606 (October 2022), LR 50:413 (March 2012), amended by the Office of the Governor, Uniform Construction Code Commission LR 52:</w:t>
      </w:r>
    </w:p>
    <w:p w14:paraId="1329B7C0"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§117.</w:t>
      </w:r>
      <w:r w:rsidRPr="00FC5566">
        <w:rPr>
          <w:b/>
          <w:kern w:val="2"/>
        </w:rPr>
        <w:tab/>
        <w:t xml:space="preserve">International Energy Conservation Code </w:t>
      </w:r>
    </w:p>
    <w:p w14:paraId="427AEE7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r>
      <w:r w:rsidRPr="00FC5566">
        <w:rPr>
          <w:i/>
          <w:iCs/>
          <w:kern w:val="2"/>
        </w:rPr>
        <w:t>International Energy Conservation Code</w:t>
      </w:r>
      <w:r w:rsidRPr="00FC5566">
        <w:rPr>
          <w:kern w:val="2"/>
        </w:rPr>
        <w:t xml:space="preserve"> (IECC) 2024 Edition and standards referenced in that code are included for regulation of construction in this state. Furthermore, IECC shall be amended as follows and shall only apply to the International Energy Conservation Code.</w:t>
      </w:r>
    </w:p>
    <w:p w14:paraId="011AD0B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sectPr w:rsidR="00FC5566" w:rsidRPr="00FC5566" w:rsidSect="00FC5566">
          <w:type w:val="continuous"/>
          <w:pgSz w:w="12240" w:h="15840"/>
          <w:pgMar w:top="720" w:right="864" w:bottom="317" w:left="864" w:header="576" w:footer="432" w:gutter="0"/>
          <w:cols w:num="2" w:space="720"/>
          <w:docGrid w:linePitch="360"/>
        </w:sectPr>
      </w:pPr>
    </w:p>
    <w:p w14:paraId="7CC546D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p w14:paraId="373B311F" w14:textId="77777777" w:rsidR="00FC5566" w:rsidRPr="00FC5566" w:rsidRDefault="00FC5566" w:rsidP="00FC5566">
      <w:pPr>
        <w:widowControl w:val="0"/>
        <w:autoSpaceDE w:val="0"/>
        <w:autoSpaceDN w:val="0"/>
        <w:jc w:val="center"/>
        <w:rPr>
          <w:spacing w:val="-2"/>
          <w:sz w:val="16"/>
          <w:szCs w:val="16"/>
        </w:rPr>
        <w:sectPr w:rsidR="00FC5566" w:rsidRPr="00FC5566" w:rsidSect="00FC5566">
          <w:type w:val="continuous"/>
          <w:pgSz w:w="12240" w:h="15840"/>
          <w:pgMar w:top="720" w:right="864" w:bottom="317" w:left="864" w:header="576" w:footer="432" w:gutter="0"/>
          <w:cols w:num="2" w:space="720"/>
          <w:docGrid w:linePitch="360"/>
        </w:sectPr>
      </w:pPr>
    </w:p>
    <w:tbl>
      <w:tblPr>
        <w:tblW w:w="10440"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62"/>
        <w:gridCol w:w="2395"/>
        <w:gridCol w:w="6983"/>
      </w:tblGrid>
      <w:tr w:rsidR="00FC5566" w:rsidRPr="00FC5566" w14:paraId="11E1A884" w14:textId="77777777" w:rsidTr="00B247D5">
        <w:trPr>
          <w:trHeight w:val="184"/>
        </w:trPr>
        <w:tc>
          <w:tcPr>
            <w:tcW w:w="1062" w:type="dxa"/>
          </w:tcPr>
          <w:p w14:paraId="74D84C3F"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395" w:type="dxa"/>
          </w:tcPr>
          <w:p w14:paraId="28F212DC" w14:textId="77777777" w:rsidR="00FC5566" w:rsidRPr="00FC5566" w:rsidRDefault="00FC5566" w:rsidP="00FC5566">
            <w:pPr>
              <w:widowControl w:val="0"/>
              <w:autoSpaceDE w:val="0"/>
              <w:autoSpaceDN w:val="0"/>
              <w:ind w:left="114" w:right="121"/>
              <w:rPr>
                <w:sz w:val="16"/>
                <w:szCs w:val="16"/>
              </w:rPr>
            </w:pPr>
            <w:r w:rsidRPr="00FC5566">
              <w:rPr>
                <w:sz w:val="16"/>
                <w:szCs w:val="16"/>
              </w:rPr>
              <w:t>Chapter [CE] 3, General Requirements</w:t>
            </w:r>
          </w:p>
        </w:tc>
        <w:tc>
          <w:tcPr>
            <w:tcW w:w="6983" w:type="dxa"/>
          </w:tcPr>
          <w:p w14:paraId="69CA5311" w14:textId="77777777" w:rsidR="00FC5566" w:rsidRPr="00FC5566" w:rsidRDefault="00FC5566" w:rsidP="00FC5566">
            <w:pPr>
              <w:widowControl w:val="0"/>
              <w:autoSpaceDE w:val="0"/>
              <w:autoSpaceDN w:val="0"/>
              <w:ind w:left="114" w:right="83"/>
              <w:rPr>
                <w:sz w:val="16"/>
                <w:szCs w:val="16"/>
              </w:rPr>
            </w:pPr>
          </w:p>
        </w:tc>
      </w:tr>
      <w:tr w:rsidR="00FC5566" w:rsidRPr="00FC5566" w14:paraId="7C49CB62" w14:textId="77777777" w:rsidTr="00B247D5">
        <w:trPr>
          <w:trHeight w:val="184"/>
        </w:trPr>
        <w:tc>
          <w:tcPr>
            <w:tcW w:w="1062" w:type="dxa"/>
          </w:tcPr>
          <w:p w14:paraId="190A94AA"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395" w:type="dxa"/>
          </w:tcPr>
          <w:p w14:paraId="45F606E3" w14:textId="77777777" w:rsidR="00FC5566" w:rsidRPr="00FC5566" w:rsidRDefault="00FC5566" w:rsidP="00FC5566">
            <w:pPr>
              <w:widowControl w:val="0"/>
              <w:autoSpaceDE w:val="0"/>
              <w:autoSpaceDN w:val="0"/>
              <w:ind w:left="114" w:right="121"/>
              <w:rPr>
                <w:sz w:val="16"/>
                <w:szCs w:val="16"/>
              </w:rPr>
            </w:pPr>
            <w:r w:rsidRPr="00FC5566">
              <w:rPr>
                <w:sz w:val="16"/>
                <w:szCs w:val="16"/>
              </w:rPr>
              <w:t>Section C301, Climate Zones.</w:t>
            </w:r>
          </w:p>
        </w:tc>
        <w:tc>
          <w:tcPr>
            <w:tcW w:w="6983" w:type="dxa"/>
          </w:tcPr>
          <w:p w14:paraId="0A731719" w14:textId="77777777" w:rsidR="00FC5566" w:rsidRPr="00FC5566" w:rsidRDefault="00FC5566" w:rsidP="00FC5566">
            <w:pPr>
              <w:widowControl w:val="0"/>
              <w:autoSpaceDE w:val="0"/>
              <w:autoSpaceDN w:val="0"/>
              <w:ind w:left="114" w:right="83"/>
              <w:rPr>
                <w:sz w:val="16"/>
                <w:szCs w:val="16"/>
              </w:rPr>
            </w:pPr>
            <w:r w:rsidRPr="00FC5566">
              <w:rPr>
                <w:sz w:val="16"/>
                <w:szCs w:val="16"/>
                <w:lang w:val="en"/>
              </w:rPr>
              <w:t>For IECC compliance purposes only, all parishes in the state of Louisiana shall be assigned to Climate Zone 2A.</w:t>
            </w:r>
          </w:p>
        </w:tc>
      </w:tr>
      <w:tr w:rsidR="00FC5566" w:rsidRPr="00FC5566" w14:paraId="59B7ADA2" w14:textId="77777777" w:rsidTr="00B247D5">
        <w:trPr>
          <w:trHeight w:val="184"/>
        </w:trPr>
        <w:tc>
          <w:tcPr>
            <w:tcW w:w="1062" w:type="dxa"/>
          </w:tcPr>
          <w:p w14:paraId="360C5C5F"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395" w:type="dxa"/>
          </w:tcPr>
          <w:p w14:paraId="13408666" w14:textId="77777777" w:rsidR="00FC5566" w:rsidRPr="00FC5566" w:rsidRDefault="00FC5566" w:rsidP="00FC5566">
            <w:pPr>
              <w:widowControl w:val="0"/>
              <w:autoSpaceDE w:val="0"/>
              <w:autoSpaceDN w:val="0"/>
              <w:ind w:left="114" w:right="121"/>
              <w:rPr>
                <w:sz w:val="16"/>
                <w:szCs w:val="16"/>
              </w:rPr>
            </w:pPr>
            <w:r w:rsidRPr="00FC5566">
              <w:rPr>
                <w:sz w:val="16"/>
                <w:szCs w:val="16"/>
              </w:rPr>
              <w:t>Chapter [CE] 4, Commercial Energy Efficiency</w:t>
            </w:r>
          </w:p>
        </w:tc>
        <w:tc>
          <w:tcPr>
            <w:tcW w:w="6983" w:type="dxa"/>
          </w:tcPr>
          <w:p w14:paraId="2D70C163" w14:textId="77777777" w:rsidR="00FC5566" w:rsidRPr="00FC5566" w:rsidRDefault="00FC5566" w:rsidP="00FC5566">
            <w:pPr>
              <w:widowControl w:val="0"/>
              <w:autoSpaceDE w:val="0"/>
              <w:autoSpaceDN w:val="0"/>
              <w:ind w:left="114" w:right="83"/>
              <w:rPr>
                <w:sz w:val="16"/>
                <w:szCs w:val="16"/>
              </w:rPr>
            </w:pPr>
          </w:p>
        </w:tc>
      </w:tr>
      <w:tr w:rsidR="00FC5566" w:rsidRPr="00FC5566" w14:paraId="5E2E4B3F" w14:textId="77777777" w:rsidTr="00B247D5">
        <w:trPr>
          <w:trHeight w:val="184"/>
        </w:trPr>
        <w:tc>
          <w:tcPr>
            <w:tcW w:w="1062" w:type="dxa"/>
          </w:tcPr>
          <w:p w14:paraId="768D024E"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395" w:type="dxa"/>
          </w:tcPr>
          <w:p w14:paraId="1A9E5E1A" w14:textId="77777777" w:rsidR="00FC5566" w:rsidRPr="00FC5566" w:rsidRDefault="00FC5566" w:rsidP="00FC5566">
            <w:pPr>
              <w:widowControl w:val="0"/>
              <w:autoSpaceDE w:val="0"/>
              <w:autoSpaceDN w:val="0"/>
              <w:ind w:left="114" w:right="121"/>
              <w:rPr>
                <w:sz w:val="16"/>
                <w:szCs w:val="16"/>
              </w:rPr>
            </w:pPr>
            <w:r w:rsidRPr="00FC5566">
              <w:rPr>
                <w:sz w:val="16"/>
                <w:szCs w:val="16"/>
              </w:rPr>
              <w:t>Section C403.4.1, Thermostatic Controls.</w:t>
            </w:r>
          </w:p>
        </w:tc>
        <w:tc>
          <w:tcPr>
            <w:tcW w:w="6983" w:type="dxa"/>
          </w:tcPr>
          <w:p w14:paraId="488CD759" w14:textId="77777777" w:rsidR="00FC5566" w:rsidRPr="00FC5566" w:rsidRDefault="00FC5566" w:rsidP="00FC5566">
            <w:pPr>
              <w:widowControl w:val="0"/>
              <w:autoSpaceDE w:val="0"/>
              <w:autoSpaceDN w:val="0"/>
              <w:ind w:left="114" w:right="83"/>
              <w:rPr>
                <w:sz w:val="16"/>
                <w:szCs w:val="16"/>
              </w:rPr>
            </w:pPr>
            <w:r w:rsidRPr="00FC5566">
              <w:rPr>
                <w:sz w:val="16"/>
                <w:szCs w:val="16"/>
              </w:rPr>
              <w:t>The supply of heating and cooling energy to each </w:t>
            </w:r>
            <w:r w:rsidRPr="00FC5566">
              <w:rPr>
                <w:i/>
                <w:iCs/>
                <w:sz w:val="16"/>
                <w:szCs w:val="16"/>
              </w:rPr>
              <w:t>zone</w:t>
            </w:r>
            <w:r w:rsidRPr="00FC5566">
              <w:rPr>
                <w:sz w:val="16"/>
                <w:szCs w:val="16"/>
              </w:rPr>
              <w:t> shall be controlled by individual thermostatic controls capable of responding to temperature within the </w:t>
            </w:r>
            <w:r w:rsidRPr="00FC5566">
              <w:rPr>
                <w:i/>
                <w:iCs/>
                <w:sz w:val="16"/>
                <w:szCs w:val="16"/>
              </w:rPr>
              <w:t>zone</w:t>
            </w:r>
            <w:r w:rsidRPr="00FC5566">
              <w:rPr>
                <w:sz w:val="16"/>
                <w:szCs w:val="16"/>
              </w:rPr>
              <w:t>. Where humidification or dehumidification or both is provided, not fewer than one humidity control device shall be provided for each humidity control system. Where cooling is provided, the system shall be capable of limiting relative humidity levels to 60% relative humidity. Supplemental dehumidification equipment may be used to meet this requirement.</w:t>
            </w:r>
          </w:p>
        </w:tc>
      </w:tr>
      <w:tr w:rsidR="00FC5566" w:rsidRPr="00FC5566" w14:paraId="467F38FD" w14:textId="77777777" w:rsidTr="00B247D5">
        <w:trPr>
          <w:trHeight w:val="274"/>
        </w:trPr>
        <w:tc>
          <w:tcPr>
            <w:tcW w:w="1062" w:type="dxa"/>
          </w:tcPr>
          <w:p w14:paraId="31098887"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395" w:type="dxa"/>
          </w:tcPr>
          <w:p w14:paraId="55C7784F" w14:textId="77777777" w:rsidR="00FC5566" w:rsidRPr="00FC5566" w:rsidRDefault="00FC5566" w:rsidP="00FC5566">
            <w:pPr>
              <w:widowControl w:val="0"/>
              <w:autoSpaceDE w:val="0"/>
              <w:autoSpaceDN w:val="0"/>
              <w:ind w:left="114" w:right="121"/>
              <w:rPr>
                <w:sz w:val="16"/>
                <w:szCs w:val="16"/>
              </w:rPr>
            </w:pPr>
            <w:r w:rsidRPr="00FC5566">
              <w:rPr>
                <w:sz w:val="16"/>
                <w:szCs w:val="16"/>
              </w:rPr>
              <w:t>Section C403.5, Economizers.</w:t>
            </w:r>
          </w:p>
        </w:tc>
        <w:tc>
          <w:tcPr>
            <w:tcW w:w="6983" w:type="dxa"/>
          </w:tcPr>
          <w:p w14:paraId="605F63A9" w14:textId="77777777" w:rsidR="00FC5566" w:rsidRPr="00FC5566" w:rsidRDefault="00FC5566" w:rsidP="00FC5566">
            <w:pPr>
              <w:widowControl w:val="0"/>
              <w:autoSpaceDE w:val="0"/>
              <w:autoSpaceDN w:val="0"/>
              <w:ind w:left="114" w:right="83"/>
              <w:rPr>
                <w:sz w:val="16"/>
                <w:szCs w:val="16"/>
              </w:rPr>
            </w:pPr>
          </w:p>
        </w:tc>
      </w:tr>
      <w:tr w:rsidR="00FC5566" w:rsidRPr="00FC5566" w14:paraId="473E10E5" w14:textId="77777777" w:rsidTr="00B247D5">
        <w:trPr>
          <w:trHeight w:val="274"/>
        </w:trPr>
        <w:tc>
          <w:tcPr>
            <w:tcW w:w="1062" w:type="dxa"/>
          </w:tcPr>
          <w:p w14:paraId="19BA1FA6"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395" w:type="dxa"/>
          </w:tcPr>
          <w:p w14:paraId="145CDFB3" w14:textId="77777777" w:rsidR="00FC5566" w:rsidRPr="00FC5566" w:rsidRDefault="00FC5566" w:rsidP="00FC5566">
            <w:pPr>
              <w:widowControl w:val="0"/>
              <w:autoSpaceDE w:val="0"/>
              <w:autoSpaceDN w:val="0"/>
              <w:ind w:left="114" w:right="121"/>
              <w:rPr>
                <w:sz w:val="16"/>
                <w:szCs w:val="16"/>
              </w:rPr>
            </w:pPr>
            <w:r w:rsidRPr="00FC5566">
              <w:rPr>
                <w:sz w:val="16"/>
                <w:szCs w:val="16"/>
              </w:rPr>
              <w:t xml:space="preserve">Exceptions </w:t>
            </w:r>
          </w:p>
        </w:tc>
        <w:tc>
          <w:tcPr>
            <w:tcW w:w="6983" w:type="dxa"/>
          </w:tcPr>
          <w:p w14:paraId="49FE98F0" w14:textId="77777777" w:rsidR="00FC5566" w:rsidRPr="00FC5566" w:rsidRDefault="00FC5566" w:rsidP="00FC5566">
            <w:pPr>
              <w:widowControl w:val="0"/>
              <w:autoSpaceDE w:val="0"/>
              <w:autoSpaceDN w:val="0"/>
              <w:ind w:left="114" w:right="83"/>
              <w:rPr>
                <w:sz w:val="16"/>
                <w:szCs w:val="16"/>
              </w:rPr>
            </w:pPr>
          </w:p>
        </w:tc>
      </w:tr>
      <w:tr w:rsidR="00FC5566" w:rsidRPr="00FC5566" w14:paraId="43F3D428" w14:textId="77777777" w:rsidTr="00B247D5">
        <w:trPr>
          <w:trHeight w:val="184"/>
        </w:trPr>
        <w:tc>
          <w:tcPr>
            <w:tcW w:w="1062" w:type="dxa"/>
          </w:tcPr>
          <w:p w14:paraId="331AF5A3"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395" w:type="dxa"/>
          </w:tcPr>
          <w:p w14:paraId="2C4E3CE4" w14:textId="77777777" w:rsidR="00FC5566" w:rsidRPr="00FC5566" w:rsidRDefault="00FC5566" w:rsidP="00FC5566">
            <w:pPr>
              <w:widowControl w:val="0"/>
              <w:autoSpaceDE w:val="0"/>
              <w:autoSpaceDN w:val="0"/>
              <w:ind w:left="114" w:right="121"/>
              <w:rPr>
                <w:sz w:val="16"/>
                <w:szCs w:val="16"/>
              </w:rPr>
            </w:pPr>
            <w:r w:rsidRPr="00FC5566">
              <w:rPr>
                <w:sz w:val="16"/>
                <w:szCs w:val="16"/>
              </w:rPr>
              <w:t>Item (1.)</w:t>
            </w:r>
          </w:p>
        </w:tc>
        <w:tc>
          <w:tcPr>
            <w:tcW w:w="6983" w:type="dxa"/>
          </w:tcPr>
          <w:p w14:paraId="5082C607" w14:textId="77777777" w:rsidR="00FC5566" w:rsidRPr="00FC5566" w:rsidRDefault="00FC5566" w:rsidP="00FC5566">
            <w:pPr>
              <w:widowControl w:val="0"/>
              <w:autoSpaceDE w:val="0"/>
              <w:autoSpaceDN w:val="0"/>
              <w:ind w:left="114" w:right="83"/>
              <w:rPr>
                <w:sz w:val="16"/>
                <w:szCs w:val="16"/>
              </w:rPr>
            </w:pPr>
            <w:r w:rsidRPr="00FC5566">
              <w:rPr>
                <w:sz w:val="16"/>
                <w:szCs w:val="16"/>
              </w:rPr>
              <w:t>1. Individual </w:t>
            </w:r>
            <w:r w:rsidRPr="00FC5566">
              <w:rPr>
                <w:i/>
                <w:iCs/>
                <w:sz w:val="16"/>
                <w:szCs w:val="16"/>
              </w:rPr>
              <w:t>fan systems</w:t>
            </w:r>
            <w:r w:rsidRPr="00FC5566">
              <w:rPr>
                <w:sz w:val="16"/>
                <w:szCs w:val="16"/>
              </w:rPr>
              <w:t> not served by chilled water for </w:t>
            </w:r>
            <w:r w:rsidRPr="00FC5566">
              <w:rPr>
                <w:i/>
                <w:iCs/>
                <w:sz w:val="16"/>
                <w:szCs w:val="16"/>
              </w:rPr>
              <w:t>buildings</w:t>
            </w:r>
            <w:r w:rsidRPr="00FC5566">
              <w:rPr>
                <w:sz w:val="16"/>
                <w:szCs w:val="16"/>
              </w:rPr>
              <w:t> located in </w:t>
            </w:r>
            <w:r w:rsidRPr="00FC5566">
              <w:rPr>
                <w:i/>
                <w:iCs/>
                <w:sz w:val="16"/>
                <w:szCs w:val="16"/>
              </w:rPr>
              <w:t>Climate Zones </w:t>
            </w:r>
            <w:r w:rsidRPr="00FC5566">
              <w:rPr>
                <w:sz w:val="16"/>
                <w:szCs w:val="16"/>
              </w:rPr>
              <w:t>0A, 0B, 1A, 1B and 2A.</w:t>
            </w:r>
          </w:p>
        </w:tc>
      </w:tr>
      <w:tr w:rsidR="00FC5566" w:rsidRPr="00FC5566" w14:paraId="0E3B5A58" w14:textId="77777777" w:rsidTr="00B247D5">
        <w:trPr>
          <w:trHeight w:val="184"/>
        </w:trPr>
        <w:tc>
          <w:tcPr>
            <w:tcW w:w="1062" w:type="dxa"/>
          </w:tcPr>
          <w:p w14:paraId="7C1EE5A8"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395" w:type="dxa"/>
          </w:tcPr>
          <w:p w14:paraId="485D6A26" w14:textId="77777777" w:rsidR="00FC5566" w:rsidRPr="00FC5566" w:rsidRDefault="00FC5566" w:rsidP="00FC5566">
            <w:pPr>
              <w:widowControl w:val="0"/>
              <w:autoSpaceDE w:val="0"/>
              <w:autoSpaceDN w:val="0"/>
              <w:ind w:left="114" w:right="121"/>
              <w:rPr>
                <w:sz w:val="16"/>
                <w:szCs w:val="16"/>
              </w:rPr>
            </w:pPr>
            <w:r w:rsidRPr="00FC5566">
              <w:rPr>
                <w:sz w:val="16"/>
                <w:szCs w:val="16"/>
              </w:rPr>
              <w:t>Table C403.5.3.3, High-Limit Shutoff Control Setting for Air Economizers</w:t>
            </w:r>
          </w:p>
        </w:tc>
        <w:tc>
          <w:tcPr>
            <w:tcW w:w="6983" w:type="dxa"/>
          </w:tcPr>
          <w:p w14:paraId="42BE010E" w14:textId="77777777" w:rsidR="00FC5566" w:rsidRPr="00FC5566" w:rsidRDefault="00FC5566" w:rsidP="00FC5566">
            <w:pPr>
              <w:widowControl w:val="0"/>
              <w:autoSpaceDE w:val="0"/>
              <w:autoSpaceDN w:val="0"/>
              <w:ind w:left="114" w:right="83"/>
              <w:rPr>
                <w:sz w:val="16"/>
                <w:szCs w:val="16"/>
              </w:rPr>
            </w:pPr>
          </w:p>
        </w:tc>
      </w:tr>
      <w:tr w:rsidR="00FC5566" w:rsidRPr="00FC5566" w14:paraId="615DDA8D" w14:textId="77777777" w:rsidTr="00B247D5">
        <w:trPr>
          <w:trHeight w:val="184"/>
        </w:trPr>
        <w:tc>
          <w:tcPr>
            <w:tcW w:w="1062" w:type="dxa"/>
          </w:tcPr>
          <w:p w14:paraId="160596CC"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395" w:type="dxa"/>
          </w:tcPr>
          <w:p w14:paraId="6F76C5C1" w14:textId="77777777" w:rsidR="00FC5566" w:rsidRPr="00FC5566" w:rsidRDefault="00FC5566" w:rsidP="00FC5566">
            <w:pPr>
              <w:widowControl w:val="0"/>
              <w:autoSpaceDE w:val="0"/>
              <w:autoSpaceDN w:val="0"/>
              <w:ind w:left="114" w:right="121"/>
              <w:rPr>
                <w:sz w:val="16"/>
                <w:szCs w:val="16"/>
              </w:rPr>
            </w:pPr>
            <w:r w:rsidRPr="00FC5566">
              <w:rPr>
                <w:sz w:val="16"/>
                <w:szCs w:val="16"/>
              </w:rPr>
              <w:t>Row (Fixed dry bulb), Column (Climate Zone - 0A, 1A, 2A, 3A, 4A)</w:t>
            </w:r>
          </w:p>
        </w:tc>
        <w:tc>
          <w:tcPr>
            <w:tcW w:w="6983" w:type="dxa"/>
          </w:tcPr>
          <w:p w14:paraId="3A8D7F6A" w14:textId="77777777" w:rsidR="00FC5566" w:rsidRPr="00FC5566" w:rsidRDefault="00FC5566" w:rsidP="00FC5566">
            <w:pPr>
              <w:widowControl w:val="0"/>
              <w:autoSpaceDE w:val="0"/>
              <w:autoSpaceDN w:val="0"/>
              <w:ind w:left="114" w:right="83"/>
              <w:rPr>
                <w:sz w:val="16"/>
                <w:szCs w:val="16"/>
              </w:rPr>
            </w:pPr>
            <w:r w:rsidRPr="00FC5566">
              <w:rPr>
                <w:sz w:val="16"/>
                <w:szCs w:val="16"/>
              </w:rPr>
              <w:t>0A, 1A, 3A, 4A</w:t>
            </w:r>
          </w:p>
        </w:tc>
      </w:tr>
      <w:tr w:rsidR="00FC5566" w:rsidRPr="00FC5566" w14:paraId="2A3E9DBE" w14:textId="77777777" w:rsidTr="00B247D5">
        <w:trPr>
          <w:trHeight w:val="274"/>
        </w:trPr>
        <w:tc>
          <w:tcPr>
            <w:tcW w:w="1062" w:type="dxa"/>
          </w:tcPr>
          <w:p w14:paraId="68963347"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Repeal</w:t>
            </w:r>
          </w:p>
        </w:tc>
        <w:tc>
          <w:tcPr>
            <w:tcW w:w="2395" w:type="dxa"/>
          </w:tcPr>
          <w:p w14:paraId="653A25C0" w14:textId="77777777" w:rsidR="00FC5566" w:rsidRPr="00FC5566" w:rsidRDefault="00FC5566" w:rsidP="00FC5566">
            <w:pPr>
              <w:widowControl w:val="0"/>
              <w:autoSpaceDE w:val="0"/>
              <w:autoSpaceDN w:val="0"/>
              <w:ind w:left="114" w:right="121"/>
              <w:rPr>
                <w:sz w:val="16"/>
                <w:szCs w:val="16"/>
              </w:rPr>
            </w:pPr>
            <w:r w:rsidRPr="00FC5566">
              <w:rPr>
                <w:sz w:val="16"/>
                <w:szCs w:val="16"/>
              </w:rPr>
              <w:t>Section C405.5.3, Gas Lighting.</w:t>
            </w:r>
          </w:p>
        </w:tc>
        <w:tc>
          <w:tcPr>
            <w:tcW w:w="6983" w:type="dxa"/>
          </w:tcPr>
          <w:p w14:paraId="02C7135E" w14:textId="77777777" w:rsidR="00FC5566" w:rsidRPr="00FC5566" w:rsidRDefault="00FC5566" w:rsidP="00FC5566">
            <w:pPr>
              <w:widowControl w:val="0"/>
              <w:autoSpaceDE w:val="0"/>
              <w:autoSpaceDN w:val="0"/>
              <w:ind w:left="114" w:right="83"/>
              <w:rPr>
                <w:sz w:val="16"/>
                <w:szCs w:val="16"/>
              </w:rPr>
            </w:pPr>
          </w:p>
        </w:tc>
      </w:tr>
      <w:tr w:rsidR="00FC5566" w:rsidRPr="00FC5566" w14:paraId="72AFDCC4" w14:textId="77777777" w:rsidTr="00B247D5">
        <w:trPr>
          <w:trHeight w:val="184"/>
        </w:trPr>
        <w:tc>
          <w:tcPr>
            <w:tcW w:w="1062" w:type="dxa"/>
          </w:tcPr>
          <w:p w14:paraId="3F365C64"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Repeal</w:t>
            </w:r>
          </w:p>
        </w:tc>
        <w:tc>
          <w:tcPr>
            <w:tcW w:w="2395" w:type="dxa"/>
          </w:tcPr>
          <w:p w14:paraId="2383350F" w14:textId="77777777" w:rsidR="00FC5566" w:rsidRPr="00FC5566" w:rsidRDefault="00FC5566" w:rsidP="00FC5566">
            <w:pPr>
              <w:widowControl w:val="0"/>
              <w:autoSpaceDE w:val="0"/>
              <w:autoSpaceDN w:val="0"/>
              <w:ind w:left="114" w:right="121"/>
              <w:rPr>
                <w:sz w:val="16"/>
                <w:szCs w:val="16"/>
              </w:rPr>
            </w:pPr>
            <w:r w:rsidRPr="00FC5566">
              <w:rPr>
                <w:sz w:val="16"/>
                <w:szCs w:val="16"/>
              </w:rPr>
              <w:t>Section C405.12, Automatic Receptable Control</w:t>
            </w:r>
          </w:p>
        </w:tc>
        <w:tc>
          <w:tcPr>
            <w:tcW w:w="6983" w:type="dxa"/>
          </w:tcPr>
          <w:p w14:paraId="7B9733EC" w14:textId="77777777" w:rsidR="00FC5566" w:rsidRPr="00FC5566" w:rsidRDefault="00FC5566" w:rsidP="00FC5566">
            <w:pPr>
              <w:widowControl w:val="0"/>
              <w:autoSpaceDE w:val="0"/>
              <w:autoSpaceDN w:val="0"/>
              <w:ind w:left="114" w:right="83"/>
              <w:rPr>
                <w:sz w:val="16"/>
                <w:szCs w:val="16"/>
              </w:rPr>
            </w:pPr>
          </w:p>
        </w:tc>
      </w:tr>
      <w:tr w:rsidR="00FC5566" w:rsidRPr="00FC5566" w14:paraId="3F6E1DB6" w14:textId="77777777" w:rsidTr="00B247D5">
        <w:trPr>
          <w:trHeight w:val="184"/>
        </w:trPr>
        <w:tc>
          <w:tcPr>
            <w:tcW w:w="1062" w:type="dxa"/>
          </w:tcPr>
          <w:p w14:paraId="5FB54B1B"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395" w:type="dxa"/>
          </w:tcPr>
          <w:p w14:paraId="490F270C" w14:textId="77777777" w:rsidR="00FC5566" w:rsidRPr="00FC5566" w:rsidRDefault="00FC5566" w:rsidP="00FC5566">
            <w:pPr>
              <w:widowControl w:val="0"/>
              <w:autoSpaceDE w:val="0"/>
              <w:autoSpaceDN w:val="0"/>
              <w:ind w:left="114" w:right="121"/>
              <w:rPr>
                <w:sz w:val="16"/>
                <w:szCs w:val="16"/>
              </w:rPr>
            </w:pPr>
            <w:r w:rsidRPr="00FC5566">
              <w:rPr>
                <w:sz w:val="16"/>
                <w:szCs w:val="16"/>
              </w:rPr>
              <w:t>Chapter [RE] 1, Scope and Administration</w:t>
            </w:r>
          </w:p>
        </w:tc>
        <w:tc>
          <w:tcPr>
            <w:tcW w:w="6983" w:type="dxa"/>
          </w:tcPr>
          <w:p w14:paraId="6559C1D6" w14:textId="77777777" w:rsidR="00FC5566" w:rsidRPr="00FC5566" w:rsidRDefault="00FC5566" w:rsidP="00FC5566">
            <w:pPr>
              <w:widowControl w:val="0"/>
              <w:autoSpaceDE w:val="0"/>
              <w:autoSpaceDN w:val="0"/>
              <w:ind w:left="114" w:right="83"/>
              <w:rPr>
                <w:sz w:val="16"/>
                <w:szCs w:val="16"/>
              </w:rPr>
            </w:pPr>
          </w:p>
        </w:tc>
      </w:tr>
      <w:tr w:rsidR="00FC5566" w:rsidRPr="00FC5566" w14:paraId="4F044806" w14:textId="77777777" w:rsidTr="00B247D5">
        <w:trPr>
          <w:trHeight w:val="184"/>
        </w:trPr>
        <w:tc>
          <w:tcPr>
            <w:tcW w:w="1062" w:type="dxa"/>
          </w:tcPr>
          <w:p w14:paraId="7E76A954"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395" w:type="dxa"/>
          </w:tcPr>
          <w:p w14:paraId="294AF008" w14:textId="77777777" w:rsidR="00FC5566" w:rsidRPr="00FC5566" w:rsidRDefault="00FC5566" w:rsidP="00FC5566">
            <w:pPr>
              <w:widowControl w:val="0"/>
              <w:autoSpaceDE w:val="0"/>
              <w:autoSpaceDN w:val="0"/>
              <w:ind w:left="114" w:right="121"/>
              <w:rPr>
                <w:sz w:val="16"/>
                <w:szCs w:val="16"/>
              </w:rPr>
            </w:pPr>
            <w:r w:rsidRPr="00FC5566">
              <w:rPr>
                <w:sz w:val="16"/>
                <w:szCs w:val="16"/>
              </w:rPr>
              <w:t>Section R104.1.1, Above Code Programs.</w:t>
            </w:r>
          </w:p>
        </w:tc>
        <w:tc>
          <w:tcPr>
            <w:tcW w:w="6983" w:type="dxa"/>
          </w:tcPr>
          <w:p w14:paraId="3AE727C4" w14:textId="77777777" w:rsidR="00FC5566" w:rsidRPr="00FC5566" w:rsidRDefault="00FC5566" w:rsidP="00FC5566">
            <w:pPr>
              <w:widowControl w:val="0"/>
              <w:autoSpaceDE w:val="0"/>
              <w:autoSpaceDN w:val="0"/>
              <w:ind w:left="114" w:right="83"/>
              <w:rPr>
                <w:sz w:val="16"/>
                <w:szCs w:val="16"/>
              </w:rPr>
            </w:pPr>
            <w:r w:rsidRPr="00FC5566">
              <w:rPr>
                <w:sz w:val="16"/>
                <w:szCs w:val="16"/>
              </w:rPr>
              <w:t>The code official serving as the authority having jurisdiction for building codes shall be permitted to deem a national, state or local energy-efficiency program to exceed the energy efficiency required by this code. Buildings approved in writing by such an energy-efficiency program shall be considered to be in compliance with this code where such buildings also meet the requirements identified in Table R405.2 and the proposed total building thermal envelope thermal conductance (TC) shall be less than or equal to the total building thermal envelope TC using the prescriptive U-factors and F-factors from Table R402.1.2 multiplied by 1.08 in Climate Zones 0, 1 and 2, and by 1.15 in Climate Zones 3 through 8, in accordance with Equation 1-1. The area-weighted maximum fenestration solar heat gain coefficients (SHGC) permitted in Climate Zones 0 through 3 shall be 0.30.</w:t>
            </w:r>
          </w:p>
          <w:p w14:paraId="50ED6145" w14:textId="77777777" w:rsidR="00FC5566" w:rsidRPr="00FC5566" w:rsidRDefault="00FC5566" w:rsidP="00FC5566">
            <w:pPr>
              <w:widowControl w:val="0"/>
              <w:autoSpaceDE w:val="0"/>
              <w:autoSpaceDN w:val="0"/>
              <w:ind w:left="114" w:right="83"/>
              <w:rPr>
                <w:b/>
                <w:bCs/>
                <w:sz w:val="16"/>
                <w:szCs w:val="16"/>
              </w:rPr>
            </w:pPr>
          </w:p>
          <w:p w14:paraId="3DB97074" w14:textId="77777777" w:rsidR="00FC5566" w:rsidRPr="00FC5566" w:rsidRDefault="00FC5566" w:rsidP="00FC5566">
            <w:pPr>
              <w:widowControl w:val="0"/>
              <w:autoSpaceDE w:val="0"/>
              <w:autoSpaceDN w:val="0"/>
              <w:ind w:left="114" w:right="83"/>
              <w:rPr>
                <w:b/>
                <w:bCs/>
                <w:sz w:val="16"/>
                <w:szCs w:val="16"/>
              </w:rPr>
            </w:pPr>
            <w:r w:rsidRPr="00FC5566">
              <w:rPr>
                <w:b/>
                <w:bCs/>
                <w:sz w:val="16"/>
                <w:szCs w:val="16"/>
              </w:rPr>
              <w:t>Equation 1–1</w:t>
            </w:r>
          </w:p>
          <w:p w14:paraId="0E1BEA8F" w14:textId="77777777" w:rsidR="00FC5566" w:rsidRPr="00FC5566" w:rsidRDefault="00FC5566" w:rsidP="00FC5566">
            <w:pPr>
              <w:widowControl w:val="0"/>
              <w:autoSpaceDE w:val="0"/>
              <w:autoSpaceDN w:val="0"/>
              <w:ind w:left="114" w:right="83"/>
              <w:rPr>
                <w:sz w:val="16"/>
                <w:szCs w:val="16"/>
              </w:rPr>
            </w:pPr>
            <w:r w:rsidRPr="00FC5566">
              <w:rPr>
                <w:sz w:val="16"/>
                <w:szCs w:val="16"/>
              </w:rPr>
              <w:lastRenderedPageBreak/>
              <w:t>For Climate Zones 0-2: TC</w:t>
            </w:r>
            <w:r w:rsidRPr="00FC5566">
              <w:rPr>
                <w:sz w:val="16"/>
                <w:szCs w:val="16"/>
                <w:vertAlign w:val="subscript"/>
              </w:rPr>
              <w:t>Proposed design</w:t>
            </w:r>
            <w:r w:rsidRPr="00FC5566">
              <w:rPr>
                <w:sz w:val="16"/>
                <w:szCs w:val="16"/>
              </w:rPr>
              <w:t xml:space="preserve"> ≤ 1.08 × TC</w:t>
            </w:r>
            <w:r w:rsidRPr="00FC5566">
              <w:rPr>
                <w:sz w:val="16"/>
                <w:szCs w:val="16"/>
                <w:vertAlign w:val="subscript"/>
              </w:rPr>
              <w:t>Prescriptive reference design</w:t>
            </w:r>
          </w:p>
          <w:p w14:paraId="60023050" w14:textId="77777777" w:rsidR="00FC5566" w:rsidRPr="00FC5566" w:rsidRDefault="00FC5566" w:rsidP="00FC5566">
            <w:pPr>
              <w:widowControl w:val="0"/>
              <w:autoSpaceDE w:val="0"/>
              <w:autoSpaceDN w:val="0"/>
              <w:ind w:left="114" w:right="83"/>
              <w:rPr>
                <w:sz w:val="16"/>
                <w:szCs w:val="16"/>
              </w:rPr>
            </w:pPr>
            <w:r w:rsidRPr="00FC5566">
              <w:rPr>
                <w:sz w:val="16"/>
                <w:szCs w:val="16"/>
              </w:rPr>
              <w:t>For Climate Zones 3-8: TC</w:t>
            </w:r>
            <w:r w:rsidRPr="00FC5566">
              <w:rPr>
                <w:sz w:val="16"/>
                <w:szCs w:val="16"/>
                <w:vertAlign w:val="subscript"/>
              </w:rPr>
              <w:t>Proposed design</w:t>
            </w:r>
            <w:r w:rsidRPr="00FC5566">
              <w:rPr>
                <w:sz w:val="16"/>
                <w:szCs w:val="16"/>
              </w:rPr>
              <w:t xml:space="preserve"> ≤ 1.15 × TC</w:t>
            </w:r>
            <w:r w:rsidRPr="00FC5566">
              <w:rPr>
                <w:sz w:val="16"/>
                <w:szCs w:val="16"/>
                <w:vertAlign w:val="subscript"/>
              </w:rPr>
              <w:t>Prescriptive reference design</w:t>
            </w:r>
          </w:p>
        </w:tc>
      </w:tr>
      <w:tr w:rsidR="00FC5566" w:rsidRPr="00FC5566" w14:paraId="3725C0D3" w14:textId="77777777" w:rsidTr="00B247D5">
        <w:trPr>
          <w:trHeight w:val="184"/>
        </w:trPr>
        <w:tc>
          <w:tcPr>
            <w:tcW w:w="1062" w:type="dxa"/>
          </w:tcPr>
          <w:p w14:paraId="724BFBA6"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lastRenderedPageBreak/>
              <w:t>Adopt</w:t>
            </w:r>
          </w:p>
        </w:tc>
        <w:tc>
          <w:tcPr>
            <w:tcW w:w="2395" w:type="dxa"/>
          </w:tcPr>
          <w:p w14:paraId="6801F79A" w14:textId="77777777" w:rsidR="00FC5566" w:rsidRPr="00FC5566" w:rsidRDefault="00FC5566" w:rsidP="00FC5566">
            <w:pPr>
              <w:widowControl w:val="0"/>
              <w:autoSpaceDE w:val="0"/>
              <w:autoSpaceDN w:val="0"/>
              <w:ind w:left="114" w:right="121"/>
              <w:rPr>
                <w:sz w:val="16"/>
                <w:szCs w:val="16"/>
              </w:rPr>
            </w:pPr>
            <w:r w:rsidRPr="00FC5566">
              <w:rPr>
                <w:sz w:val="16"/>
                <w:szCs w:val="16"/>
              </w:rPr>
              <w:t>Section R104.1.2, National Green Building Standard.</w:t>
            </w:r>
          </w:p>
        </w:tc>
        <w:tc>
          <w:tcPr>
            <w:tcW w:w="6983" w:type="dxa"/>
          </w:tcPr>
          <w:p w14:paraId="2E84C928" w14:textId="77777777" w:rsidR="00FC5566" w:rsidRPr="00FC5566" w:rsidRDefault="00FC5566" w:rsidP="00FC5566">
            <w:pPr>
              <w:widowControl w:val="0"/>
              <w:autoSpaceDE w:val="0"/>
              <w:autoSpaceDN w:val="0"/>
              <w:ind w:left="114" w:right="83"/>
              <w:rPr>
                <w:sz w:val="16"/>
                <w:szCs w:val="16"/>
              </w:rPr>
            </w:pPr>
            <w:r w:rsidRPr="00FC5566">
              <w:rPr>
                <w:sz w:val="16"/>
                <w:szCs w:val="16"/>
              </w:rPr>
              <w:t>Buildings complying with ICC 700-2020 National Green Building Standard and achieving an equivalent energy performance as demonstrated by a third-party certification organization shall be deemed to exceed the energy efficiency required by this code.</w:t>
            </w:r>
          </w:p>
        </w:tc>
      </w:tr>
      <w:tr w:rsidR="00FC5566" w:rsidRPr="00FC5566" w14:paraId="484EBABE" w14:textId="77777777" w:rsidTr="00B247D5">
        <w:trPr>
          <w:trHeight w:val="184"/>
        </w:trPr>
        <w:tc>
          <w:tcPr>
            <w:tcW w:w="1062" w:type="dxa"/>
          </w:tcPr>
          <w:p w14:paraId="3E632875"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Adopt</w:t>
            </w:r>
          </w:p>
        </w:tc>
        <w:tc>
          <w:tcPr>
            <w:tcW w:w="2395" w:type="dxa"/>
          </w:tcPr>
          <w:p w14:paraId="7D13E71E" w14:textId="77777777" w:rsidR="00FC5566" w:rsidRPr="00FC5566" w:rsidRDefault="00FC5566" w:rsidP="00FC5566">
            <w:pPr>
              <w:widowControl w:val="0"/>
              <w:autoSpaceDE w:val="0"/>
              <w:autoSpaceDN w:val="0"/>
              <w:ind w:left="114" w:right="121"/>
              <w:rPr>
                <w:sz w:val="16"/>
                <w:szCs w:val="16"/>
              </w:rPr>
            </w:pPr>
            <w:r w:rsidRPr="00FC5566">
              <w:rPr>
                <w:sz w:val="16"/>
                <w:szCs w:val="16"/>
              </w:rPr>
              <w:t>Section R104.1.3, Energy Star Certification.</w:t>
            </w:r>
          </w:p>
        </w:tc>
        <w:tc>
          <w:tcPr>
            <w:tcW w:w="6983" w:type="dxa"/>
          </w:tcPr>
          <w:p w14:paraId="7F966933" w14:textId="77777777" w:rsidR="00FC5566" w:rsidRPr="00FC5566" w:rsidRDefault="00FC5566" w:rsidP="00FC5566">
            <w:pPr>
              <w:widowControl w:val="0"/>
              <w:autoSpaceDE w:val="0"/>
              <w:autoSpaceDN w:val="0"/>
              <w:ind w:left="114" w:right="83"/>
              <w:rPr>
                <w:sz w:val="16"/>
                <w:szCs w:val="16"/>
              </w:rPr>
            </w:pPr>
            <w:r w:rsidRPr="00FC5566">
              <w:rPr>
                <w:sz w:val="16"/>
                <w:szCs w:val="16"/>
              </w:rPr>
              <w:t>Buildings receiving Energy Star Certification shall be deemed to exceed the energy efficiency required by this code.</w:t>
            </w:r>
          </w:p>
        </w:tc>
      </w:tr>
      <w:tr w:rsidR="00FC5566" w:rsidRPr="00FC5566" w14:paraId="4E554BC5" w14:textId="77777777" w:rsidTr="00B247D5">
        <w:trPr>
          <w:trHeight w:val="184"/>
        </w:trPr>
        <w:tc>
          <w:tcPr>
            <w:tcW w:w="1062" w:type="dxa"/>
          </w:tcPr>
          <w:p w14:paraId="0F5EF68D"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395" w:type="dxa"/>
          </w:tcPr>
          <w:p w14:paraId="49252570" w14:textId="77777777" w:rsidR="00FC5566" w:rsidRPr="00FC5566" w:rsidRDefault="00FC5566" w:rsidP="00FC5566">
            <w:pPr>
              <w:widowControl w:val="0"/>
              <w:autoSpaceDE w:val="0"/>
              <w:autoSpaceDN w:val="0"/>
              <w:ind w:left="114" w:right="121"/>
              <w:rPr>
                <w:sz w:val="16"/>
                <w:szCs w:val="16"/>
              </w:rPr>
            </w:pPr>
            <w:r w:rsidRPr="00FC5566">
              <w:rPr>
                <w:sz w:val="16"/>
                <w:szCs w:val="16"/>
              </w:rPr>
              <w:t>Chapter [RE] 3, General Requirements</w:t>
            </w:r>
          </w:p>
        </w:tc>
        <w:tc>
          <w:tcPr>
            <w:tcW w:w="6983" w:type="dxa"/>
          </w:tcPr>
          <w:p w14:paraId="311A0597" w14:textId="77777777" w:rsidR="00FC5566" w:rsidRPr="00FC5566" w:rsidRDefault="00FC5566" w:rsidP="00FC5566">
            <w:pPr>
              <w:widowControl w:val="0"/>
              <w:autoSpaceDE w:val="0"/>
              <w:autoSpaceDN w:val="0"/>
              <w:ind w:left="114" w:right="83"/>
              <w:rPr>
                <w:sz w:val="16"/>
                <w:szCs w:val="16"/>
              </w:rPr>
            </w:pPr>
          </w:p>
        </w:tc>
      </w:tr>
      <w:tr w:rsidR="00FC5566" w:rsidRPr="00FC5566" w14:paraId="6B4C9063" w14:textId="77777777" w:rsidTr="00B247D5">
        <w:trPr>
          <w:trHeight w:val="184"/>
        </w:trPr>
        <w:tc>
          <w:tcPr>
            <w:tcW w:w="1062" w:type="dxa"/>
          </w:tcPr>
          <w:p w14:paraId="39489D35"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395" w:type="dxa"/>
          </w:tcPr>
          <w:p w14:paraId="31C3CF86" w14:textId="77777777" w:rsidR="00FC5566" w:rsidRPr="00FC5566" w:rsidRDefault="00FC5566" w:rsidP="00FC5566">
            <w:pPr>
              <w:widowControl w:val="0"/>
              <w:autoSpaceDE w:val="0"/>
              <w:autoSpaceDN w:val="0"/>
              <w:ind w:left="114" w:right="121"/>
              <w:rPr>
                <w:sz w:val="16"/>
                <w:szCs w:val="16"/>
              </w:rPr>
            </w:pPr>
            <w:r w:rsidRPr="00FC5566">
              <w:rPr>
                <w:sz w:val="16"/>
                <w:szCs w:val="16"/>
              </w:rPr>
              <w:t>Section R301.1, General</w:t>
            </w:r>
          </w:p>
        </w:tc>
        <w:tc>
          <w:tcPr>
            <w:tcW w:w="6983" w:type="dxa"/>
          </w:tcPr>
          <w:p w14:paraId="3FFD1648" w14:textId="77777777" w:rsidR="00FC5566" w:rsidRPr="00FC5566" w:rsidRDefault="00FC5566" w:rsidP="00FC5566">
            <w:pPr>
              <w:widowControl w:val="0"/>
              <w:autoSpaceDE w:val="0"/>
              <w:autoSpaceDN w:val="0"/>
              <w:ind w:left="114" w:right="83"/>
              <w:rPr>
                <w:sz w:val="16"/>
                <w:szCs w:val="16"/>
              </w:rPr>
            </w:pPr>
            <w:r w:rsidRPr="00FC5566">
              <w:rPr>
                <w:sz w:val="16"/>
                <w:szCs w:val="16"/>
                <w:lang w:val="en"/>
              </w:rPr>
              <w:t>For IECC compliance purposes only, all parishes in the state of Louisiana shall be assigned to Climate Zone 2A.</w:t>
            </w:r>
          </w:p>
        </w:tc>
      </w:tr>
      <w:tr w:rsidR="00FC5566" w:rsidRPr="00FC5566" w14:paraId="0F15BEEF" w14:textId="77777777" w:rsidTr="00B247D5">
        <w:trPr>
          <w:trHeight w:val="184"/>
        </w:trPr>
        <w:tc>
          <w:tcPr>
            <w:tcW w:w="1062" w:type="dxa"/>
          </w:tcPr>
          <w:p w14:paraId="734C03B3"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395" w:type="dxa"/>
          </w:tcPr>
          <w:p w14:paraId="4636CCDC" w14:textId="77777777" w:rsidR="00FC5566" w:rsidRPr="00FC5566" w:rsidRDefault="00FC5566" w:rsidP="00FC5566">
            <w:pPr>
              <w:widowControl w:val="0"/>
              <w:autoSpaceDE w:val="0"/>
              <w:autoSpaceDN w:val="0"/>
              <w:ind w:left="114" w:right="121"/>
              <w:rPr>
                <w:sz w:val="16"/>
                <w:szCs w:val="16"/>
              </w:rPr>
            </w:pPr>
            <w:r w:rsidRPr="00FC5566">
              <w:rPr>
                <w:sz w:val="16"/>
                <w:szCs w:val="16"/>
              </w:rPr>
              <w:t>Chapter [RE] 4, Residential Energy Efficiency</w:t>
            </w:r>
          </w:p>
        </w:tc>
        <w:tc>
          <w:tcPr>
            <w:tcW w:w="6983" w:type="dxa"/>
          </w:tcPr>
          <w:p w14:paraId="3F5DDDE0" w14:textId="77777777" w:rsidR="00FC5566" w:rsidRPr="00FC5566" w:rsidRDefault="00FC5566" w:rsidP="00FC5566">
            <w:pPr>
              <w:widowControl w:val="0"/>
              <w:autoSpaceDE w:val="0"/>
              <w:autoSpaceDN w:val="0"/>
              <w:ind w:left="114" w:right="83"/>
              <w:rPr>
                <w:sz w:val="16"/>
                <w:szCs w:val="16"/>
                <w:lang w:val="en"/>
              </w:rPr>
            </w:pPr>
          </w:p>
        </w:tc>
      </w:tr>
      <w:tr w:rsidR="00FC5566" w:rsidRPr="00FC5566" w14:paraId="2AC6DE5E" w14:textId="77777777" w:rsidTr="00B247D5">
        <w:trPr>
          <w:trHeight w:val="274"/>
        </w:trPr>
        <w:tc>
          <w:tcPr>
            <w:tcW w:w="1062" w:type="dxa"/>
          </w:tcPr>
          <w:p w14:paraId="504A8128"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395" w:type="dxa"/>
          </w:tcPr>
          <w:p w14:paraId="5549CD6C" w14:textId="77777777" w:rsidR="00FC5566" w:rsidRPr="00FC5566" w:rsidRDefault="00FC5566" w:rsidP="00FC5566">
            <w:pPr>
              <w:widowControl w:val="0"/>
              <w:autoSpaceDE w:val="0"/>
              <w:autoSpaceDN w:val="0"/>
              <w:ind w:left="114" w:right="121"/>
              <w:rPr>
                <w:sz w:val="16"/>
                <w:szCs w:val="16"/>
              </w:rPr>
            </w:pPr>
            <w:r w:rsidRPr="00FC5566">
              <w:rPr>
                <w:sz w:val="16"/>
                <w:szCs w:val="16"/>
              </w:rPr>
              <w:t>Section R401.3, Certificate.</w:t>
            </w:r>
          </w:p>
        </w:tc>
        <w:tc>
          <w:tcPr>
            <w:tcW w:w="6983" w:type="dxa"/>
          </w:tcPr>
          <w:p w14:paraId="0B5A85AC" w14:textId="77777777" w:rsidR="00FC5566" w:rsidRPr="00FC5566" w:rsidRDefault="00FC5566" w:rsidP="00FC5566">
            <w:pPr>
              <w:widowControl w:val="0"/>
              <w:autoSpaceDE w:val="0"/>
              <w:autoSpaceDN w:val="0"/>
              <w:ind w:left="114" w:right="83"/>
              <w:rPr>
                <w:sz w:val="16"/>
                <w:szCs w:val="16"/>
                <w:lang w:val="en"/>
              </w:rPr>
            </w:pPr>
          </w:p>
        </w:tc>
      </w:tr>
      <w:tr w:rsidR="00FC5566" w:rsidRPr="00FC5566" w14:paraId="26C2E02E" w14:textId="77777777" w:rsidTr="00B247D5">
        <w:trPr>
          <w:trHeight w:val="184"/>
        </w:trPr>
        <w:tc>
          <w:tcPr>
            <w:tcW w:w="1062" w:type="dxa"/>
          </w:tcPr>
          <w:p w14:paraId="2A4D8F8C"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395" w:type="dxa"/>
          </w:tcPr>
          <w:p w14:paraId="7C88A7B3" w14:textId="77777777" w:rsidR="00FC5566" w:rsidRPr="00FC5566" w:rsidRDefault="00FC5566" w:rsidP="00FC5566">
            <w:pPr>
              <w:widowControl w:val="0"/>
              <w:autoSpaceDE w:val="0"/>
              <w:autoSpaceDN w:val="0"/>
              <w:ind w:left="114" w:right="121"/>
              <w:rPr>
                <w:sz w:val="16"/>
                <w:szCs w:val="16"/>
              </w:rPr>
            </w:pPr>
            <w:r w:rsidRPr="00FC5566">
              <w:rPr>
                <w:sz w:val="16"/>
                <w:szCs w:val="16"/>
              </w:rPr>
              <w:t>Item (3.)</w:t>
            </w:r>
          </w:p>
        </w:tc>
        <w:tc>
          <w:tcPr>
            <w:tcW w:w="6983" w:type="dxa"/>
          </w:tcPr>
          <w:p w14:paraId="219686EC" w14:textId="77777777" w:rsidR="00FC5566" w:rsidRPr="00FC5566" w:rsidRDefault="00FC5566" w:rsidP="00FC5566">
            <w:pPr>
              <w:widowControl w:val="0"/>
              <w:autoSpaceDE w:val="0"/>
              <w:autoSpaceDN w:val="0"/>
              <w:ind w:left="114" w:right="83"/>
              <w:rPr>
                <w:sz w:val="16"/>
                <w:szCs w:val="16"/>
                <w:lang w:val="en"/>
              </w:rPr>
            </w:pPr>
            <w:r w:rsidRPr="00FC5566">
              <w:rPr>
                <w:sz w:val="16"/>
                <w:szCs w:val="16"/>
                <w:lang w:val="en"/>
              </w:rPr>
              <w:t>3. The results from any required duct system and building thermal envelope air leakage testing performed on the building which must include a geotagged photo of the testing equipment displaying the results.</w:t>
            </w:r>
          </w:p>
        </w:tc>
      </w:tr>
      <w:tr w:rsidR="00FC5566" w:rsidRPr="00FC5566" w14:paraId="16734E25" w14:textId="77777777" w:rsidTr="00B247D5">
        <w:trPr>
          <w:trHeight w:val="184"/>
        </w:trPr>
        <w:tc>
          <w:tcPr>
            <w:tcW w:w="1062" w:type="dxa"/>
          </w:tcPr>
          <w:p w14:paraId="1D1F1363"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395" w:type="dxa"/>
          </w:tcPr>
          <w:p w14:paraId="4C378C2A" w14:textId="77777777" w:rsidR="00FC5566" w:rsidRPr="00FC5566" w:rsidRDefault="00FC5566" w:rsidP="00FC5566">
            <w:pPr>
              <w:widowControl w:val="0"/>
              <w:autoSpaceDE w:val="0"/>
              <w:autoSpaceDN w:val="0"/>
              <w:ind w:left="114" w:right="121"/>
              <w:rPr>
                <w:sz w:val="16"/>
                <w:szCs w:val="16"/>
              </w:rPr>
            </w:pPr>
            <w:r w:rsidRPr="00FC5566">
              <w:rPr>
                <w:sz w:val="16"/>
                <w:szCs w:val="16"/>
              </w:rPr>
              <w:t>Section R402.1.6, Rooms Containing Fuel-Burning Appliances.</w:t>
            </w:r>
          </w:p>
        </w:tc>
        <w:tc>
          <w:tcPr>
            <w:tcW w:w="6983" w:type="dxa"/>
          </w:tcPr>
          <w:p w14:paraId="0A0900E0" w14:textId="77777777" w:rsidR="00FC5566" w:rsidRPr="00FC5566" w:rsidRDefault="00FC5566" w:rsidP="00FC5566">
            <w:pPr>
              <w:widowControl w:val="0"/>
              <w:autoSpaceDE w:val="0"/>
              <w:autoSpaceDN w:val="0"/>
              <w:ind w:left="114" w:right="83"/>
              <w:rPr>
                <w:sz w:val="16"/>
                <w:szCs w:val="16"/>
                <w:lang w:val="en"/>
              </w:rPr>
            </w:pPr>
            <w:r w:rsidRPr="00FC5566">
              <w:rPr>
                <w:sz w:val="16"/>
                <w:szCs w:val="16"/>
              </w:rPr>
              <w:t>In Climate Zones 2 through 8, where open combustion air ducts provide combustion air to open combustion fuel-burning appliances, the appliances and combustion air opening shall be located outside the building thermal envelope or enclosed in a room that is isolated from inside the building thermal envelope. Such rooms shall be sealed and insulated in accordance with the building thermal envelope requirements of </w:t>
            </w:r>
            <w:hyperlink r:id="rId19" w:history="1">
              <w:r w:rsidRPr="00FC5566">
                <w:rPr>
                  <w:sz w:val="16"/>
                  <w:szCs w:val="16"/>
                </w:rPr>
                <w:t>Table R402.1.3</w:t>
              </w:r>
            </w:hyperlink>
            <w:r w:rsidRPr="00FC5566">
              <w:rPr>
                <w:sz w:val="16"/>
                <w:szCs w:val="16"/>
              </w:rPr>
              <w:t>, where the walls, floors and ceilings shall meet a minimum of the basement wall R-value requirement. The door into the room shall be fully gasketed and any water lines and ducts in the room insulated in accordance with </w:t>
            </w:r>
            <w:hyperlink r:id="rId20" w:history="1">
              <w:r w:rsidRPr="00FC5566">
                <w:rPr>
                  <w:sz w:val="16"/>
                  <w:szCs w:val="16"/>
                </w:rPr>
                <w:t>Section R403</w:t>
              </w:r>
            </w:hyperlink>
            <w:r w:rsidRPr="00FC5566">
              <w:rPr>
                <w:sz w:val="16"/>
                <w:szCs w:val="16"/>
              </w:rPr>
              <w:t>. The combustion air duct shall be insulated where it passes through conditioned space to an R-value of not less than R-8.</w:t>
            </w:r>
          </w:p>
        </w:tc>
      </w:tr>
      <w:tr w:rsidR="00FC5566" w:rsidRPr="00FC5566" w14:paraId="034B8C6F" w14:textId="77777777" w:rsidTr="00B247D5">
        <w:trPr>
          <w:trHeight w:val="274"/>
        </w:trPr>
        <w:tc>
          <w:tcPr>
            <w:tcW w:w="1062" w:type="dxa"/>
          </w:tcPr>
          <w:p w14:paraId="6089A0D4"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Repeal</w:t>
            </w:r>
          </w:p>
        </w:tc>
        <w:tc>
          <w:tcPr>
            <w:tcW w:w="2395" w:type="dxa"/>
          </w:tcPr>
          <w:p w14:paraId="1AEBD87C" w14:textId="77777777" w:rsidR="00FC5566" w:rsidRPr="00FC5566" w:rsidRDefault="00FC5566" w:rsidP="00FC5566">
            <w:pPr>
              <w:widowControl w:val="0"/>
              <w:autoSpaceDE w:val="0"/>
              <w:autoSpaceDN w:val="0"/>
              <w:ind w:left="114" w:right="121"/>
              <w:rPr>
                <w:sz w:val="16"/>
                <w:szCs w:val="16"/>
              </w:rPr>
            </w:pPr>
            <w:r w:rsidRPr="00FC5566">
              <w:rPr>
                <w:sz w:val="16"/>
                <w:szCs w:val="16"/>
              </w:rPr>
              <w:t>Section R402.2.8, Floors</w:t>
            </w:r>
          </w:p>
        </w:tc>
        <w:tc>
          <w:tcPr>
            <w:tcW w:w="6983" w:type="dxa"/>
          </w:tcPr>
          <w:p w14:paraId="64DCBD00" w14:textId="77777777" w:rsidR="00FC5566" w:rsidRPr="00FC5566" w:rsidRDefault="00FC5566" w:rsidP="00FC5566">
            <w:pPr>
              <w:widowControl w:val="0"/>
              <w:autoSpaceDE w:val="0"/>
              <w:autoSpaceDN w:val="0"/>
              <w:ind w:left="114" w:right="83"/>
              <w:rPr>
                <w:sz w:val="16"/>
                <w:szCs w:val="16"/>
              </w:rPr>
            </w:pPr>
          </w:p>
        </w:tc>
      </w:tr>
      <w:tr w:rsidR="00FC5566" w:rsidRPr="00FC5566" w14:paraId="3D36944E" w14:textId="77777777" w:rsidTr="00B247D5">
        <w:trPr>
          <w:trHeight w:val="184"/>
        </w:trPr>
        <w:tc>
          <w:tcPr>
            <w:tcW w:w="1062" w:type="dxa"/>
          </w:tcPr>
          <w:p w14:paraId="0457333A"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Adopt</w:t>
            </w:r>
          </w:p>
        </w:tc>
        <w:tc>
          <w:tcPr>
            <w:tcW w:w="2395" w:type="dxa"/>
          </w:tcPr>
          <w:p w14:paraId="2054F4B1" w14:textId="77777777" w:rsidR="00FC5566" w:rsidRPr="00FC5566" w:rsidRDefault="00FC5566" w:rsidP="00FC5566">
            <w:pPr>
              <w:widowControl w:val="0"/>
              <w:autoSpaceDE w:val="0"/>
              <w:autoSpaceDN w:val="0"/>
              <w:ind w:left="114" w:right="121"/>
              <w:rPr>
                <w:sz w:val="16"/>
                <w:szCs w:val="16"/>
              </w:rPr>
            </w:pPr>
            <w:r w:rsidRPr="00FC5566">
              <w:rPr>
                <w:sz w:val="16"/>
                <w:szCs w:val="16"/>
              </w:rPr>
              <w:t>Section R402.2.8, Floors</w:t>
            </w:r>
          </w:p>
        </w:tc>
        <w:tc>
          <w:tcPr>
            <w:tcW w:w="6983" w:type="dxa"/>
          </w:tcPr>
          <w:p w14:paraId="763BF2BE" w14:textId="77777777" w:rsidR="00FC5566" w:rsidRPr="00FC5566" w:rsidRDefault="00FC5566" w:rsidP="00FC5566">
            <w:pPr>
              <w:widowControl w:val="0"/>
              <w:autoSpaceDE w:val="0"/>
              <w:autoSpaceDN w:val="0"/>
              <w:ind w:left="114" w:right="83"/>
              <w:rPr>
                <w:sz w:val="16"/>
                <w:szCs w:val="16"/>
              </w:rPr>
            </w:pPr>
            <w:r w:rsidRPr="00FC5566">
              <w:rPr>
                <w:sz w:val="16"/>
                <w:szCs w:val="16"/>
              </w:rPr>
              <w:t>Floor insulation shall be installed in accordance with all of the following:</w:t>
            </w:r>
          </w:p>
          <w:p w14:paraId="74DC6CC7" w14:textId="77777777" w:rsidR="00FC5566" w:rsidRPr="00FC5566" w:rsidRDefault="00FC5566" w:rsidP="00FC5566">
            <w:pPr>
              <w:widowControl w:val="0"/>
              <w:autoSpaceDE w:val="0"/>
              <w:autoSpaceDN w:val="0"/>
              <w:ind w:left="114" w:right="83"/>
              <w:rPr>
                <w:sz w:val="16"/>
                <w:szCs w:val="16"/>
              </w:rPr>
            </w:pPr>
            <w:r w:rsidRPr="00FC5566">
              <w:rPr>
                <w:sz w:val="16"/>
                <w:szCs w:val="16"/>
              </w:rPr>
              <w:t xml:space="preserve">1. Table R402.1.2 or R402.1.3 and manufacturer's instructions. </w:t>
            </w:r>
          </w:p>
          <w:p w14:paraId="4745F95E" w14:textId="77777777" w:rsidR="00FC5566" w:rsidRPr="00FC5566" w:rsidRDefault="00FC5566" w:rsidP="00FC5566">
            <w:pPr>
              <w:widowControl w:val="0"/>
              <w:autoSpaceDE w:val="0"/>
              <w:autoSpaceDN w:val="0"/>
              <w:ind w:left="114" w:right="83"/>
              <w:rPr>
                <w:sz w:val="16"/>
                <w:szCs w:val="16"/>
              </w:rPr>
            </w:pPr>
            <w:r w:rsidRPr="00FC5566">
              <w:rPr>
                <w:sz w:val="16"/>
                <w:szCs w:val="16"/>
              </w:rPr>
              <w:t xml:space="preserve">2. </w:t>
            </w:r>
            <w:r w:rsidRPr="00FC5566">
              <w:rPr>
                <w:sz w:val="16"/>
                <w:szCs w:val="16"/>
                <w:lang w:val="en"/>
              </w:rPr>
              <w:t>Floor framing members or continuous insulation in flooring systems that are part of the thermal envelope shall be air sealed to maintain a continuous air barrier.</w:t>
            </w:r>
          </w:p>
          <w:p w14:paraId="627C545A" w14:textId="77777777" w:rsidR="00FC5566" w:rsidRPr="00FC5566" w:rsidRDefault="00FC5566" w:rsidP="00FC5566">
            <w:pPr>
              <w:widowControl w:val="0"/>
              <w:autoSpaceDE w:val="0"/>
              <w:autoSpaceDN w:val="0"/>
              <w:ind w:left="114" w:right="83"/>
              <w:rPr>
                <w:sz w:val="16"/>
                <w:szCs w:val="16"/>
              </w:rPr>
            </w:pPr>
            <w:r w:rsidRPr="00FC5566">
              <w:rPr>
                <w:sz w:val="16"/>
                <w:szCs w:val="16"/>
              </w:rPr>
              <w:t xml:space="preserve">3.One of the following methods:  </w:t>
            </w:r>
          </w:p>
          <w:p w14:paraId="56BCEC4B" w14:textId="77777777" w:rsidR="00FC5566" w:rsidRPr="00FC5566" w:rsidRDefault="00FC5566" w:rsidP="00FC5566">
            <w:pPr>
              <w:widowControl w:val="0"/>
              <w:autoSpaceDE w:val="0"/>
              <w:autoSpaceDN w:val="0"/>
              <w:ind w:left="114" w:right="83"/>
              <w:rPr>
                <w:sz w:val="16"/>
                <w:szCs w:val="16"/>
              </w:rPr>
            </w:pPr>
            <w:r w:rsidRPr="00FC5566">
              <w:rPr>
                <w:sz w:val="16"/>
                <w:szCs w:val="16"/>
              </w:rPr>
              <w:t xml:space="preserve">3.1. </w:t>
            </w:r>
            <w:r w:rsidRPr="00FC5566">
              <w:rPr>
                <w:sz w:val="16"/>
                <w:szCs w:val="16"/>
                <w:lang w:val="en"/>
              </w:rPr>
              <w:t>Air impermeable class 1 or 2 vapor retarder</w:t>
            </w:r>
            <w:r w:rsidRPr="00FC5566">
              <w:rPr>
                <w:b/>
                <w:bCs/>
                <w:sz w:val="16"/>
                <w:szCs w:val="16"/>
                <w:lang w:val="en"/>
              </w:rPr>
              <w:t xml:space="preserve"> </w:t>
            </w:r>
            <w:r w:rsidRPr="00FC5566">
              <w:rPr>
                <w:sz w:val="16"/>
                <w:szCs w:val="16"/>
                <w:lang w:val="en"/>
              </w:rPr>
              <w:t>cavity insulation shall be installed to maintain permanent contact with the underside of subfloor decking.</w:t>
            </w:r>
            <w:r w:rsidRPr="00FC5566">
              <w:rPr>
                <w:sz w:val="16"/>
                <w:szCs w:val="16"/>
              </w:rPr>
              <w:t xml:space="preserve">  </w:t>
            </w:r>
          </w:p>
          <w:p w14:paraId="28C1CCCB" w14:textId="77777777" w:rsidR="00FC5566" w:rsidRPr="00FC5566" w:rsidRDefault="00FC5566" w:rsidP="00FC5566">
            <w:pPr>
              <w:widowControl w:val="0"/>
              <w:autoSpaceDE w:val="0"/>
              <w:autoSpaceDN w:val="0"/>
              <w:ind w:left="114" w:right="83"/>
              <w:rPr>
                <w:sz w:val="16"/>
                <w:szCs w:val="16"/>
              </w:rPr>
            </w:pPr>
            <w:r w:rsidRPr="00FC5566">
              <w:rPr>
                <w:sz w:val="16"/>
                <w:szCs w:val="16"/>
              </w:rPr>
              <w:t xml:space="preserve">3.2. </w:t>
            </w:r>
            <w:r w:rsidRPr="00FC5566">
              <w:rPr>
                <w:sz w:val="16"/>
                <w:szCs w:val="16"/>
                <w:lang w:val="en"/>
              </w:rPr>
              <w:t xml:space="preserve">Cavity insulation shall be installed to maintain contact with the top side of air sealed sheathing separating the cavity and the unconditioned space below. Insulation shall extend from the bottom to the top of all perimeter floor framing members. </w:t>
            </w:r>
            <w:r w:rsidRPr="00FC5566">
              <w:rPr>
                <w:sz w:val="16"/>
                <w:szCs w:val="16"/>
              </w:rPr>
              <w:t xml:space="preserve">  </w:t>
            </w:r>
          </w:p>
          <w:p w14:paraId="2DDA4F87" w14:textId="77777777" w:rsidR="00FC5566" w:rsidRPr="00FC5566" w:rsidRDefault="00FC5566" w:rsidP="00FC5566">
            <w:pPr>
              <w:widowControl w:val="0"/>
              <w:autoSpaceDE w:val="0"/>
              <w:autoSpaceDN w:val="0"/>
              <w:ind w:left="114" w:right="83"/>
              <w:rPr>
                <w:sz w:val="16"/>
                <w:szCs w:val="16"/>
              </w:rPr>
            </w:pPr>
            <w:r w:rsidRPr="00FC5566">
              <w:rPr>
                <w:sz w:val="16"/>
                <w:szCs w:val="16"/>
              </w:rPr>
              <w:t xml:space="preserve">3.3. </w:t>
            </w:r>
            <w:r w:rsidRPr="00FC5566">
              <w:rPr>
                <w:sz w:val="16"/>
                <w:szCs w:val="16"/>
                <w:lang w:val="en"/>
              </w:rPr>
              <w:t>A combination of cavity insulation and air sealed</w:t>
            </w:r>
            <w:r w:rsidRPr="00FC5566">
              <w:rPr>
                <w:b/>
                <w:bCs/>
                <w:sz w:val="16"/>
                <w:szCs w:val="16"/>
                <w:lang w:val="en"/>
              </w:rPr>
              <w:t xml:space="preserve"> </w:t>
            </w:r>
            <w:r w:rsidRPr="00FC5566">
              <w:rPr>
                <w:sz w:val="16"/>
                <w:szCs w:val="16"/>
                <w:lang w:val="en"/>
              </w:rPr>
              <w:t>continuous insulation shall be installed such that the cavity insulation maintains contact with the top side of the continuous insulation and the continuous insulation maintains contact with the underside of the structural floor system. Insulation shall extend from the bottom to the top of all perimeter floor framing members.</w:t>
            </w:r>
            <w:r w:rsidRPr="00FC5566">
              <w:rPr>
                <w:sz w:val="16"/>
                <w:szCs w:val="16"/>
              </w:rPr>
              <w:t xml:space="preserve">  </w:t>
            </w:r>
          </w:p>
          <w:p w14:paraId="2B29C855" w14:textId="77777777" w:rsidR="00FC5566" w:rsidRPr="00FC5566" w:rsidRDefault="00FC5566" w:rsidP="00FC5566">
            <w:pPr>
              <w:widowControl w:val="0"/>
              <w:autoSpaceDE w:val="0"/>
              <w:autoSpaceDN w:val="0"/>
              <w:ind w:left="114" w:right="83"/>
              <w:rPr>
                <w:sz w:val="16"/>
                <w:szCs w:val="16"/>
                <w:lang w:val="en"/>
              </w:rPr>
            </w:pPr>
            <w:r w:rsidRPr="00FC5566">
              <w:rPr>
                <w:sz w:val="16"/>
                <w:szCs w:val="16"/>
              </w:rPr>
              <w:t xml:space="preserve">3.4. </w:t>
            </w:r>
            <w:r w:rsidRPr="00FC5566">
              <w:rPr>
                <w:sz w:val="16"/>
                <w:szCs w:val="16"/>
                <w:lang w:val="en"/>
              </w:rPr>
              <w:t>Air sealed continuous insulation shall be installed to maintain contact with the underside of the structural floor system. Insulation shall extend from the bottom to the top of all perimeter floor framing members.</w:t>
            </w:r>
          </w:p>
          <w:p w14:paraId="7CF739FE" w14:textId="77777777" w:rsidR="00FC5566" w:rsidRPr="00FC5566" w:rsidRDefault="00FC5566" w:rsidP="00FC5566">
            <w:pPr>
              <w:widowControl w:val="0"/>
              <w:autoSpaceDE w:val="0"/>
              <w:autoSpaceDN w:val="0"/>
              <w:ind w:left="114" w:right="83"/>
              <w:rPr>
                <w:b/>
                <w:bCs/>
                <w:sz w:val="16"/>
                <w:szCs w:val="16"/>
                <w:lang w:val="en"/>
              </w:rPr>
            </w:pPr>
            <w:r w:rsidRPr="00FC5566">
              <w:rPr>
                <w:b/>
                <w:bCs/>
                <w:sz w:val="16"/>
                <w:szCs w:val="16"/>
                <w:lang w:val="en"/>
              </w:rPr>
              <w:t>Exception:</w:t>
            </w:r>
          </w:p>
          <w:p w14:paraId="3378D2AA" w14:textId="77777777" w:rsidR="00FC5566" w:rsidRPr="00FC5566" w:rsidRDefault="00FC5566" w:rsidP="00FC5566">
            <w:pPr>
              <w:widowControl w:val="0"/>
              <w:autoSpaceDE w:val="0"/>
              <w:autoSpaceDN w:val="0"/>
              <w:ind w:left="114" w:right="83"/>
              <w:rPr>
                <w:sz w:val="16"/>
                <w:szCs w:val="16"/>
              </w:rPr>
            </w:pPr>
            <w:r w:rsidRPr="00FC5566">
              <w:rPr>
                <w:sz w:val="16"/>
                <w:szCs w:val="16"/>
              </w:rPr>
              <w:t>Class 1 or 2 vapor retarder system is not required for enclosed garages.</w:t>
            </w:r>
          </w:p>
        </w:tc>
      </w:tr>
      <w:tr w:rsidR="00FC5566" w:rsidRPr="00FC5566" w14:paraId="350E15B9" w14:textId="77777777" w:rsidTr="00B247D5">
        <w:trPr>
          <w:trHeight w:val="184"/>
        </w:trPr>
        <w:tc>
          <w:tcPr>
            <w:tcW w:w="1062" w:type="dxa"/>
          </w:tcPr>
          <w:p w14:paraId="71E4584A"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395" w:type="dxa"/>
          </w:tcPr>
          <w:p w14:paraId="601BF48F" w14:textId="77777777" w:rsidR="00FC5566" w:rsidRPr="00FC5566" w:rsidRDefault="00FC5566" w:rsidP="00FC5566">
            <w:pPr>
              <w:widowControl w:val="0"/>
              <w:autoSpaceDE w:val="0"/>
              <w:autoSpaceDN w:val="0"/>
              <w:ind w:left="114" w:right="121"/>
              <w:rPr>
                <w:sz w:val="16"/>
                <w:szCs w:val="16"/>
              </w:rPr>
            </w:pPr>
            <w:r w:rsidRPr="00FC5566">
              <w:rPr>
                <w:sz w:val="16"/>
                <w:szCs w:val="16"/>
              </w:rPr>
              <w:t>Section R402.2.11.1, Crawl Space Wall Insulation Installations</w:t>
            </w:r>
          </w:p>
        </w:tc>
        <w:tc>
          <w:tcPr>
            <w:tcW w:w="6983" w:type="dxa"/>
          </w:tcPr>
          <w:p w14:paraId="2B81FE86" w14:textId="77777777" w:rsidR="00FC5566" w:rsidRPr="00FC5566" w:rsidRDefault="00FC5566" w:rsidP="00FC5566">
            <w:pPr>
              <w:widowControl w:val="0"/>
              <w:autoSpaceDE w:val="0"/>
              <w:autoSpaceDN w:val="0"/>
              <w:ind w:left="114" w:right="83"/>
              <w:rPr>
                <w:sz w:val="16"/>
                <w:szCs w:val="16"/>
                <w:lang w:val="en"/>
              </w:rPr>
            </w:pPr>
          </w:p>
        </w:tc>
      </w:tr>
      <w:tr w:rsidR="00FC5566" w:rsidRPr="00FC5566" w14:paraId="01D9A95F" w14:textId="77777777" w:rsidTr="00B247D5">
        <w:trPr>
          <w:trHeight w:val="184"/>
        </w:trPr>
        <w:tc>
          <w:tcPr>
            <w:tcW w:w="1062" w:type="dxa"/>
          </w:tcPr>
          <w:p w14:paraId="78643923"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Adopt</w:t>
            </w:r>
          </w:p>
        </w:tc>
        <w:tc>
          <w:tcPr>
            <w:tcW w:w="2395" w:type="dxa"/>
          </w:tcPr>
          <w:p w14:paraId="37F0F93D" w14:textId="77777777" w:rsidR="00FC5566" w:rsidRPr="00FC5566" w:rsidRDefault="00FC5566" w:rsidP="00FC5566">
            <w:pPr>
              <w:widowControl w:val="0"/>
              <w:autoSpaceDE w:val="0"/>
              <w:autoSpaceDN w:val="0"/>
              <w:ind w:left="114" w:right="121"/>
              <w:rPr>
                <w:sz w:val="16"/>
                <w:szCs w:val="16"/>
              </w:rPr>
            </w:pPr>
            <w:r w:rsidRPr="00FC5566">
              <w:rPr>
                <w:sz w:val="16"/>
                <w:szCs w:val="16"/>
              </w:rPr>
              <w:t>Exception</w:t>
            </w:r>
          </w:p>
        </w:tc>
        <w:tc>
          <w:tcPr>
            <w:tcW w:w="6983" w:type="dxa"/>
          </w:tcPr>
          <w:p w14:paraId="32966703" w14:textId="77777777" w:rsidR="00FC5566" w:rsidRPr="00FC5566" w:rsidRDefault="00FC5566" w:rsidP="00FC5566">
            <w:pPr>
              <w:widowControl w:val="0"/>
              <w:autoSpaceDE w:val="0"/>
              <w:autoSpaceDN w:val="0"/>
              <w:ind w:left="114" w:right="83"/>
              <w:rPr>
                <w:b/>
                <w:bCs/>
                <w:sz w:val="16"/>
                <w:szCs w:val="16"/>
                <w:lang w:val="en"/>
              </w:rPr>
            </w:pPr>
            <w:r w:rsidRPr="00FC5566">
              <w:rPr>
                <w:b/>
                <w:bCs/>
                <w:sz w:val="16"/>
                <w:szCs w:val="16"/>
                <w:lang w:val="en"/>
              </w:rPr>
              <w:t>Exception:</w:t>
            </w:r>
          </w:p>
          <w:p w14:paraId="4EFAAD5D" w14:textId="77777777" w:rsidR="00FC5566" w:rsidRPr="00FC5566" w:rsidRDefault="00FC5566" w:rsidP="00FC5566">
            <w:pPr>
              <w:widowControl w:val="0"/>
              <w:autoSpaceDE w:val="0"/>
              <w:autoSpaceDN w:val="0"/>
              <w:ind w:left="114" w:right="83"/>
              <w:rPr>
                <w:sz w:val="16"/>
                <w:szCs w:val="16"/>
                <w:lang w:val="en"/>
              </w:rPr>
            </w:pPr>
            <w:r w:rsidRPr="00FC5566">
              <w:rPr>
                <w:sz w:val="16"/>
                <w:szCs w:val="16"/>
                <w:lang w:val="en"/>
              </w:rPr>
              <w:t>A termite inspection gap of no more than 2 inches shall be allowed in crawl space wall insulation.</w:t>
            </w:r>
          </w:p>
        </w:tc>
      </w:tr>
      <w:tr w:rsidR="00FC5566" w:rsidRPr="00FC5566" w14:paraId="2F6EA2D5" w14:textId="77777777" w:rsidTr="00B247D5">
        <w:trPr>
          <w:trHeight w:val="184"/>
        </w:trPr>
        <w:tc>
          <w:tcPr>
            <w:tcW w:w="1062" w:type="dxa"/>
          </w:tcPr>
          <w:p w14:paraId="16435A29"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395" w:type="dxa"/>
          </w:tcPr>
          <w:p w14:paraId="30E696A9" w14:textId="77777777" w:rsidR="00FC5566" w:rsidRPr="00FC5566" w:rsidRDefault="00FC5566" w:rsidP="00FC5566">
            <w:pPr>
              <w:widowControl w:val="0"/>
              <w:autoSpaceDE w:val="0"/>
              <w:autoSpaceDN w:val="0"/>
              <w:ind w:left="114" w:right="121"/>
              <w:rPr>
                <w:sz w:val="16"/>
                <w:szCs w:val="16"/>
              </w:rPr>
            </w:pPr>
            <w:r w:rsidRPr="00FC5566">
              <w:rPr>
                <w:sz w:val="16"/>
                <w:szCs w:val="16"/>
              </w:rPr>
              <w:t>Table R402.5.1.1, Air Barrier, Air Sealing and Insulation Installation</w:t>
            </w:r>
          </w:p>
        </w:tc>
        <w:tc>
          <w:tcPr>
            <w:tcW w:w="6983" w:type="dxa"/>
          </w:tcPr>
          <w:p w14:paraId="192EB1FB" w14:textId="77777777" w:rsidR="00FC5566" w:rsidRPr="00FC5566" w:rsidRDefault="00FC5566" w:rsidP="00FC5566">
            <w:pPr>
              <w:widowControl w:val="0"/>
              <w:autoSpaceDE w:val="0"/>
              <w:autoSpaceDN w:val="0"/>
              <w:ind w:left="114" w:right="83"/>
              <w:rPr>
                <w:sz w:val="16"/>
                <w:szCs w:val="16"/>
                <w:lang w:val="en"/>
              </w:rPr>
            </w:pPr>
          </w:p>
        </w:tc>
      </w:tr>
      <w:tr w:rsidR="00FC5566" w:rsidRPr="00FC5566" w14:paraId="6F1E8868" w14:textId="77777777" w:rsidTr="00B247D5">
        <w:trPr>
          <w:trHeight w:val="184"/>
        </w:trPr>
        <w:tc>
          <w:tcPr>
            <w:tcW w:w="1062" w:type="dxa"/>
          </w:tcPr>
          <w:p w14:paraId="42698525"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395" w:type="dxa"/>
          </w:tcPr>
          <w:p w14:paraId="6525A605" w14:textId="77777777" w:rsidR="00FC5566" w:rsidRPr="00FC5566" w:rsidRDefault="00FC5566" w:rsidP="00FC5566">
            <w:pPr>
              <w:widowControl w:val="0"/>
              <w:autoSpaceDE w:val="0"/>
              <w:autoSpaceDN w:val="0"/>
              <w:ind w:left="114" w:right="121"/>
              <w:rPr>
                <w:sz w:val="16"/>
                <w:szCs w:val="16"/>
              </w:rPr>
            </w:pPr>
            <w:r w:rsidRPr="00FC5566">
              <w:rPr>
                <w:sz w:val="16"/>
                <w:szCs w:val="16"/>
              </w:rPr>
              <w:t>Row (Knee wall), Column (Air Barrier, Air Sealing Criteria)</w:t>
            </w:r>
          </w:p>
        </w:tc>
        <w:tc>
          <w:tcPr>
            <w:tcW w:w="6983" w:type="dxa"/>
          </w:tcPr>
          <w:p w14:paraId="705EF5E4" w14:textId="77777777" w:rsidR="00FC5566" w:rsidRPr="00FC5566" w:rsidRDefault="00FC5566" w:rsidP="00FC5566">
            <w:pPr>
              <w:widowControl w:val="0"/>
              <w:autoSpaceDE w:val="0"/>
              <w:autoSpaceDN w:val="0"/>
              <w:ind w:left="114" w:right="83"/>
              <w:rPr>
                <w:sz w:val="16"/>
                <w:szCs w:val="16"/>
                <w:lang w:val="en"/>
              </w:rPr>
            </w:pPr>
            <w:r w:rsidRPr="00FC5566">
              <w:rPr>
                <w:sz w:val="16"/>
                <w:szCs w:val="16"/>
                <w:lang w:val="en"/>
              </w:rPr>
              <w:t>Knee walls shall have an air barrier between conditioned and unconditioned space.</w:t>
            </w:r>
          </w:p>
          <w:p w14:paraId="060C1123" w14:textId="77777777" w:rsidR="00FC5566" w:rsidRPr="00FC5566" w:rsidRDefault="00FC5566" w:rsidP="00FC5566">
            <w:pPr>
              <w:widowControl w:val="0"/>
              <w:autoSpaceDE w:val="0"/>
              <w:autoSpaceDN w:val="0"/>
              <w:ind w:left="114" w:right="83"/>
              <w:rPr>
                <w:b/>
                <w:bCs/>
                <w:sz w:val="16"/>
                <w:szCs w:val="16"/>
                <w:lang w:val="en"/>
              </w:rPr>
            </w:pPr>
            <w:r w:rsidRPr="00FC5566">
              <w:rPr>
                <w:b/>
                <w:bCs/>
                <w:sz w:val="16"/>
                <w:szCs w:val="16"/>
                <w:lang w:val="en"/>
              </w:rPr>
              <w:t>Exception:</w:t>
            </w:r>
          </w:p>
          <w:p w14:paraId="17FA0F02" w14:textId="77777777" w:rsidR="00FC5566" w:rsidRPr="00FC5566" w:rsidRDefault="00FC5566" w:rsidP="00FC5566">
            <w:pPr>
              <w:widowControl w:val="0"/>
              <w:autoSpaceDE w:val="0"/>
              <w:autoSpaceDN w:val="0"/>
              <w:ind w:left="114" w:right="83"/>
              <w:rPr>
                <w:sz w:val="16"/>
                <w:szCs w:val="16"/>
                <w:lang w:val="en"/>
              </w:rPr>
            </w:pPr>
            <w:r w:rsidRPr="00FC5566">
              <w:rPr>
                <w:sz w:val="16"/>
                <w:szCs w:val="16"/>
                <w:lang w:val="en"/>
              </w:rPr>
              <w:t>Exterior air barriers are not required for attic knee walls that are ≤ 24 in. in height if an interior air barrier is provided and insulation extends in all directions from the top of this interior air barrier into unconditioned space.</w:t>
            </w:r>
          </w:p>
        </w:tc>
      </w:tr>
      <w:tr w:rsidR="00FC5566" w:rsidRPr="00FC5566" w14:paraId="7A577E90" w14:textId="77777777" w:rsidTr="00B247D5">
        <w:trPr>
          <w:trHeight w:val="184"/>
        </w:trPr>
        <w:tc>
          <w:tcPr>
            <w:tcW w:w="1062" w:type="dxa"/>
          </w:tcPr>
          <w:p w14:paraId="0163DEF8"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395" w:type="dxa"/>
          </w:tcPr>
          <w:p w14:paraId="6F6D73D5" w14:textId="77777777" w:rsidR="00FC5566" w:rsidRPr="00FC5566" w:rsidRDefault="00FC5566" w:rsidP="00FC5566">
            <w:pPr>
              <w:widowControl w:val="0"/>
              <w:autoSpaceDE w:val="0"/>
              <w:autoSpaceDN w:val="0"/>
              <w:ind w:left="114" w:right="121"/>
              <w:rPr>
                <w:sz w:val="16"/>
                <w:szCs w:val="16"/>
              </w:rPr>
            </w:pPr>
            <w:r w:rsidRPr="00FC5566">
              <w:rPr>
                <w:sz w:val="16"/>
                <w:szCs w:val="16"/>
              </w:rPr>
              <w:t>Row (Plumbing, wiring or other obstructions), Column (Air Barrier, Air Sealing Criteria)</w:t>
            </w:r>
          </w:p>
        </w:tc>
        <w:tc>
          <w:tcPr>
            <w:tcW w:w="6983" w:type="dxa"/>
          </w:tcPr>
          <w:p w14:paraId="5501A4DF" w14:textId="77777777" w:rsidR="00FC5566" w:rsidRPr="00FC5566" w:rsidRDefault="00FC5566" w:rsidP="00FC5566">
            <w:pPr>
              <w:widowControl w:val="0"/>
              <w:autoSpaceDE w:val="0"/>
              <w:autoSpaceDN w:val="0"/>
              <w:ind w:left="114" w:right="83"/>
              <w:rPr>
                <w:sz w:val="16"/>
                <w:szCs w:val="16"/>
                <w:lang w:val="en"/>
              </w:rPr>
            </w:pPr>
            <w:r w:rsidRPr="00FC5566">
              <w:rPr>
                <w:sz w:val="16"/>
                <w:szCs w:val="16"/>
                <w:lang w:val="en"/>
              </w:rPr>
              <w:t xml:space="preserve">All holes created by wiring, plumbing or other obstructions in the air barrier assembly shall be air sealed. </w:t>
            </w:r>
          </w:p>
          <w:p w14:paraId="3B1ED302" w14:textId="77777777" w:rsidR="00FC5566" w:rsidRPr="00FC5566" w:rsidRDefault="00FC5566" w:rsidP="00FC5566">
            <w:pPr>
              <w:widowControl w:val="0"/>
              <w:autoSpaceDE w:val="0"/>
              <w:autoSpaceDN w:val="0"/>
              <w:ind w:left="114" w:right="83"/>
              <w:rPr>
                <w:sz w:val="16"/>
                <w:szCs w:val="16"/>
                <w:lang w:val="en"/>
              </w:rPr>
            </w:pPr>
            <w:r w:rsidRPr="00FC5566">
              <w:rPr>
                <w:b/>
                <w:bCs/>
                <w:sz w:val="16"/>
                <w:szCs w:val="16"/>
                <w:lang w:val="en"/>
              </w:rPr>
              <w:t>Exception:</w:t>
            </w:r>
            <w:r w:rsidRPr="00FC5566">
              <w:rPr>
                <w:sz w:val="16"/>
                <w:szCs w:val="16"/>
                <w:lang w:val="en"/>
              </w:rPr>
              <w:t xml:space="preserve"> </w:t>
            </w:r>
          </w:p>
          <w:p w14:paraId="2891BEF5" w14:textId="77777777" w:rsidR="00FC5566" w:rsidRPr="00FC5566" w:rsidRDefault="00FC5566" w:rsidP="00FC5566">
            <w:pPr>
              <w:widowControl w:val="0"/>
              <w:autoSpaceDE w:val="0"/>
              <w:autoSpaceDN w:val="0"/>
              <w:ind w:left="114" w:right="83"/>
              <w:rPr>
                <w:sz w:val="16"/>
                <w:szCs w:val="16"/>
                <w:lang w:val="en"/>
              </w:rPr>
            </w:pPr>
            <w:r w:rsidRPr="00FC5566">
              <w:rPr>
                <w:sz w:val="16"/>
                <w:szCs w:val="16"/>
                <w:lang w:val="en"/>
              </w:rPr>
              <w:t>Penetrations for fuel gas piping through the sealing thermal envelope shall not be required to be air sealed at the piping penetration.</w:t>
            </w:r>
          </w:p>
        </w:tc>
      </w:tr>
      <w:tr w:rsidR="00FC5566" w:rsidRPr="00FC5566" w14:paraId="3F839D45" w14:textId="77777777" w:rsidTr="00B247D5">
        <w:trPr>
          <w:trHeight w:val="184"/>
        </w:trPr>
        <w:tc>
          <w:tcPr>
            <w:tcW w:w="1062" w:type="dxa"/>
            <w:tcBorders>
              <w:bottom w:val="single" w:sz="6" w:space="0" w:color="000000"/>
            </w:tcBorders>
          </w:tcPr>
          <w:p w14:paraId="099F580C" w14:textId="77777777" w:rsidR="00FC5566" w:rsidRPr="00FC5566" w:rsidRDefault="00FC5566" w:rsidP="00FC5566">
            <w:pPr>
              <w:widowControl w:val="0"/>
              <w:autoSpaceDE w:val="0"/>
              <w:autoSpaceDN w:val="0"/>
              <w:jc w:val="center"/>
              <w:rPr>
                <w:spacing w:val="-2"/>
                <w:sz w:val="16"/>
                <w:szCs w:val="16"/>
                <w:highlight w:val="yellow"/>
              </w:rPr>
            </w:pPr>
            <w:r w:rsidRPr="00FC5566">
              <w:rPr>
                <w:sz w:val="16"/>
                <w:szCs w:val="16"/>
              </w:rPr>
              <w:t>Amend</w:t>
            </w:r>
          </w:p>
        </w:tc>
        <w:tc>
          <w:tcPr>
            <w:tcW w:w="2395" w:type="dxa"/>
            <w:tcBorders>
              <w:bottom w:val="single" w:sz="6" w:space="0" w:color="000000"/>
            </w:tcBorders>
          </w:tcPr>
          <w:p w14:paraId="4101700B" w14:textId="77777777" w:rsidR="00FC5566" w:rsidRPr="00FC5566" w:rsidRDefault="00FC5566" w:rsidP="00FC5566">
            <w:pPr>
              <w:widowControl w:val="0"/>
              <w:autoSpaceDE w:val="0"/>
              <w:autoSpaceDN w:val="0"/>
              <w:ind w:left="114" w:right="24"/>
              <w:rPr>
                <w:sz w:val="16"/>
                <w:szCs w:val="16"/>
                <w:highlight w:val="yellow"/>
              </w:rPr>
            </w:pPr>
            <w:r w:rsidRPr="00FC5566">
              <w:rPr>
                <w:sz w:val="16"/>
                <w:szCs w:val="16"/>
              </w:rPr>
              <w:t>Row (Showers, tubs and fireplaces adjacent to the building thermal envelope), Column (Air Barrier, Air Sealing Criteria)</w:t>
            </w:r>
          </w:p>
        </w:tc>
        <w:tc>
          <w:tcPr>
            <w:tcW w:w="6983" w:type="dxa"/>
          </w:tcPr>
          <w:p w14:paraId="6F342BDD" w14:textId="77777777" w:rsidR="00FC5566" w:rsidRPr="00FC5566" w:rsidRDefault="00FC5566" w:rsidP="00FC5566">
            <w:pPr>
              <w:widowControl w:val="0"/>
              <w:autoSpaceDE w:val="0"/>
              <w:autoSpaceDN w:val="0"/>
              <w:ind w:left="114" w:right="83"/>
              <w:rPr>
                <w:sz w:val="16"/>
                <w:szCs w:val="16"/>
                <w:highlight w:val="yellow"/>
                <w:lang w:val="en"/>
              </w:rPr>
            </w:pPr>
            <w:r w:rsidRPr="00FC5566">
              <w:rPr>
                <w:sz w:val="16"/>
                <w:szCs w:val="16"/>
                <w:lang w:val="en"/>
              </w:rPr>
              <w:t>An air barrier shall be provided at exterior vertical surface of wall insulation behind showers, tubs, staircases, and fireplaces.</w:t>
            </w:r>
          </w:p>
        </w:tc>
      </w:tr>
      <w:tr w:rsidR="00FC5566" w:rsidRPr="00FC5566" w14:paraId="0361DC4A" w14:textId="77777777" w:rsidTr="00B247D5">
        <w:trPr>
          <w:trHeight w:val="184"/>
        </w:trPr>
        <w:tc>
          <w:tcPr>
            <w:tcW w:w="1062" w:type="dxa"/>
          </w:tcPr>
          <w:p w14:paraId="37352DC5"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Repeal</w:t>
            </w:r>
          </w:p>
        </w:tc>
        <w:tc>
          <w:tcPr>
            <w:tcW w:w="2395" w:type="dxa"/>
          </w:tcPr>
          <w:p w14:paraId="0E299FE8" w14:textId="77777777" w:rsidR="00FC5566" w:rsidRPr="00FC5566" w:rsidRDefault="00FC5566" w:rsidP="00FC5566">
            <w:pPr>
              <w:widowControl w:val="0"/>
              <w:autoSpaceDE w:val="0"/>
              <w:autoSpaceDN w:val="0"/>
              <w:ind w:left="114"/>
              <w:rPr>
                <w:sz w:val="16"/>
                <w:szCs w:val="16"/>
              </w:rPr>
            </w:pPr>
            <w:r w:rsidRPr="00FC5566">
              <w:rPr>
                <w:sz w:val="16"/>
                <w:szCs w:val="16"/>
              </w:rPr>
              <w:t>Row (Electrical, communication and other equipment boxes, housings and enclosures)</w:t>
            </w:r>
          </w:p>
        </w:tc>
        <w:tc>
          <w:tcPr>
            <w:tcW w:w="6983" w:type="dxa"/>
          </w:tcPr>
          <w:p w14:paraId="6DE849BD" w14:textId="77777777" w:rsidR="00FC5566" w:rsidRPr="00FC5566" w:rsidRDefault="00FC5566" w:rsidP="00FC5566">
            <w:pPr>
              <w:widowControl w:val="0"/>
              <w:autoSpaceDE w:val="0"/>
              <w:autoSpaceDN w:val="0"/>
              <w:ind w:left="114" w:right="83"/>
              <w:rPr>
                <w:sz w:val="16"/>
                <w:szCs w:val="16"/>
                <w:lang w:val="en"/>
              </w:rPr>
            </w:pPr>
          </w:p>
        </w:tc>
      </w:tr>
      <w:tr w:rsidR="00FC5566" w:rsidRPr="00FC5566" w14:paraId="2A722FCF" w14:textId="77777777" w:rsidTr="00B247D5">
        <w:trPr>
          <w:trHeight w:val="184"/>
        </w:trPr>
        <w:tc>
          <w:tcPr>
            <w:tcW w:w="1062" w:type="dxa"/>
          </w:tcPr>
          <w:p w14:paraId="5C4CA37A"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395" w:type="dxa"/>
          </w:tcPr>
          <w:p w14:paraId="032859B0" w14:textId="77777777" w:rsidR="00FC5566" w:rsidRPr="00FC5566" w:rsidRDefault="00FC5566" w:rsidP="00FC5566">
            <w:pPr>
              <w:widowControl w:val="0"/>
              <w:autoSpaceDE w:val="0"/>
              <w:autoSpaceDN w:val="0"/>
              <w:ind w:left="114" w:right="121"/>
              <w:rPr>
                <w:sz w:val="16"/>
                <w:szCs w:val="16"/>
              </w:rPr>
            </w:pPr>
            <w:r w:rsidRPr="00FC5566">
              <w:rPr>
                <w:sz w:val="16"/>
                <w:szCs w:val="16"/>
              </w:rPr>
              <w:t>Section R402.5.1.3, Maximum Air Leakage Rate.</w:t>
            </w:r>
          </w:p>
        </w:tc>
        <w:tc>
          <w:tcPr>
            <w:tcW w:w="6983" w:type="dxa"/>
          </w:tcPr>
          <w:p w14:paraId="3E056AA9" w14:textId="77777777" w:rsidR="00FC5566" w:rsidRPr="00FC5566" w:rsidRDefault="00FC5566" w:rsidP="00FC5566">
            <w:pPr>
              <w:ind w:left="144" w:right="86"/>
              <w:rPr>
                <w:sz w:val="16"/>
                <w:szCs w:val="16"/>
                <w:lang w:val="en"/>
              </w:rPr>
            </w:pPr>
            <w:r w:rsidRPr="00FC5566">
              <w:rPr>
                <w:sz w:val="16"/>
                <w:szCs w:val="16"/>
                <w:lang w:val="en"/>
              </w:rPr>
              <w:t>Where tested in accordance with Section R402.5.1.2, the air leakage rate for buildings, dwelling units or sleeping units shall be as follows:</w:t>
            </w:r>
          </w:p>
          <w:p w14:paraId="70D9B84D" w14:textId="77777777" w:rsidR="00FC5566" w:rsidRPr="00FC5566" w:rsidRDefault="00FC5566" w:rsidP="00FC5566">
            <w:pPr>
              <w:ind w:left="144" w:right="86"/>
              <w:rPr>
                <w:rFonts w:eastAsia="Arial"/>
                <w:sz w:val="16"/>
                <w:szCs w:val="16"/>
              </w:rPr>
            </w:pPr>
            <w:r w:rsidRPr="00FC5566">
              <w:rPr>
                <w:rFonts w:eastAsia="Arial"/>
                <w:sz w:val="16"/>
                <w:szCs w:val="16"/>
              </w:rPr>
              <w:t>1. Where complying with Section R401.2.1, the building or the  dwelling units or sleeping units in the building shall have an air leakage rate not greater than 7.0 air changes per hour in Climate Zones 0, 1 and 2; 3.0 air changes per hour in Climate Zones 3 through 5; and 2.5 air changes per hour in Climate Zones 6 through 8.</w:t>
            </w:r>
          </w:p>
          <w:p w14:paraId="6B8049D2" w14:textId="77777777" w:rsidR="00FC5566" w:rsidRPr="00FC5566" w:rsidRDefault="00FC5566" w:rsidP="00FC5566">
            <w:pPr>
              <w:ind w:left="144" w:right="86"/>
              <w:rPr>
                <w:rFonts w:eastAsia="Arial"/>
                <w:sz w:val="16"/>
                <w:szCs w:val="16"/>
              </w:rPr>
            </w:pPr>
            <w:r w:rsidRPr="00FC5566">
              <w:rPr>
                <w:rFonts w:eastAsia="Arial"/>
                <w:sz w:val="16"/>
                <w:szCs w:val="16"/>
              </w:rPr>
              <w:lastRenderedPageBreak/>
              <w:t>2. Where complying with Section R401.2.2 or R401.2.3, the building or the dwelling units or sleeping units in the building shall have an air leakage rate not greater than 7.0 air changes per hour, or 0.39 cubic feet per minute per square foot [1.1 L/(s × m</w:t>
            </w:r>
            <w:r w:rsidRPr="00FC5566">
              <w:rPr>
                <w:rFonts w:eastAsia="Arial"/>
                <w:sz w:val="16"/>
                <w:szCs w:val="16"/>
                <w:vertAlign w:val="superscript"/>
              </w:rPr>
              <w:t>2</w:t>
            </w:r>
            <w:r w:rsidRPr="00FC5566">
              <w:rPr>
                <w:rFonts w:eastAsia="Arial"/>
                <w:sz w:val="16"/>
                <w:szCs w:val="16"/>
              </w:rPr>
              <w:t>)] of the building thermal envelope area or the dwelling testing unit enclosure area, as applicable.  </w:t>
            </w:r>
          </w:p>
          <w:p w14:paraId="339CF434" w14:textId="77777777" w:rsidR="00FC5566" w:rsidRPr="00FC5566" w:rsidRDefault="00FC5566" w:rsidP="00FC5566">
            <w:pPr>
              <w:ind w:left="144" w:right="90"/>
              <w:rPr>
                <w:rFonts w:eastAsia="Arial"/>
                <w:sz w:val="16"/>
                <w:szCs w:val="16"/>
              </w:rPr>
            </w:pPr>
            <w:r w:rsidRPr="00FC5566">
              <w:rPr>
                <w:rFonts w:eastAsia="Arial"/>
                <w:b/>
                <w:bCs/>
                <w:sz w:val="16"/>
                <w:szCs w:val="16"/>
              </w:rPr>
              <w:t>Exceptions:</w:t>
            </w:r>
          </w:p>
          <w:p w14:paraId="27512C8F" w14:textId="77777777" w:rsidR="00FC5566" w:rsidRPr="00FC5566" w:rsidRDefault="00FC5566" w:rsidP="00FC5566">
            <w:pPr>
              <w:ind w:left="144" w:right="90"/>
              <w:rPr>
                <w:rFonts w:eastAsia="Arial"/>
                <w:sz w:val="16"/>
                <w:szCs w:val="16"/>
              </w:rPr>
            </w:pPr>
            <w:r w:rsidRPr="00FC5566">
              <w:rPr>
                <w:rFonts w:eastAsia="Arial"/>
                <w:sz w:val="16"/>
                <w:szCs w:val="16"/>
              </w:rPr>
              <w:t>1. Where dwelling units or sleeping units are attached or located in an R-2 occupancy, and are tested without simultaneously testing adjacent dwelling units or sleeping units, the air leakage rate is permitted to be not greater than 0.48 cubic feet per minute per square foot [1.4 L/(s × m</w:t>
            </w:r>
            <w:r w:rsidRPr="00FC5566">
              <w:rPr>
                <w:rFonts w:eastAsia="Arial"/>
                <w:sz w:val="16"/>
                <w:szCs w:val="16"/>
                <w:vertAlign w:val="superscript"/>
              </w:rPr>
              <w:t>2</w:t>
            </w:r>
            <w:r w:rsidRPr="00FC5566">
              <w:rPr>
                <w:rFonts w:eastAsia="Arial"/>
                <w:sz w:val="16"/>
                <w:szCs w:val="16"/>
              </w:rPr>
              <w:t>)] of the testing unit enclosure area. Where adjacent dwelling units are simultaneously tested in accordance with ASTM E779, the air leakage rate is permitted to be not greater than 0.48 cubic feet per minute per square foot [1.4 L/(s × m</w:t>
            </w:r>
            <w:r w:rsidRPr="00FC5566">
              <w:rPr>
                <w:rFonts w:eastAsia="Arial"/>
                <w:sz w:val="16"/>
                <w:szCs w:val="16"/>
                <w:vertAlign w:val="superscript"/>
              </w:rPr>
              <w:t>2</w:t>
            </w:r>
            <w:r w:rsidRPr="00FC5566">
              <w:rPr>
                <w:rFonts w:eastAsia="Arial"/>
                <w:sz w:val="16"/>
                <w:szCs w:val="16"/>
              </w:rPr>
              <w:t>)] of the testing unit enclosure area that separates conditioned space from the exterior.</w:t>
            </w:r>
          </w:p>
          <w:p w14:paraId="7027303B" w14:textId="77777777" w:rsidR="00FC5566" w:rsidRPr="00FC5566" w:rsidRDefault="00FC5566" w:rsidP="00FC5566">
            <w:pPr>
              <w:widowControl w:val="0"/>
              <w:autoSpaceDE w:val="0"/>
              <w:autoSpaceDN w:val="0"/>
              <w:ind w:left="144" w:right="83"/>
              <w:rPr>
                <w:sz w:val="16"/>
                <w:szCs w:val="16"/>
                <w:lang w:val="en"/>
              </w:rPr>
            </w:pPr>
            <w:r w:rsidRPr="00FC5566">
              <w:rPr>
                <w:rFonts w:eastAsia="Arial"/>
                <w:sz w:val="16"/>
                <w:szCs w:val="16"/>
              </w:rPr>
              <w:t>2. Where buildings have 1,500 square feet (139.4 m</w:t>
            </w:r>
            <w:r w:rsidRPr="00FC5566">
              <w:rPr>
                <w:rFonts w:eastAsia="Arial"/>
                <w:sz w:val="16"/>
                <w:szCs w:val="16"/>
                <w:vertAlign w:val="superscript"/>
              </w:rPr>
              <w:t>2</w:t>
            </w:r>
            <w:r w:rsidRPr="00FC5566">
              <w:rPr>
                <w:rFonts w:eastAsia="Arial"/>
                <w:sz w:val="16"/>
                <w:szCs w:val="16"/>
              </w:rPr>
              <w:t>) or less of conditioned floor area, the air leakage rate is permitted to be not greater than 0.48 cubic feet per minute per square foot [1.4 L/(s × m</w:t>
            </w:r>
            <w:r w:rsidRPr="00FC5566">
              <w:rPr>
                <w:rFonts w:eastAsia="Arial"/>
                <w:sz w:val="16"/>
                <w:szCs w:val="16"/>
                <w:vertAlign w:val="superscript"/>
              </w:rPr>
              <w:t>2</w:t>
            </w:r>
            <w:r w:rsidRPr="00FC5566">
              <w:rPr>
                <w:rFonts w:eastAsia="Arial"/>
                <w:sz w:val="16"/>
                <w:szCs w:val="16"/>
              </w:rPr>
              <w:t>)].</w:t>
            </w:r>
          </w:p>
        </w:tc>
      </w:tr>
      <w:tr w:rsidR="00FC5566" w:rsidRPr="00FC5566" w14:paraId="17D428A3" w14:textId="77777777" w:rsidTr="00B247D5">
        <w:trPr>
          <w:trHeight w:val="184"/>
        </w:trPr>
        <w:tc>
          <w:tcPr>
            <w:tcW w:w="1062" w:type="dxa"/>
          </w:tcPr>
          <w:p w14:paraId="79A0F316"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lastRenderedPageBreak/>
              <w:t>Repeal</w:t>
            </w:r>
          </w:p>
        </w:tc>
        <w:tc>
          <w:tcPr>
            <w:tcW w:w="2395" w:type="dxa"/>
          </w:tcPr>
          <w:p w14:paraId="2E9A797F" w14:textId="77777777" w:rsidR="00FC5566" w:rsidRPr="00FC5566" w:rsidRDefault="00FC5566" w:rsidP="00FC5566">
            <w:pPr>
              <w:widowControl w:val="0"/>
              <w:autoSpaceDE w:val="0"/>
              <w:autoSpaceDN w:val="0"/>
              <w:ind w:left="114" w:right="121"/>
              <w:rPr>
                <w:sz w:val="16"/>
                <w:szCs w:val="16"/>
              </w:rPr>
            </w:pPr>
            <w:r w:rsidRPr="00FC5566">
              <w:rPr>
                <w:sz w:val="16"/>
                <w:szCs w:val="16"/>
              </w:rPr>
              <w:t>Section R402.5.5, Air-Sealed Electrical and Communication Outlet Boxes.</w:t>
            </w:r>
          </w:p>
        </w:tc>
        <w:tc>
          <w:tcPr>
            <w:tcW w:w="6983" w:type="dxa"/>
          </w:tcPr>
          <w:p w14:paraId="7733C331" w14:textId="77777777" w:rsidR="00FC5566" w:rsidRPr="00FC5566" w:rsidRDefault="00FC5566" w:rsidP="00FC5566">
            <w:pPr>
              <w:widowControl w:val="0"/>
              <w:autoSpaceDE w:val="0"/>
              <w:autoSpaceDN w:val="0"/>
              <w:ind w:left="114" w:right="83"/>
              <w:rPr>
                <w:sz w:val="16"/>
                <w:szCs w:val="16"/>
                <w:lang w:val="en"/>
              </w:rPr>
            </w:pPr>
          </w:p>
        </w:tc>
      </w:tr>
      <w:tr w:rsidR="00FC5566" w:rsidRPr="00FC5566" w14:paraId="3F49338E" w14:textId="77777777" w:rsidTr="00B247D5">
        <w:trPr>
          <w:trHeight w:val="184"/>
        </w:trPr>
        <w:tc>
          <w:tcPr>
            <w:tcW w:w="1062" w:type="dxa"/>
          </w:tcPr>
          <w:p w14:paraId="4127B62E"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Repeal</w:t>
            </w:r>
          </w:p>
        </w:tc>
        <w:tc>
          <w:tcPr>
            <w:tcW w:w="2395" w:type="dxa"/>
          </w:tcPr>
          <w:p w14:paraId="2B84C8B2" w14:textId="77777777" w:rsidR="00FC5566" w:rsidRPr="00FC5566" w:rsidRDefault="00FC5566" w:rsidP="00FC5566">
            <w:pPr>
              <w:widowControl w:val="0"/>
              <w:autoSpaceDE w:val="0"/>
              <w:autoSpaceDN w:val="0"/>
              <w:ind w:left="114" w:right="121"/>
              <w:rPr>
                <w:sz w:val="16"/>
                <w:szCs w:val="16"/>
              </w:rPr>
            </w:pPr>
            <w:r w:rsidRPr="00FC5566">
              <w:rPr>
                <w:sz w:val="16"/>
                <w:szCs w:val="16"/>
              </w:rPr>
              <w:t>Section R403.3.7, Duct System Testing.</w:t>
            </w:r>
          </w:p>
        </w:tc>
        <w:tc>
          <w:tcPr>
            <w:tcW w:w="6983" w:type="dxa"/>
          </w:tcPr>
          <w:p w14:paraId="2014212B" w14:textId="77777777" w:rsidR="00FC5566" w:rsidRPr="00FC5566" w:rsidRDefault="00FC5566" w:rsidP="00FC5566">
            <w:pPr>
              <w:widowControl w:val="0"/>
              <w:autoSpaceDE w:val="0"/>
              <w:autoSpaceDN w:val="0"/>
              <w:ind w:left="114" w:right="83"/>
              <w:rPr>
                <w:sz w:val="16"/>
                <w:szCs w:val="16"/>
                <w:lang w:val="en"/>
              </w:rPr>
            </w:pPr>
          </w:p>
        </w:tc>
      </w:tr>
      <w:tr w:rsidR="00FC5566" w:rsidRPr="00FC5566" w14:paraId="245EEE7B" w14:textId="77777777" w:rsidTr="00B247D5">
        <w:trPr>
          <w:trHeight w:val="184"/>
        </w:trPr>
        <w:tc>
          <w:tcPr>
            <w:tcW w:w="1062" w:type="dxa"/>
          </w:tcPr>
          <w:p w14:paraId="764BAC9E"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Adopt</w:t>
            </w:r>
          </w:p>
        </w:tc>
        <w:tc>
          <w:tcPr>
            <w:tcW w:w="2395" w:type="dxa"/>
          </w:tcPr>
          <w:p w14:paraId="502A2807" w14:textId="77777777" w:rsidR="00FC5566" w:rsidRPr="00FC5566" w:rsidRDefault="00FC5566" w:rsidP="00FC5566">
            <w:pPr>
              <w:widowControl w:val="0"/>
              <w:autoSpaceDE w:val="0"/>
              <w:autoSpaceDN w:val="0"/>
              <w:ind w:left="114" w:right="121"/>
              <w:rPr>
                <w:sz w:val="16"/>
                <w:szCs w:val="16"/>
              </w:rPr>
            </w:pPr>
            <w:r w:rsidRPr="00FC5566">
              <w:rPr>
                <w:sz w:val="16"/>
                <w:szCs w:val="16"/>
              </w:rPr>
              <w:t>Section R403.3.7, Duct System Testing.</w:t>
            </w:r>
          </w:p>
        </w:tc>
        <w:tc>
          <w:tcPr>
            <w:tcW w:w="6983" w:type="dxa"/>
          </w:tcPr>
          <w:p w14:paraId="7C4E6D7B" w14:textId="77777777" w:rsidR="00FC5566" w:rsidRPr="00FC5566" w:rsidRDefault="00FC5566" w:rsidP="00FC5566">
            <w:pPr>
              <w:widowControl w:val="0"/>
              <w:autoSpaceDE w:val="0"/>
              <w:autoSpaceDN w:val="0"/>
              <w:ind w:left="114" w:right="83"/>
              <w:rPr>
                <w:sz w:val="16"/>
                <w:szCs w:val="16"/>
                <w:lang w:val="en"/>
              </w:rPr>
            </w:pPr>
            <w:r w:rsidRPr="00FC5566">
              <w:rPr>
                <w:sz w:val="16"/>
                <w:szCs w:val="16"/>
                <w:lang w:val="en"/>
              </w:rPr>
              <w:t>Duct leakage testing shall be performed by individuals certified to perform duct leakage tests by a nationally recognized organization that trains and provides certification exams for the proper procedures to perform such tests. The responsible BCEO shall accept written duct leakage test reports from these certified individuals to verify the minimum sealing requirements of Section N1103.3.4. Ducts shall be pressure tested in accordance with ANSI/RESNET/ICC 380 or ASTM E1554 to determine air leakage by one of the following methods.</w:t>
            </w:r>
          </w:p>
          <w:p w14:paraId="67CAF8D3" w14:textId="77777777" w:rsidR="00FC5566" w:rsidRPr="00FC5566" w:rsidRDefault="00FC5566" w:rsidP="00FC5566">
            <w:pPr>
              <w:widowControl w:val="0"/>
              <w:autoSpaceDE w:val="0"/>
              <w:autoSpaceDN w:val="0"/>
              <w:ind w:left="114" w:right="83"/>
              <w:rPr>
                <w:sz w:val="16"/>
                <w:szCs w:val="16"/>
                <w:lang w:val="en"/>
              </w:rPr>
            </w:pPr>
            <w:r w:rsidRPr="00FC5566">
              <w:rPr>
                <w:sz w:val="16"/>
                <w:szCs w:val="16"/>
                <w:lang w:val="en"/>
              </w:rPr>
              <w:t>1. Rough-in test: The total leakage shall be less than or equal to 6.0 cubic feet per minute (113.3 L/min) per 100 square feet (9.29 m2) of conditioned floor area where the air handler is installed at the time of the test. Where the air handler is not installed at the time of the test, the total leakage shall be less than or equal to 4.0 cubic feet per minute (85 L/min) per 100 square feet (9.29 m2) of conditioned floor area.</w:t>
            </w:r>
          </w:p>
          <w:p w14:paraId="70B89B47" w14:textId="77777777" w:rsidR="00FC5566" w:rsidRPr="00FC5566" w:rsidRDefault="00FC5566" w:rsidP="00FC5566">
            <w:pPr>
              <w:widowControl w:val="0"/>
              <w:autoSpaceDE w:val="0"/>
              <w:autoSpaceDN w:val="0"/>
              <w:ind w:left="114" w:right="83"/>
              <w:rPr>
                <w:sz w:val="16"/>
                <w:szCs w:val="16"/>
                <w:lang w:val="en"/>
              </w:rPr>
            </w:pPr>
            <w:r w:rsidRPr="00FC5566">
              <w:rPr>
                <w:sz w:val="16"/>
                <w:szCs w:val="16"/>
                <w:lang w:val="en"/>
              </w:rPr>
              <w:t xml:space="preserve">2. Post construction test: </w:t>
            </w:r>
          </w:p>
          <w:p w14:paraId="7529F0D2" w14:textId="77777777" w:rsidR="00FC5566" w:rsidRPr="00FC5566" w:rsidRDefault="00FC5566" w:rsidP="00FC5566">
            <w:pPr>
              <w:widowControl w:val="0"/>
              <w:autoSpaceDE w:val="0"/>
              <w:autoSpaceDN w:val="0"/>
              <w:ind w:left="114" w:right="83"/>
              <w:rPr>
                <w:sz w:val="16"/>
                <w:szCs w:val="16"/>
                <w:lang w:val="en"/>
              </w:rPr>
            </w:pPr>
            <w:r w:rsidRPr="00FC5566">
              <w:rPr>
                <w:sz w:val="16"/>
                <w:szCs w:val="16"/>
                <w:lang w:val="en"/>
              </w:rPr>
              <w:t>2.1 Total leakage shall be less than or equal to 8.0 cubic feet per minute (113.3 L/min) per 100 square feet (9.29 m2) of conditioned floor area or ≤ 80 CFM25 (minimum cap) or</w:t>
            </w:r>
          </w:p>
          <w:p w14:paraId="65089635" w14:textId="77777777" w:rsidR="00FC5566" w:rsidRPr="00FC5566" w:rsidRDefault="00FC5566" w:rsidP="00FC5566">
            <w:pPr>
              <w:widowControl w:val="0"/>
              <w:autoSpaceDE w:val="0"/>
              <w:autoSpaceDN w:val="0"/>
              <w:ind w:left="114" w:right="83"/>
              <w:rPr>
                <w:sz w:val="16"/>
                <w:szCs w:val="16"/>
                <w:lang w:val="en"/>
              </w:rPr>
            </w:pPr>
            <w:r w:rsidRPr="00FC5566">
              <w:rPr>
                <w:sz w:val="16"/>
                <w:szCs w:val="16"/>
                <w:lang w:val="en"/>
              </w:rPr>
              <w:t>2.2 Leakage to Outside shall be less than or equal to 4 cfm per 100 sq feet of conditioned floor area or ≤ 40 CFM25 (minimum cap).</w:t>
            </w:r>
          </w:p>
          <w:p w14:paraId="15775B14" w14:textId="77777777" w:rsidR="00FC5566" w:rsidRPr="00FC5566" w:rsidRDefault="00FC5566" w:rsidP="00FC5566">
            <w:pPr>
              <w:widowControl w:val="0"/>
              <w:autoSpaceDE w:val="0"/>
              <w:autoSpaceDN w:val="0"/>
              <w:ind w:left="114" w:right="83"/>
              <w:rPr>
                <w:b/>
                <w:bCs/>
                <w:sz w:val="16"/>
                <w:szCs w:val="16"/>
                <w:lang w:val="en"/>
              </w:rPr>
            </w:pPr>
            <w:r w:rsidRPr="00FC5566">
              <w:rPr>
                <w:b/>
                <w:bCs/>
                <w:sz w:val="16"/>
                <w:szCs w:val="16"/>
                <w:lang w:val="en"/>
              </w:rPr>
              <w:t>Exception:</w:t>
            </w:r>
          </w:p>
          <w:p w14:paraId="1EEDD05B" w14:textId="77777777" w:rsidR="00FC5566" w:rsidRPr="00FC5566" w:rsidRDefault="00FC5566" w:rsidP="00FC5566">
            <w:pPr>
              <w:widowControl w:val="0"/>
              <w:autoSpaceDE w:val="0"/>
              <w:autoSpaceDN w:val="0"/>
              <w:ind w:left="114" w:right="83"/>
              <w:rPr>
                <w:sz w:val="16"/>
                <w:szCs w:val="16"/>
                <w:lang w:val="en"/>
              </w:rPr>
            </w:pPr>
            <w:r w:rsidRPr="00FC5566">
              <w:rPr>
                <w:sz w:val="16"/>
                <w:szCs w:val="16"/>
                <w:lang w:val="en"/>
              </w:rPr>
              <w:t>A duct air-leakage test shall not be required where the ducts and air handlers are located entirely within the building thermal envelope.</w:t>
            </w:r>
          </w:p>
        </w:tc>
      </w:tr>
      <w:tr w:rsidR="00FC5566" w:rsidRPr="00FC5566" w14:paraId="2CC8D0A9" w14:textId="77777777" w:rsidTr="00B247D5">
        <w:trPr>
          <w:trHeight w:val="184"/>
        </w:trPr>
        <w:tc>
          <w:tcPr>
            <w:tcW w:w="1062" w:type="dxa"/>
          </w:tcPr>
          <w:p w14:paraId="68EF99BB"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Repeal</w:t>
            </w:r>
          </w:p>
        </w:tc>
        <w:tc>
          <w:tcPr>
            <w:tcW w:w="2395" w:type="dxa"/>
          </w:tcPr>
          <w:p w14:paraId="4AE98BDA" w14:textId="77777777" w:rsidR="00FC5566" w:rsidRPr="00FC5566" w:rsidRDefault="00FC5566" w:rsidP="00FC5566">
            <w:pPr>
              <w:widowControl w:val="0"/>
              <w:autoSpaceDE w:val="0"/>
              <w:autoSpaceDN w:val="0"/>
              <w:ind w:left="114" w:right="121"/>
              <w:rPr>
                <w:sz w:val="16"/>
                <w:szCs w:val="16"/>
              </w:rPr>
            </w:pPr>
            <w:r w:rsidRPr="00FC5566">
              <w:rPr>
                <w:sz w:val="16"/>
                <w:szCs w:val="16"/>
              </w:rPr>
              <w:t>Section R403.3.8, Duct System Leakage.</w:t>
            </w:r>
          </w:p>
        </w:tc>
        <w:tc>
          <w:tcPr>
            <w:tcW w:w="6983" w:type="dxa"/>
          </w:tcPr>
          <w:p w14:paraId="7CA6F9C4" w14:textId="77777777" w:rsidR="00FC5566" w:rsidRPr="00FC5566" w:rsidRDefault="00FC5566" w:rsidP="00FC5566">
            <w:pPr>
              <w:widowControl w:val="0"/>
              <w:autoSpaceDE w:val="0"/>
              <w:autoSpaceDN w:val="0"/>
              <w:ind w:left="114" w:right="83"/>
              <w:rPr>
                <w:sz w:val="16"/>
                <w:szCs w:val="16"/>
                <w:lang w:val="en"/>
              </w:rPr>
            </w:pPr>
          </w:p>
        </w:tc>
      </w:tr>
      <w:tr w:rsidR="00FC5566" w:rsidRPr="00FC5566" w14:paraId="36A1CF5C" w14:textId="77777777" w:rsidTr="00B247D5">
        <w:trPr>
          <w:trHeight w:val="274"/>
        </w:trPr>
        <w:tc>
          <w:tcPr>
            <w:tcW w:w="1062" w:type="dxa"/>
          </w:tcPr>
          <w:p w14:paraId="2EF9B1FF"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395" w:type="dxa"/>
          </w:tcPr>
          <w:p w14:paraId="3C2E4BDE" w14:textId="77777777" w:rsidR="00FC5566" w:rsidRPr="00FC5566" w:rsidRDefault="00FC5566" w:rsidP="00FC5566">
            <w:pPr>
              <w:widowControl w:val="0"/>
              <w:autoSpaceDE w:val="0"/>
              <w:autoSpaceDN w:val="0"/>
              <w:ind w:left="114" w:right="121"/>
              <w:rPr>
                <w:sz w:val="16"/>
                <w:szCs w:val="16"/>
              </w:rPr>
            </w:pPr>
            <w:r w:rsidRPr="00FC5566">
              <w:rPr>
                <w:sz w:val="16"/>
                <w:szCs w:val="16"/>
              </w:rPr>
              <w:t>Section R403.6.3, Testing.</w:t>
            </w:r>
          </w:p>
        </w:tc>
        <w:tc>
          <w:tcPr>
            <w:tcW w:w="6983" w:type="dxa"/>
          </w:tcPr>
          <w:p w14:paraId="57216162" w14:textId="77777777" w:rsidR="00FC5566" w:rsidRPr="00FC5566" w:rsidRDefault="00FC5566" w:rsidP="00FC5566">
            <w:pPr>
              <w:widowControl w:val="0"/>
              <w:autoSpaceDE w:val="0"/>
              <w:autoSpaceDN w:val="0"/>
              <w:ind w:left="114" w:right="83"/>
              <w:rPr>
                <w:sz w:val="16"/>
                <w:szCs w:val="16"/>
                <w:lang w:val="en"/>
              </w:rPr>
            </w:pPr>
          </w:p>
        </w:tc>
      </w:tr>
      <w:tr w:rsidR="00FC5566" w:rsidRPr="00FC5566" w14:paraId="04A2E4DE" w14:textId="77777777" w:rsidTr="00B247D5">
        <w:trPr>
          <w:trHeight w:val="274"/>
        </w:trPr>
        <w:tc>
          <w:tcPr>
            <w:tcW w:w="1062" w:type="dxa"/>
          </w:tcPr>
          <w:p w14:paraId="789CBF54"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395" w:type="dxa"/>
          </w:tcPr>
          <w:p w14:paraId="30650196" w14:textId="77777777" w:rsidR="00FC5566" w:rsidRPr="00FC5566" w:rsidRDefault="00FC5566" w:rsidP="00FC5566">
            <w:pPr>
              <w:widowControl w:val="0"/>
              <w:autoSpaceDE w:val="0"/>
              <w:autoSpaceDN w:val="0"/>
              <w:ind w:left="114" w:right="121"/>
              <w:rPr>
                <w:sz w:val="16"/>
                <w:szCs w:val="16"/>
              </w:rPr>
            </w:pPr>
            <w:r w:rsidRPr="00FC5566">
              <w:rPr>
                <w:sz w:val="16"/>
                <w:szCs w:val="16"/>
              </w:rPr>
              <w:t>Exceptions Item (1.)</w:t>
            </w:r>
          </w:p>
        </w:tc>
        <w:tc>
          <w:tcPr>
            <w:tcW w:w="6983" w:type="dxa"/>
          </w:tcPr>
          <w:p w14:paraId="2DFAABF0" w14:textId="77777777" w:rsidR="00FC5566" w:rsidRPr="00FC5566" w:rsidRDefault="00FC5566" w:rsidP="00FC5566">
            <w:pPr>
              <w:widowControl w:val="0"/>
              <w:autoSpaceDE w:val="0"/>
              <w:autoSpaceDN w:val="0"/>
              <w:ind w:left="114" w:right="83"/>
              <w:rPr>
                <w:sz w:val="16"/>
                <w:szCs w:val="16"/>
                <w:lang w:val="en"/>
              </w:rPr>
            </w:pPr>
            <w:r w:rsidRPr="00FC5566">
              <w:rPr>
                <w:sz w:val="16"/>
                <w:szCs w:val="16"/>
                <w:lang w:val="en"/>
              </w:rPr>
              <w:t>1. Kitchen range hoods and bathroom exhaust fans that are ducted to the outside shall not require testing.</w:t>
            </w:r>
          </w:p>
        </w:tc>
      </w:tr>
      <w:tr w:rsidR="00FC5566" w:rsidRPr="00FC5566" w14:paraId="48AFBB6F" w14:textId="77777777" w:rsidTr="00B247D5">
        <w:trPr>
          <w:trHeight w:val="274"/>
        </w:trPr>
        <w:tc>
          <w:tcPr>
            <w:tcW w:w="1062" w:type="dxa"/>
          </w:tcPr>
          <w:p w14:paraId="7832C17B" w14:textId="77777777" w:rsidR="00FC5566" w:rsidRPr="00FC5566" w:rsidRDefault="00FC5566" w:rsidP="00FC5566">
            <w:pPr>
              <w:widowControl w:val="0"/>
              <w:autoSpaceDE w:val="0"/>
              <w:autoSpaceDN w:val="0"/>
              <w:jc w:val="center"/>
              <w:rPr>
                <w:spacing w:val="-2"/>
                <w:sz w:val="16"/>
                <w:szCs w:val="16"/>
              </w:rPr>
            </w:pPr>
            <w:r w:rsidRPr="00FC5566">
              <w:rPr>
                <w:sz w:val="16"/>
                <w:szCs w:val="16"/>
              </w:rPr>
              <w:t>Repeal</w:t>
            </w:r>
          </w:p>
        </w:tc>
        <w:tc>
          <w:tcPr>
            <w:tcW w:w="2395" w:type="dxa"/>
          </w:tcPr>
          <w:p w14:paraId="4E358BA9" w14:textId="77777777" w:rsidR="00FC5566" w:rsidRPr="00FC5566" w:rsidRDefault="00FC5566" w:rsidP="00FC5566">
            <w:pPr>
              <w:widowControl w:val="0"/>
              <w:autoSpaceDE w:val="0"/>
              <w:autoSpaceDN w:val="0"/>
              <w:ind w:left="114" w:right="121"/>
              <w:rPr>
                <w:sz w:val="16"/>
                <w:szCs w:val="16"/>
              </w:rPr>
            </w:pPr>
            <w:r w:rsidRPr="00FC5566">
              <w:rPr>
                <w:sz w:val="16"/>
                <w:szCs w:val="16"/>
              </w:rPr>
              <w:t>Section R403.6.5, Intermittent Exhaust Control for Bathrooms and Toilet Rooms</w:t>
            </w:r>
          </w:p>
        </w:tc>
        <w:tc>
          <w:tcPr>
            <w:tcW w:w="6983" w:type="dxa"/>
          </w:tcPr>
          <w:p w14:paraId="773BB586" w14:textId="77777777" w:rsidR="00FC5566" w:rsidRPr="00FC5566" w:rsidRDefault="00FC5566" w:rsidP="00FC5566">
            <w:pPr>
              <w:widowControl w:val="0"/>
              <w:autoSpaceDE w:val="0"/>
              <w:autoSpaceDN w:val="0"/>
              <w:ind w:left="114" w:right="83"/>
              <w:rPr>
                <w:sz w:val="16"/>
                <w:szCs w:val="16"/>
                <w:lang w:val="en"/>
              </w:rPr>
            </w:pPr>
          </w:p>
        </w:tc>
      </w:tr>
      <w:tr w:rsidR="00FC5566" w:rsidRPr="00FC5566" w14:paraId="76FF815A" w14:textId="77777777" w:rsidTr="00B247D5">
        <w:trPr>
          <w:trHeight w:val="184"/>
        </w:trPr>
        <w:tc>
          <w:tcPr>
            <w:tcW w:w="1062" w:type="dxa"/>
          </w:tcPr>
          <w:p w14:paraId="18B65E94"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395" w:type="dxa"/>
          </w:tcPr>
          <w:p w14:paraId="275711A9" w14:textId="77777777" w:rsidR="00FC5566" w:rsidRPr="00FC5566" w:rsidRDefault="00FC5566" w:rsidP="00FC5566">
            <w:pPr>
              <w:widowControl w:val="0"/>
              <w:autoSpaceDE w:val="0"/>
              <w:autoSpaceDN w:val="0"/>
              <w:ind w:left="114" w:right="121"/>
              <w:rPr>
                <w:sz w:val="16"/>
                <w:szCs w:val="16"/>
              </w:rPr>
            </w:pPr>
            <w:r w:rsidRPr="00FC5566">
              <w:rPr>
                <w:sz w:val="16"/>
                <w:szCs w:val="16"/>
              </w:rPr>
              <w:t>Section R403.9.1, Heating Outside a Building.</w:t>
            </w:r>
          </w:p>
        </w:tc>
        <w:tc>
          <w:tcPr>
            <w:tcW w:w="6983" w:type="dxa"/>
          </w:tcPr>
          <w:p w14:paraId="524D3538" w14:textId="77777777" w:rsidR="00FC5566" w:rsidRPr="00FC5566" w:rsidRDefault="00FC5566" w:rsidP="00FC5566">
            <w:pPr>
              <w:widowControl w:val="0"/>
              <w:autoSpaceDE w:val="0"/>
              <w:autoSpaceDN w:val="0"/>
              <w:ind w:left="114" w:right="83"/>
              <w:rPr>
                <w:sz w:val="16"/>
                <w:szCs w:val="16"/>
                <w:lang w:val="en"/>
              </w:rPr>
            </w:pPr>
            <w:r w:rsidRPr="00FC5566">
              <w:rPr>
                <w:sz w:val="16"/>
                <w:szCs w:val="16"/>
                <w:lang w:val="en"/>
              </w:rPr>
              <w:t>Systems installed to provide heat outside a building shall be controlled by an occupancy-sensing device or a timer switch, so that the system is automatically de-energized when occupants are not present.</w:t>
            </w:r>
          </w:p>
        </w:tc>
      </w:tr>
      <w:tr w:rsidR="00FC5566" w:rsidRPr="00FC5566" w14:paraId="26F5DCAA" w14:textId="77777777" w:rsidTr="00B247D5">
        <w:trPr>
          <w:trHeight w:val="184"/>
        </w:trPr>
        <w:tc>
          <w:tcPr>
            <w:tcW w:w="1062" w:type="dxa"/>
          </w:tcPr>
          <w:p w14:paraId="43125BFF"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Repeal</w:t>
            </w:r>
          </w:p>
        </w:tc>
        <w:tc>
          <w:tcPr>
            <w:tcW w:w="2395" w:type="dxa"/>
          </w:tcPr>
          <w:p w14:paraId="32601AAE" w14:textId="77777777" w:rsidR="00FC5566" w:rsidRPr="00FC5566" w:rsidRDefault="00FC5566" w:rsidP="00FC5566">
            <w:pPr>
              <w:widowControl w:val="0"/>
              <w:autoSpaceDE w:val="0"/>
              <w:autoSpaceDN w:val="0"/>
              <w:ind w:left="114" w:right="121"/>
              <w:rPr>
                <w:sz w:val="16"/>
                <w:szCs w:val="16"/>
              </w:rPr>
            </w:pPr>
            <w:r w:rsidRPr="00FC5566">
              <w:rPr>
                <w:sz w:val="16"/>
                <w:szCs w:val="16"/>
              </w:rPr>
              <w:t>Section R404.2.1, Habitable Spaces.</w:t>
            </w:r>
          </w:p>
        </w:tc>
        <w:tc>
          <w:tcPr>
            <w:tcW w:w="6983" w:type="dxa"/>
          </w:tcPr>
          <w:p w14:paraId="2BEC6545" w14:textId="77777777" w:rsidR="00FC5566" w:rsidRPr="00FC5566" w:rsidRDefault="00FC5566" w:rsidP="00FC5566">
            <w:pPr>
              <w:widowControl w:val="0"/>
              <w:autoSpaceDE w:val="0"/>
              <w:autoSpaceDN w:val="0"/>
              <w:ind w:left="114" w:right="83"/>
              <w:rPr>
                <w:sz w:val="16"/>
                <w:szCs w:val="16"/>
                <w:lang w:val="en"/>
              </w:rPr>
            </w:pPr>
          </w:p>
        </w:tc>
      </w:tr>
      <w:tr w:rsidR="00FC5566" w:rsidRPr="00FC5566" w14:paraId="7DFB3145" w14:textId="77777777" w:rsidTr="00B247D5">
        <w:trPr>
          <w:trHeight w:val="184"/>
        </w:trPr>
        <w:tc>
          <w:tcPr>
            <w:tcW w:w="1062" w:type="dxa"/>
          </w:tcPr>
          <w:p w14:paraId="411F1C02"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Repeal</w:t>
            </w:r>
          </w:p>
        </w:tc>
        <w:tc>
          <w:tcPr>
            <w:tcW w:w="2395" w:type="dxa"/>
          </w:tcPr>
          <w:p w14:paraId="61823FAF" w14:textId="77777777" w:rsidR="00FC5566" w:rsidRPr="00FC5566" w:rsidRDefault="00FC5566" w:rsidP="00FC5566">
            <w:pPr>
              <w:widowControl w:val="0"/>
              <w:autoSpaceDE w:val="0"/>
              <w:autoSpaceDN w:val="0"/>
              <w:ind w:left="114" w:right="121"/>
              <w:rPr>
                <w:sz w:val="16"/>
                <w:szCs w:val="16"/>
              </w:rPr>
            </w:pPr>
            <w:r w:rsidRPr="00FC5566">
              <w:rPr>
                <w:sz w:val="16"/>
                <w:szCs w:val="16"/>
              </w:rPr>
              <w:t>Section R404.2.2, Specific Locations.</w:t>
            </w:r>
          </w:p>
        </w:tc>
        <w:tc>
          <w:tcPr>
            <w:tcW w:w="6983" w:type="dxa"/>
          </w:tcPr>
          <w:p w14:paraId="5CD1F6F0" w14:textId="77777777" w:rsidR="00FC5566" w:rsidRPr="00FC5566" w:rsidRDefault="00FC5566" w:rsidP="00FC5566">
            <w:pPr>
              <w:widowControl w:val="0"/>
              <w:autoSpaceDE w:val="0"/>
              <w:autoSpaceDN w:val="0"/>
              <w:ind w:left="114" w:right="83"/>
              <w:rPr>
                <w:sz w:val="16"/>
                <w:szCs w:val="16"/>
                <w:lang w:val="en"/>
              </w:rPr>
            </w:pPr>
          </w:p>
        </w:tc>
      </w:tr>
      <w:tr w:rsidR="00FC5566" w:rsidRPr="00FC5566" w14:paraId="5D8AC17B" w14:textId="77777777" w:rsidTr="00B247D5">
        <w:trPr>
          <w:trHeight w:val="184"/>
        </w:trPr>
        <w:tc>
          <w:tcPr>
            <w:tcW w:w="1062" w:type="dxa"/>
          </w:tcPr>
          <w:p w14:paraId="289E2D56"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Repeal</w:t>
            </w:r>
          </w:p>
        </w:tc>
        <w:tc>
          <w:tcPr>
            <w:tcW w:w="2395" w:type="dxa"/>
          </w:tcPr>
          <w:p w14:paraId="573E0D17" w14:textId="77777777" w:rsidR="00FC5566" w:rsidRPr="00FC5566" w:rsidRDefault="00FC5566" w:rsidP="00FC5566">
            <w:pPr>
              <w:widowControl w:val="0"/>
              <w:autoSpaceDE w:val="0"/>
              <w:autoSpaceDN w:val="0"/>
              <w:ind w:left="114" w:right="121"/>
              <w:rPr>
                <w:sz w:val="16"/>
                <w:szCs w:val="16"/>
              </w:rPr>
            </w:pPr>
            <w:r w:rsidRPr="00FC5566">
              <w:rPr>
                <w:sz w:val="16"/>
                <w:szCs w:val="16"/>
              </w:rPr>
              <w:t>Section R404.3, Exterior Lighting Controls.</w:t>
            </w:r>
          </w:p>
        </w:tc>
        <w:tc>
          <w:tcPr>
            <w:tcW w:w="6983" w:type="dxa"/>
          </w:tcPr>
          <w:p w14:paraId="028904D3" w14:textId="77777777" w:rsidR="00FC5566" w:rsidRPr="00FC5566" w:rsidRDefault="00FC5566" w:rsidP="00FC5566">
            <w:pPr>
              <w:widowControl w:val="0"/>
              <w:autoSpaceDE w:val="0"/>
              <w:autoSpaceDN w:val="0"/>
              <w:ind w:left="114" w:right="83"/>
              <w:rPr>
                <w:sz w:val="16"/>
                <w:szCs w:val="16"/>
                <w:lang w:val="en"/>
              </w:rPr>
            </w:pPr>
          </w:p>
        </w:tc>
      </w:tr>
      <w:tr w:rsidR="00FC5566" w:rsidRPr="00FC5566" w14:paraId="64742A45" w14:textId="77777777" w:rsidTr="00B247D5">
        <w:trPr>
          <w:trHeight w:val="184"/>
        </w:trPr>
        <w:tc>
          <w:tcPr>
            <w:tcW w:w="1062" w:type="dxa"/>
          </w:tcPr>
          <w:p w14:paraId="2F2D79AF"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Repeal</w:t>
            </w:r>
          </w:p>
        </w:tc>
        <w:tc>
          <w:tcPr>
            <w:tcW w:w="2395" w:type="dxa"/>
          </w:tcPr>
          <w:p w14:paraId="7EA1EB90" w14:textId="77777777" w:rsidR="00FC5566" w:rsidRPr="00FC5566" w:rsidRDefault="00FC5566" w:rsidP="00FC5566">
            <w:pPr>
              <w:widowControl w:val="0"/>
              <w:autoSpaceDE w:val="0"/>
              <w:autoSpaceDN w:val="0"/>
              <w:ind w:left="114" w:right="121"/>
              <w:rPr>
                <w:sz w:val="16"/>
                <w:szCs w:val="16"/>
              </w:rPr>
            </w:pPr>
            <w:r w:rsidRPr="00FC5566">
              <w:rPr>
                <w:sz w:val="16"/>
                <w:szCs w:val="16"/>
              </w:rPr>
              <w:t>Section R404.3.1, Controls for Individual Dwelling Units.</w:t>
            </w:r>
          </w:p>
        </w:tc>
        <w:tc>
          <w:tcPr>
            <w:tcW w:w="6983" w:type="dxa"/>
          </w:tcPr>
          <w:p w14:paraId="24D6EDF9" w14:textId="77777777" w:rsidR="00FC5566" w:rsidRPr="00FC5566" w:rsidRDefault="00FC5566" w:rsidP="00FC5566">
            <w:pPr>
              <w:widowControl w:val="0"/>
              <w:autoSpaceDE w:val="0"/>
              <w:autoSpaceDN w:val="0"/>
              <w:ind w:left="114" w:right="83"/>
              <w:rPr>
                <w:sz w:val="16"/>
                <w:szCs w:val="16"/>
                <w:lang w:val="en"/>
              </w:rPr>
            </w:pPr>
          </w:p>
        </w:tc>
      </w:tr>
      <w:tr w:rsidR="00FC5566" w:rsidRPr="00FC5566" w14:paraId="73F9D67F" w14:textId="77777777" w:rsidTr="00B247D5">
        <w:trPr>
          <w:trHeight w:val="184"/>
        </w:trPr>
        <w:tc>
          <w:tcPr>
            <w:tcW w:w="1062" w:type="dxa"/>
          </w:tcPr>
          <w:p w14:paraId="5786777A"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Repeal</w:t>
            </w:r>
          </w:p>
        </w:tc>
        <w:tc>
          <w:tcPr>
            <w:tcW w:w="2395" w:type="dxa"/>
          </w:tcPr>
          <w:p w14:paraId="5CA25810" w14:textId="77777777" w:rsidR="00FC5566" w:rsidRPr="00FC5566" w:rsidRDefault="00FC5566" w:rsidP="00FC5566">
            <w:pPr>
              <w:widowControl w:val="0"/>
              <w:autoSpaceDE w:val="0"/>
              <w:autoSpaceDN w:val="0"/>
              <w:ind w:left="114" w:right="121"/>
              <w:rPr>
                <w:sz w:val="16"/>
                <w:szCs w:val="16"/>
              </w:rPr>
            </w:pPr>
            <w:r w:rsidRPr="00FC5566">
              <w:rPr>
                <w:sz w:val="16"/>
                <w:szCs w:val="16"/>
              </w:rPr>
              <w:t>Section R404.4, Renewable Energy Certificate (REC) Documentation.</w:t>
            </w:r>
          </w:p>
        </w:tc>
        <w:tc>
          <w:tcPr>
            <w:tcW w:w="6983" w:type="dxa"/>
          </w:tcPr>
          <w:p w14:paraId="5B19485C" w14:textId="77777777" w:rsidR="00FC5566" w:rsidRPr="00FC5566" w:rsidRDefault="00FC5566" w:rsidP="00FC5566">
            <w:pPr>
              <w:widowControl w:val="0"/>
              <w:autoSpaceDE w:val="0"/>
              <w:autoSpaceDN w:val="0"/>
              <w:ind w:left="114" w:right="83"/>
              <w:rPr>
                <w:sz w:val="16"/>
                <w:szCs w:val="16"/>
                <w:lang w:val="en"/>
              </w:rPr>
            </w:pPr>
          </w:p>
        </w:tc>
      </w:tr>
      <w:tr w:rsidR="00FC5566" w:rsidRPr="00FC5566" w14:paraId="042966C0" w14:textId="77777777" w:rsidTr="00B247D5">
        <w:trPr>
          <w:trHeight w:val="184"/>
        </w:trPr>
        <w:tc>
          <w:tcPr>
            <w:tcW w:w="1062" w:type="dxa"/>
          </w:tcPr>
          <w:p w14:paraId="52A6C79D" w14:textId="77777777" w:rsidR="00FC5566" w:rsidRPr="00FC5566" w:rsidRDefault="00FC5566" w:rsidP="00FC5566">
            <w:pPr>
              <w:widowControl w:val="0"/>
              <w:autoSpaceDE w:val="0"/>
              <w:autoSpaceDN w:val="0"/>
              <w:jc w:val="center"/>
              <w:rPr>
                <w:sz w:val="16"/>
                <w:szCs w:val="16"/>
              </w:rPr>
            </w:pPr>
            <w:r w:rsidRPr="00FC5566">
              <w:rPr>
                <w:sz w:val="16"/>
                <w:szCs w:val="16"/>
              </w:rPr>
              <w:t>Amend</w:t>
            </w:r>
          </w:p>
        </w:tc>
        <w:tc>
          <w:tcPr>
            <w:tcW w:w="2395" w:type="dxa"/>
          </w:tcPr>
          <w:p w14:paraId="6344A714" w14:textId="77777777" w:rsidR="00FC5566" w:rsidRPr="00FC5566" w:rsidRDefault="00FC5566" w:rsidP="00FC5566">
            <w:pPr>
              <w:widowControl w:val="0"/>
              <w:autoSpaceDE w:val="0"/>
              <w:autoSpaceDN w:val="0"/>
              <w:ind w:left="114" w:right="121"/>
              <w:rPr>
                <w:sz w:val="16"/>
                <w:szCs w:val="16"/>
              </w:rPr>
            </w:pPr>
            <w:r w:rsidRPr="00FC5566">
              <w:rPr>
                <w:sz w:val="16"/>
                <w:szCs w:val="16"/>
                <w:lang w:val="en"/>
              </w:rPr>
              <w:t>T</w:t>
            </w:r>
            <w:r w:rsidRPr="00FC5566">
              <w:rPr>
                <w:sz w:val="16"/>
                <w:szCs w:val="16"/>
              </w:rPr>
              <w:t>able</w:t>
            </w:r>
            <w:r w:rsidRPr="00FC5566">
              <w:rPr>
                <w:sz w:val="16"/>
                <w:szCs w:val="16"/>
                <w:lang w:val="en"/>
              </w:rPr>
              <w:t xml:space="preserve"> R405.4.2</w:t>
            </w:r>
            <w:r w:rsidRPr="00FC5566">
              <w:rPr>
                <w:sz w:val="16"/>
                <w:szCs w:val="16"/>
              </w:rPr>
              <w:t>, Specifications for the Standard Reference and Proposed Designs</w:t>
            </w:r>
          </w:p>
        </w:tc>
        <w:tc>
          <w:tcPr>
            <w:tcW w:w="6983" w:type="dxa"/>
          </w:tcPr>
          <w:p w14:paraId="5BCA8A53" w14:textId="77777777" w:rsidR="00FC5566" w:rsidRPr="00FC5566" w:rsidRDefault="00FC5566" w:rsidP="00FC5566">
            <w:pPr>
              <w:widowControl w:val="0"/>
              <w:autoSpaceDE w:val="0"/>
              <w:autoSpaceDN w:val="0"/>
              <w:ind w:left="114" w:right="83"/>
              <w:rPr>
                <w:sz w:val="16"/>
                <w:szCs w:val="16"/>
              </w:rPr>
            </w:pPr>
          </w:p>
        </w:tc>
      </w:tr>
      <w:tr w:rsidR="00FC5566" w:rsidRPr="00FC5566" w14:paraId="2F5DC73D" w14:textId="77777777" w:rsidTr="00B247D5">
        <w:trPr>
          <w:trHeight w:val="184"/>
        </w:trPr>
        <w:tc>
          <w:tcPr>
            <w:tcW w:w="1062" w:type="dxa"/>
          </w:tcPr>
          <w:p w14:paraId="43578A00" w14:textId="77777777" w:rsidR="00FC5566" w:rsidRPr="00FC5566" w:rsidRDefault="00FC5566" w:rsidP="00FC5566">
            <w:pPr>
              <w:widowControl w:val="0"/>
              <w:autoSpaceDE w:val="0"/>
              <w:autoSpaceDN w:val="0"/>
              <w:jc w:val="center"/>
              <w:rPr>
                <w:spacing w:val="-2"/>
                <w:sz w:val="16"/>
                <w:szCs w:val="16"/>
              </w:rPr>
            </w:pPr>
            <w:r w:rsidRPr="00FC5566">
              <w:rPr>
                <w:sz w:val="16"/>
                <w:szCs w:val="16"/>
              </w:rPr>
              <w:t>Amend</w:t>
            </w:r>
          </w:p>
        </w:tc>
        <w:tc>
          <w:tcPr>
            <w:tcW w:w="2395" w:type="dxa"/>
          </w:tcPr>
          <w:p w14:paraId="1055E8F6" w14:textId="77777777" w:rsidR="00FC5566" w:rsidRPr="00FC5566" w:rsidRDefault="00FC5566" w:rsidP="00FC5566">
            <w:pPr>
              <w:widowControl w:val="0"/>
              <w:autoSpaceDE w:val="0"/>
              <w:autoSpaceDN w:val="0"/>
              <w:ind w:left="114" w:right="121"/>
              <w:rPr>
                <w:sz w:val="16"/>
                <w:szCs w:val="16"/>
              </w:rPr>
            </w:pPr>
            <w:r w:rsidRPr="00FC5566">
              <w:rPr>
                <w:sz w:val="16"/>
                <w:szCs w:val="16"/>
              </w:rPr>
              <w:t>Row (Air leakage rate), Column (Standard Reference Design)</w:t>
            </w:r>
          </w:p>
        </w:tc>
        <w:tc>
          <w:tcPr>
            <w:tcW w:w="6983" w:type="dxa"/>
          </w:tcPr>
          <w:p w14:paraId="4AD6D95E" w14:textId="77777777" w:rsidR="00FC5566" w:rsidRPr="00FC5566" w:rsidRDefault="00FC5566" w:rsidP="00FC5566">
            <w:pPr>
              <w:widowControl w:val="0"/>
              <w:autoSpaceDE w:val="0"/>
              <w:autoSpaceDN w:val="0"/>
              <w:ind w:left="114" w:right="83"/>
              <w:rPr>
                <w:sz w:val="16"/>
                <w:szCs w:val="16"/>
                <w:lang w:val="en"/>
              </w:rPr>
            </w:pPr>
            <w:r w:rsidRPr="00FC5566">
              <w:rPr>
                <w:sz w:val="16"/>
                <w:szCs w:val="16"/>
              </w:rPr>
              <w:t>For detached one-family dwellings, the air leakage rate at a pressure of 0.2 inch water gauge (50 Pa) shall be as follows:</w:t>
            </w:r>
            <w:r w:rsidRPr="00FC5566">
              <w:rPr>
                <w:sz w:val="16"/>
                <w:szCs w:val="16"/>
              </w:rPr>
              <w:br/>
              <w:t>Climate Zones 0 through 2: 7.0 air changes per hour.</w:t>
            </w:r>
            <w:r w:rsidRPr="00FC5566">
              <w:rPr>
                <w:sz w:val="16"/>
                <w:szCs w:val="16"/>
              </w:rPr>
              <w:br/>
              <w:t>Climate Zones 3, 4 and 5: 3.0 air changes per hour.</w:t>
            </w:r>
            <w:r w:rsidRPr="00FC5566">
              <w:rPr>
                <w:sz w:val="16"/>
                <w:szCs w:val="16"/>
              </w:rPr>
              <w:br/>
              <w:t>Climate Zones 6 through 8: 2.5 air changes per hour.</w:t>
            </w:r>
            <w:r w:rsidRPr="00FC5566">
              <w:rPr>
                <w:sz w:val="16"/>
                <w:szCs w:val="16"/>
              </w:rPr>
              <w:br/>
              <w:t>For detached one-family dwellings that are 1,500 ft</w:t>
            </w:r>
            <w:r w:rsidRPr="00FC5566">
              <w:rPr>
                <w:sz w:val="16"/>
                <w:szCs w:val="16"/>
                <w:vertAlign w:val="superscript"/>
              </w:rPr>
              <w:t>2</w:t>
            </w:r>
            <w:r w:rsidRPr="00FC5566">
              <w:rPr>
                <w:sz w:val="16"/>
                <w:szCs w:val="16"/>
              </w:rPr>
              <w:t> or smaller and attached dwelling units or sleeping units, the air leakage rate at a pressure of 0.2 inch water gauge (50 Pa) shall be 0.48 cfm/ft</w:t>
            </w:r>
            <w:r w:rsidRPr="00FC5566">
              <w:rPr>
                <w:sz w:val="16"/>
                <w:szCs w:val="16"/>
                <w:vertAlign w:val="superscript"/>
              </w:rPr>
              <w:t>2</w:t>
            </w:r>
            <w:r w:rsidRPr="00FC5566">
              <w:rPr>
                <w:sz w:val="16"/>
                <w:szCs w:val="16"/>
              </w:rPr>
              <w:t> of the testing unit enclosure area.</w:t>
            </w:r>
          </w:p>
        </w:tc>
      </w:tr>
      <w:tr w:rsidR="00FC5566" w:rsidRPr="00FC5566" w14:paraId="231D2952" w14:textId="77777777" w:rsidTr="00B247D5">
        <w:trPr>
          <w:trHeight w:val="184"/>
        </w:trPr>
        <w:tc>
          <w:tcPr>
            <w:tcW w:w="1062" w:type="dxa"/>
          </w:tcPr>
          <w:p w14:paraId="3BB12BB4" w14:textId="77777777" w:rsidR="00FC5566" w:rsidRPr="00FC5566" w:rsidRDefault="00FC5566" w:rsidP="00FC5566">
            <w:pPr>
              <w:widowControl w:val="0"/>
              <w:autoSpaceDE w:val="0"/>
              <w:autoSpaceDN w:val="0"/>
              <w:jc w:val="center"/>
              <w:rPr>
                <w:sz w:val="16"/>
                <w:szCs w:val="16"/>
              </w:rPr>
            </w:pPr>
            <w:r w:rsidRPr="00FC5566">
              <w:rPr>
                <w:spacing w:val="-2"/>
                <w:sz w:val="16"/>
                <w:szCs w:val="16"/>
              </w:rPr>
              <w:t>Amend</w:t>
            </w:r>
          </w:p>
        </w:tc>
        <w:tc>
          <w:tcPr>
            <w:tcW w:w="2395" w:type="dxa"/>
          </w:tcPr>
          <w:p w14:paraId="16E6693E" w14:textId="77777777" w:rsidR="00FC5566" w:rsidRPr="00FC5566" w:rsidRDefault="00FC5566" w:rsidP="00FC5566">
            <w:pPr>
              <w:widowControl w:val="0"/>
              <w:autoSpaceDE w:val="0"/>
              <w:autoSpaceDN w:val="0"/>
              <w:ind w:left="114" w:right="121"/>
              <w:rPr>
                <w:sz w:val="16"/>
                <w:szCs w:val="16"/>
              </w:rPr>
            </w:pPr>
            <w:r w:rsidRPr="00FC5566">
              <w:rPr>
                <w:sz w:val="16"/>
                <w:szCs w:val="16"/>
              </w:rPr>
              <w:t>Section R405.5.4.2, Compliance Report for Certificate of Occupancy.</w:t>
            </w:r>
          </w:p>
        </w:tc>
        <w:tc>
          <w:tcPr>
            <w:tcW w:w="6983" w:type="dxa"/>
          </w:tcPr>
          <w:p w14:paraId="206022A0" w14:textId="77777777" w:rsidR="00FC5566" w:rsidRPr="00FC5566" w:rsidRDefault="00FC5566" w:rsidP="00FC5566">
            <w:pPr>
              <w:widowControl w:val="0"/>
              <w:autoSpaceDE w:val="0"/>
              <w:autoSpaceDN w:val="0"/>
              <w:ind w:left="114" w:right="83"/>
              <w:rPr>
                <w:sz w:val="16"/>
                <w:szCs w:val="16"/>
              </w:rPr>
            </w:pPr>
          </w:p>
        </w:tc>
      </w:tr>
      <w:tr w:rsidR="00FC5566" w:rsidRPr="00FC5566" w14:paraId="50110D79" w14:textId="77777777" w:rsidTr="00B247D5">
        <w:trPr>
          <w:trHeight w:val="184"/>
        </w:trPr>
        <w:tc>
          <w:tcPr>
            <w:tcW w:w="1062" w:type="dxa"/>
          </w:tcPr>
          <w:p w14:paraId="30C6F66C" w14:textId="77777777" w:rsidR="00FC5566" w:rsidRPr="00FC5566" w:rsidRDefault="00FC5566" w:rsidP="00FC5566">
            <w:pPr>
              <w:widowControl w:val="0"/>
              <w:autoSpaceDE w:val="0"/>
              <w:autoSpaceDN w:val="0"/>
              <w:jc w:val="center"/>
              <w:rPr>
                <w:sz w:val="16"/>
                <w:szCs w:val="16"/>
              </w:rPr>
            </w:pPr>
            <w:r w:rsidRPr="00FC5566">
              <w:rPr>
                <w:spacing w:val="-2"/>
                <w:sz w:val="16"/>
                <w:szCs w:val="16"/>
              </w:rPr>
              <w:t>Amend</w:t>
            </w:r>
          </w:p>
        </w:tc>
        <w:tc>
          <w:tcPr>
            <w:tcW w:w="2395" w:type="dxa"/>
          </w:tcPr>
          <w:p w14:paraId="5BE85996" w14:textId="77777777" w:rsidR="00FC5566" w:rsidRPr="00FC5566" w:rsidRDefault="00FC5566" w:rsidP="00FC5566">
            <w:pPr>
              <w:widowControl w:val="0"/>
              <w:autoSpaceDE w:val="0"/>
              <w:autoSpaceDN w:val="0"/>
              <w:ind w:left="114" w:right="121"/>
              <w:rPr>
                <w:sz w:val="16"/>
                <w:szCs w:val="16"/>
              </w:rPr>
            </w:pPr>
            <w:r w:rsidRPr="00FC5566">
              <w:rPr>
                <w:sz w:val="16"/>
                <w:szCs w:val="16"/>
              </w:rPr>
              <w:t>Item (6.)</w:t>
            </w:r>
          </w:p>
        </w:tc>
        <w:tc>
          <w:tcPr>
            <w:tcW w:w="6983" w:type="dxa"/>
          </w:tcPr>
          <w:p w14:paraId="7BC1ACD9" w14:textId="77777777" w:rsidR="00FC5566" w:rsidRPr="00FC5566" w:rsidRDefault="00FC5566" w:rsidP="00FC5566">
            <w:pPr>
              <w:widowControl w:val="0"/>
              <w:autoSpaceDE w:val="0"/>
              <w:autoSpaceDN w:val="0"/>
              <w:ind w:left="114" w:right="83"/>
              <w:rPr>
                <w:sz w:val="16"/>
                <w:szCs w:val="16"/>
              </w:rPr>
            </w:pPr>
            <w:r w:rsidRPr="00FC5566">
              <w:rPr>
                <w:sz w:val="16"/>
                <w:szCs w:val="16"/>
                <w:lang w:val="en"/>
              </w:rPr>
              <w:t xml:space="preserve">6. A final confirmed certificate indicating compliance based on inspection, and a statement indicating that the as-built building complies with Section R405.2. The certificate shall report the energy features that were confirmed to be in the building, including component-level insulation R-values or U-factors; results from any required duct system and building thermal  envelope air leakage testing </w:t>
            </w:r>
            <w:r w:rsidRPr="00FC5566">
              <w:rPr>
                <w:i/>
                <w:iCs/>
                <w:sz w:val="16"/>
                <w:szCs w:val="16"/>
                <w:lang w:val="en"/>
              </w:rPr>
              <w:t>which must include a geotagged photo of the testing equipment displaying the results</w:t>
            </w:r>
            <w:r w:rsidRPr="00FC5566">
              <w:rPr>
                <w:sz w:val="16"/>
                <w:szCs w:val="16"/>
                <w:lang w:val="en"/>
              </w:rPr>
              <w:t xml:space="preserve"> and the type and rated </w:t>
            </w:r>
            <w:r w:rsidRPr="00FC5566">
              <w:rPr>
                <w:sz w:val="16"/>
                <w:szCs w:val="16"/>
                <w:lang w:val="en"/>
              </w:rPr>
              <w:lastRenderedPageBreak/>
              <w:t>efficiencies of the heating, cooling, mechanical ventilation and service water-heating equipment installed.</w:t>
            </w:r>
          </w:p>
        </w:tc>
      </w:tr>
      <w:tr w:rsidR="00FC5566" w:rsidRPr="00FC5566" w14:paraId="22D8BD81" w14:textId="77777777" w:rsidTr="00B247D5">
        <w:trPr>
          <w:trHeight w:val="184"/>
        </w:trPr>
        <w:tc>
          <w:tcPr>
            <w:tcW w:w="1062" w:type="dxa"/>
          </w:tcPr>
          <w:p w14:paraId="393EB28D"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lastRenderedPageBreak/>
              <w:t>Adopt</w:t>
            </w:r>
          </w:p>
        </w:tc>
        <w:tc>
          <w:tcPr>
            <w:tcW w:w="2395" w:type="dxa"/>
          </w:tcPr>
          <w:p w14:paraId="35548BA9" w14:textId="77777777" w:rsidR="00FC5566" w:rsidRPr="00FC5566" w:rsidRDefault="00FC5566" w:rsidP="00FC5566">
            <w:pPr>
              <w:widowControl w:val="0"/>
              <w:autoSpaceDE w:val="0"/>
              <w:autoSpaceDN w:val="0"/>
              <w:ind w:left="114" w:right="121"/>
              <w:rPr>
                <w:sz w:val="16"/>
                <w:szCs w:val="16"/>
              </w:rPr>
            </w:pPr>
            <w:r w:rsidRPr="00FC5566">
              <w:rPr>
                <w:sz w:val="16"/>
                <w:szCs w:val="16"/>
              </w:rPr>
              <w:t>Section R406.4.1, Energy Rating Index.</w:t>
            </w:r>
          </w:p>
        </w:tc>
        <w:tc>
          <w:tcPr>
            <w:tcW w:w="6983" w:type="dxa"/>
          </w:tcPr>
          <w:p w14:paraId="077EB454" w14:textId="77777777" w:rsidR="00FC5566" w:rsidRPr="00FC5566" w:rsidRDefault="00FC5566" w:rsidP="00FC5566">
            <w:pPr>
              <w:widowControl w:val="0"/>
              <w:autoSpaceDE w:val="0"/>
              <w:autoSpaceDN w:val="0"/>
              <w:ind w:left="114" w:right="83"/>
              <w:rPr>
                <w:sz w:val="16"/>
                <w:szCs w:val="16"/>
                <w:lang w:val="en"/>
              </w:rPr>
            </w:pPr>
            <w:r w:rsidRPr="00FC5566">
              <w:rPr>
                <w:sz w:val="16"/>
                <w:szCs w:val="16"/>
                <w:lang w:val="en"/>
              </w:rPr>
              <w:t>HERS calculation method shall be considered an equivalent to the ERI analysis in calculating compliance.</w:t>
            </w:r>
          </w:p>
        </w:tc>
      </w:tr>
      <w:tr w:rsidR="00FC5566" w:rsidRPr="00FC5566" w14:paraId="2C09B273" w14:textId="77777777" w:rsidTr="00B247D5">
        <w:trPr>
          <w:trHeight w:val="184"/>
        </w:trPr>
        <w:tc>
          <w:tcPr>
            <w:tcW w:w="1062" w:type="dxa"/>
          </w:tcPr>
          <w:p w14:paraId="6FEAC02C"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395" w:type="dxa"/>
          </w:tcPr>
          <w:p w14:paraId="1BDB4EAC" w14:textId="77777777" w:rsidR="00FC5566" w:rsidRPr="00FC5566" w:rsidRDefault="00FC5566" w:rsidP="00FC5566">
            <w:pPr>
              <w:widowControl w:val="0"/>
              <w:autoSpaceDE w:val="0"/>
              <w:autoSpaceDN w:val="0"/>
              <w:ind w:left="114" w:right="121"/>
              <w:rPr>
                <w:sz w:val="16"/>
                <w:szCs w:val="16"/>
              </w:rPr>
            </w:pPr>
            <w:r w:rsidRPr="00FC5566">
              <w:rPr>
                <w:sz w:val="16"/>
                <w:szCs w:val="16"/>
              </w:rPr>
              <w:t>Table R406.5, Maximum Energy Rating Index</w:t>
            </w:r>
          </w:p>
        </w:tc>
        <w:tc>
          <w:tcPr>
            <w:tcW w:w="6983" w:type="dxa"/>
          </w:tcPr>
          <w:p w14:paraId="4765EB89" w14:textId="77777777" w:rsidR="00FC5566" w:rsidRPr="00FC5566" w:rsidRDefault="00FC5566" w:rsidP="00FC5566">
            <w:pPr>
              <w:widowControl w:val="0"/>
              <w:autoSpaceDE w:val="0"/>
              <w:autoSpaceDN w:val="0"/>
              <w:ind w:left="114" w:right="83"/>
              <w:rPr>
                <w:sz w:val="16"/>
                <w:szCs w:val="16"/>
                <w:lang w:val="en"/>
              </w:rPr>
            </w:pPr>
          </w:p>
        </w:tc>
      </w:tr>
      <w:tr w:rsidR="00FC5566" w:rsidRPr="00FC5566" w14:paraId="1D8A5165" w14:textId="77777777" w:rsidTr="00B247D5">
        <w:trPr>
          <w:trHeight w:val="184"/>
        </w:trPr>
        <w:tc>
          <w:tcPr>
            <w:tcW w:w="1062" w:type="dxa"/>
          </w:tcPr>
          <w:p w14:paraId="0B0FAACA"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395" w:type="dxa"/>
          </w:tcPr>
          <w:p w14:paraId="7317C605" w14:textId="77777777" w:rsidR="00FC5566" w:rsidRPr="00FC5566" w:rsidRDefault="00FC5566" w:rsidP="00FC5566">
            <w:pPr>
              <w:widowControl w:val="0"/>
              <w:autoSpaceDE w:val="0"/>
              <w:autoSpaceDN w:val="0"/>
              <w:ind w:left="114" w:right="121"/>
              <w:rPr>
                <w:sz w:val="16"/>
                <w:szCs w:val="16"/>
              </w:rPr>
            </w:pPr>
            <w:r w:rsidRPr="00FC5566">
              <w:rPr>
                <w:sz w:val="16"/>
                <w:szCs w:val="16"/>
              </w:rPr>
              <w:t>Row (Climate Zone - 2), Column (Energy Rating Index Not Including OPP - 51)</w:t>
            </w:r>
          </w:p>
        </w:tc>
        <w:tc>
          <w:tcPr>
            <w:tcW w:w="6983" w:type="dxa"/>
          </w:tcPr>
          <w:p w14:paraId="7214A852" w14:textId="77777777" w:rsidR="00FC5566" w:rsidRPr="00FC5566" w:rsidRDefault="00FC5566" w:rsidP="00FC5566">
            <w:pPr>
              <w:widowControl w:val="0"/>
              <w:autoSpaceDE w:val="0"/>
              <w:autoSpaceDN w:val="0"/>
              <w:ind w:left="114" w:right="83"/>
              <w:rPr>
                <w:sz w:val="16"/>
                <w:szCs w:val="16"/>
                <w:lang w:val="en"/>
              </w:rPr>
            </w:pPr>
            <w:r w:rsidRPr="00FC5566">
              <w:rPr>
                <w:sz w:val="16"/>
                <w:szCs w:val="16"/>
                <w:lang w:val="en"/>
              </w:rPr>
              <w:t>58</w:t>
            </w:r>
          </w:p>
        </w:tc>
      </w:tr>
      <w:tr w:rsidR="00FC5566" w:rsidRPr="00FC5566" w14:paraId="42440651" w14:textId="77777777" w:rsidTr="00B247D5">
        <w:trPr>
          <w:trHeight w:val="184"/>
        </w:trPr>
        <w:tc>
          <w:tcPr>
            <w:tcW w:w="1062" w:type="dxa"/>
          </w:tcPr>
          <w:p w14:paraId="5E61500E"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395" w:type="dxa"/>
          </w:tcPr>
          <w:p w14:paraId="5649040C" w14:textId="77777777" w:rsidR="00FC5566" w:rsidRPr="00FC5566" w:rsidRDefault="00FC5566" w:rsidP="00FC5566">
            <w:pPr>
              <w:widowControl w:val="0"/>
              <w:autoSpaceDE w:val="0"/>
              <w:autoSpaceDN w:val="0"/>
              <w:ind w:left="114" w:right="121"/>
              <w:rPr>
                <w:sz w:val="16"/>
                <w:szCs w:val="16"/>
              </w:rPr>
            </w:pPr>
            <w:r w:rsidRPr="00FC5566">
              <w:rPr>
                <w:sz w:val="16"/>
                <w:szCs w:val="16"/>
              </w:rPr>
              <w:t>Row (Climate Zone - 2), Column (Energy Rating Index With OPP - 34)</w:t>
            </w:r>
          </w:p>
        </w:tc>
        <w:tc>
          <w:tcPr>
            <w:tcW w:w="6983" w:type="dxa"/>
          </w:tcPr>
          <w:p w14:paraId="4A2D2DD4" w14:textId="77777777" w:rsidR="00FC5566" w:rsidRPr="00FC5566" w:rsidRDefault="00FC5566" w:rsidP="00FC5566">
            <w:pPr>
              <w:widowControl w:val="0"/>
              <w:autoSpaceDE w:val="0"/>
              <w:autoSpaceDN w:val="0"/>
              <w:ind w:left="114" w:right="83"/>
              <w:rPr>
                <w:sz w:val="16"/>
                <w:szCs w:val="16"/>
                <w:lang w:val="en"/>
              </w:rPr>
            </w:pPr>
            <w:r w:rsidRPr="00FC5566">
              <w:rPr>
                <w:sz w:val="16"/>
                <w:szCs w:val="16"/>
                <w:lang w:val="en"/>
              </w:rPr>
              <w:t>41</w:t>
            </w:r>
          </w:p>
        </w:tc>
      </w:tr>
      <w:tr w:rsidR="00FC5566" w:rsidRPr="00FC5566" w14:paraId="02AD23B6" w14:textId="77777777" w:rsidTr="00B247D5">
        <w:trPr>
          <w:trHeight w:val="184"/>
        </w:trPr>
        <w:tc>
          <w:tcPr>
            <w:tcW w:w="1062" w:type="dxa"/>
          </w:tcPr>
          <w:p w14:paraId="46B32545"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395" w:type="dxa"/>
          </w:tcPr>
          <w:p w14:paraId="61A9ABB8" w14:textId="77777777" w:rsidR="00FC5566" w:rsidRPr="00FC5566" w:rsidRDefault="00FC5566" w:rsidP="00FC5566">
            <w:pPr>
              <w:widowControl w:val="0"/>
              <w:autoSpaceDE w:val="0"/>
              <w:autoSpaceDN w:val="0"/>
              <w:ind w:left="114" w:right="121"/>
              <w:rPr>
                <w:sz w:val="16"/>
                <w:szCs w:val="16"/>
              </w:rPr>
            </w:pPr>
            <w:r w:rsidRPr="00FC5566">
              <w:rPr>
                <w:sz w:val="16"/>
                <w:szCs w:val="16"/>
              </w:rPr>
              <w:t>Section R406.7.2.2, Confirmed Compliance Report for a Certificate of Occupancy.</w:t>
            </w:r>
          </w:p>
        </w:tc>
        <w:tc>
          <w:tcPr>
            <w:tcW w:w="6983" w:type="dxa"/>
          </w:tcPr>
          <w:p w14:paraId="452DA203" w14:textId="77777777" w:rsidR="00FC5566" w:rsidRPr="00FC5566" w:rsidRDefault="00FC5566" w:rsidP="00FC5566">
            <w:pPr>
              <w:widowControl w:val="0"/>
              <w:autoSpaceDE w:val="0"/>
              <w:autoSpaceDN w:val="0"/>
              <w:ind w:left="114" w:right="83"/>
              <w:rPr>
                <w:sz w:val="16"/>
                <w:szCs w:val="16"/>
                <w:lang w:val="en"/>
              </w:rPr>
            </w:pPr>
          </w:p>
        </w:tc>
      </w:tr>
      <w:tr w:rsidR="00FC5566" w:rsidRPr="00FC5566" w14:paraId="05892470" w14:textId="77777777" w:rsidTr="00B247D5">
        <w:trPr>
          <w:trHeight w:val="184"/>
        </w:trPr>
        <w:tc>
          <w:tcPr>
            <w:tcW w:w="1062" w:type="dxa"/>
          </w:tcPr>
          <w:p w14:paraId="473FAFB2"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395" w:type="dxa"/>
          </w:tcPr>
          <w:p w14:paraId="71440A71" w14:textId="77777777" w:rsidR="00FC5566" w:rsidRPr="00FC5566" w:rsidRDefault="00FC5566" w:rsidP="00FC5566">
            <w:pPr>
              <w:widowControl w:val="0"/>
              <w:autoSpaceDE w:val="0"/>
              <w:autoSpaceDN w:val="0"/>
              <w:ind w:left="114" w:right="121"/>
              <w:rPr>
                <w:sz w:val="16"/>
                <w:szCs w:val="16"/>
              </w:rPr>
            </w:pPr>
            <w:r w:rsidRPr="00FC5566">
              <w:rPr>
                <w:sz w:val="16"/>
                <w:szCs w:val="16"/>
              </w:rPr>
              <w:t>Item (6.)</w:t>
            </w:r>
          </w:p>
        </w:tc>
        <w:tc>
          <w:tcPr>
            <w:tcW w:w="6983" w:type="dxa"/>
          </w:tcPr>
          <w:p w14:paraId="5A518C88" w14:textId="77777777" w:rsidR="00FC5566" w:rsidRPr="00FC5566" w:rsidRDefault="00FC5566" w:rsidP="00FC5566">
            <w:pPr>
              <w:widowControl w:val="0"/>
              <w:autoSpaceDE w:val="0"/>
              <w:autoSpaceDN w:val="0"/>
              <w:ind w:left="114" w:right="83"/>
              <w:rPr>
                <w:sz w:val="16"/>
                <w:szCs w:val="16"/>
                <w:lang w:val="en"/>
              </w:rPr>
            </w:pPr>
            <w:r w:rsidRPr="00FC5566">
              <w:rPr>
                <w:sz w:val="16"/>
                <w:szCs w:val="16"/>
                <w:lang w:val="en"/>
              </w:rPr>
              <w:t>6. A final confirmed certificate indicating that the as-built building complies with Sections R406.2, R406.4 and R406.5. The certificate shall report the energy features that were confirmed to be in the building, including: component-level insulation R-values or U-factors; results from any required duct system and building thermal envelope air leakage testing which must include a geotagged photo of the testing equipment displaying the results; and the type and rated efficiencies of the heating, cooling, mechanical ventilation, and service water-heating equipment installed. Where on-site renewable energy systems have been installed on or in the building, the certificate shall report the type and production size of the installed system.</w:t>
            </w:r>
          </w:p>
        </w:tc>
      </w:tr>
      <w:tr w:rsidR="00FC5566" w:rsidRPr="00FC5566" w14:paraId="4B9192F2" w14:textId="77777777" w:rsidTr="00B247D5">
        <w:trPr>
          <w:trHeight w:val="184"/>
        </w:trPr>
        <w:tc>
          <w:tcPr>
            <w:tcW w:w="1062" w:type="dxa"/>
          </w:tcPr>
          <w:p w14:paraId="794786CB" w14:textId="77777777" w:rsidR="00FC5566" w:rsidRPr="00FC5566" w:rsidRDefault="00FC5566" w:rsidP="00FC5566">
            <w:pPr>
              <w:widowControl w:val="0"/>
              <w:autoSpaceDE w:val="0"/>
              <w:autoSpaceDN w:val="0"/>
              <w:jc w:val="center"/>
              <w:rPr>
                <w:sz w:val="16"/>
                <w:szCs w:val="16"/>
              </w:rPr>
            </w:pPr>
            <w:r w:rsidRPr="00FC5566">
              <w:rPr>
                <w:sz w:val="16"/>
                <w:szCs w:val="16"/>
              </w:rPr>
              <w:t>Repeal</w:t>
            </w:r>
          </w:p>
        </w:tc>
        <w:tc>
          <w:tcPr>
            <w:tcW w:w="2395" w:type="dxa"/>
          </w:tcPr>
          <w:p w14:paraId="480B1D18" w14:textId="77777777" w:rsidR="00FC5566" w:rsidRPr="00FC5566" w:rsidRDefault="00FC5566" w:rsidP="00FC5566">
            <w:pPr>
              <w:widowControl w:val="0"/>
              <w:autoSpaceDE w:val="0"/>
              <w:autoSpaceDN w:val="0"/>
              <w:ind w:left="114" w:right="121"/>
              <w:rPr>
                <w:sz w:val="16"/>
                <w:szCs w:val="16"/>
              </w:rPr>
            </w:pPr>
            <w:r w:rsidRPr="00FC5566">
              <w:rPr>
                <w:sz w:val="16"/>
                <w:szCs w:val="16"/>
              </w:rPr>
              <w:t>Section R408, Additional Energy Requirements</w:t>
            </w:r>
          </w:p>
        </w:tc>
        <w:tc>
          <w:tcPr>
            <w:tcW w:w="6983" w:type="dxa"/>
          </w:tcPr>
          <w:p w14:paraId="6D680B97" w14:textId="77777777" w:rsidR="00FC5566" w:rsidRPr="00FC5566" w:rsidRDefault="00FC5566" w:rsidP="00FC5566">
            <w:pPr>
              <w:widowControl w:val="0"/>
              <w:autoSpaceDE w:val="0"/>
              <w:autoSpaceDN w:val="0"/>
              <w:ind w:left="114" w:right="83"/>
              <w:rPr>
                <w:sz w:val="16"/>
                <w:szCs w:val="16"/>
              </w:rPr>
            </w:pPr>
          </w:p>
        </w:tc>
      </w:tr>
      <w:tr w:rsidR="00FC5566" w:rsidRPr="00FC5566" w14:paraId="530ACA5F" w14:textId="77777777" w:rsidTr="00B247D5">
        <w:trPr>
          <w:trHeight w:val="184"/>
        </w:trPr>
        <w:tc>
          <w:tcPr>
            <w:tcW w:w="1062" w:type="dxa"/>
          </w:tcPr>
          <w:p w14:paraId="2ABF27C1"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Repeal</w:t>
            </w:r>
          </w:p>
        </w:tc>
        <w:tc>
          <w:tcPr>
            <w:tcW w:w="2395" w:type="dxa"/>
          </w:tcPr>
          <w:p w14:paraId="0264E8CA" w14:textId="77777777" w:rsidR="00FC5566" w:rsidRPr="00FC5566" w:rsidRDefault="00FC5566" w:rsidP="00FC5566">
            <w:pPr>
              <w:widowControl w:val="0"/>
              <w:autoSpaceDE w:val="0"/>
              <w:autoSpaceDN w:val="0"/>
              <w:ind w:left="114" w:right="121"/>
              <w:rPr>
                <w:sz w:val="16"/>
                <w:szCs w:val="16"/>
              </w:rPr>
            </w:pPr>
            <w:r w:rsidRPr="00FC5566">
              <w:rPr>
                <w:sz w:val="16"/>
                <w:szCs w:val="16"/>
              </w:rPr>
              <w:t>Section R502.2.5, Additional Energy Efficiency Credit Requirements for Additions.</w:t>
            </w:r>
          </w:p>
        </w:tc>
        <w:tc>
          <w:tcPr>
            <w:tcW w:w="6983" w:type="dxa"/>
          </w:tcPr>
          <w:p w14:paraId="74434068" w14:textId="77777777" w:rsidR="00FC5566" w:rsidRPr="00FC5566" w:rsidRDefault="00FC5566" w:rsidP="00FC5566">
            <w:pPr>
              <w:widowControl w:val="0"/>
              <w:autoSpaceDE w:val="0"/>
              <w:autoSpaceDN w:val="0"/>
              <w:ind w:right="83"/>
              <w:rPr>
                <w:sz w:val="16"/>
                <w:szCs w:val="16"/>
                <w:lang w:val="en"/>
              </w:rPr>
            </w:pPr>
          </w:p>
        </w:tc>
      </w:tr>
      <w:tr w:rsidR="00FC5566" w:rsidRPr="00FC5566" w14:paraId="1A337DB1" w14:textId="77777777" w:rsidTr="00B247D5">
        <w:trPr>
          <w:trHeight w:val="184"/>
        </w:trPr>
        <w:tc>
          <w:tcPr>
            <w:tcW w:w="1062" w:type="dxa"/>
          </w:tcPr>
          <w:p w14:paraId="60028157"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Repeal</w:t>
            </w:r>
          </w:p>
        </w:tc>
        <w:tc>
          <w:tcPr>
            <w:tcW w:w="2395" w:type="dxa"/>
          </w:tcPr>
          <w:p w14:paraId="5B28D6D9" w14:textId="77777777" w:rsidR="00FC5566" w:rsidRPr="00FC5566" w:rsidRDefault="00FC5566" w:rsidP="00FC5566">
            <w:pPr>
              <w:widowControl w:val="0"/>
              <w:autoSpaceDE w:val="0"/>
              <w:autoSpaceDN w:val="0"/>
              <w:ind w:left="114" w:right="121"/>
              <w:rPr>
                <w:sz w:val="16"/>
                <w:szCs w:val="16"/>
              </w:rPr>
            </w:pPr>
            <w:r w:rsidRPr="00FC5566">
              <w:rPr>
                <w:sz w:val="16"/>
                <w:szCs w:val="16"/>
              </w:rPr>
              <w:t>Section R503.1.2.3, Duct System Leakage.</w:t>
            </w:r>
          </w:p>
        </w:tc>
        <w:tc>
          <w:tcPr>
            <w:tcW w:w="6983" w:type="dxa"/>
          </w:tcPr>
          <w:p w14:paraId="48C7206B" w14:textId="77777777" w:rsidR="00FC5566" w:rsidRPr="00FC5566" w:rsidRDefault="00FC5566" w:rsidP="00FC5566">
            <w:pPr>
              <w:widowControl w:val="0"/>
              <w:autoSpaceDE w:val="0"/>
              <w:autoSpaceDN w:val="0"/>
              <w:ind w:right="83"/>
              <w:rPr>
                <w:sz w:val="16"/>
                <w:szCs w:val="16"/>
                <w:lang w:val="en"/>
              </w:rPr>
            </w:pPr>
          </w:p>
        </w:tc>
      </w:tr>
      <w:tr w:rsidR="00FC5566" w:rsidRPr="00FC5566" w14:paraId="43A0E190" w14:textId="77777777" w:rsidTr="00B247D5">
        <w:trPr>
          <w:trHeight w:val="184"/>
        </w:trPr>
        <w:tc>
          <w:tcPr>
            <w:tcW w:w="1062" w:type="dxa"/>
          </w:tcPr>
          <w:p w14:paraId="4469BA74"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Repeal</w:t>
            </w:r>
          </w:p>
        </w:tc>
        <w:tc>
          <w:tcPr>
            <w:tcW w:w="2395" w:type="dxa"/>
          </w:tcPr>
          <w:p w14:paraId="2722D51A" w14:textId="77777777" w:rsidR="00FC5566" w:rsidRPr="00FC5566" w:rsidRDefault="00FC5566" w:rsidP="00FC5566">
            <w:pPr>
              <w:widowControl w:val="0"/>
              <w:autoSpaceDE w:val="0"/>
              <w:autoSpaceDN w:val="0"/>
              <w:ind w:left="114" w:right="121"/>
              <w:rPr>
                <w:sz w:val="16"/>
                <w:szCs w:val="16"/>
              </w:rPr>
            </w:pPr>
            <w:r w:rsidRPr="00FC5566">
              <w:rPr>
                <w:sz w:val="16"/>
                <w:szCs w:val="16"/>
              </w:rPr>
              <w:t>Section R503.1.5, Additional Efficiency Credit Requirements for Substantial Improvements.</w:t>
            </w:r>
          </w:p>
        </w:tc>
        <w:tc>
          <w:tcPr>
            <w:tcW w:w="6983" w:type="dxa"/>
          </w:tcPr>
          <w:p w14:paraId="7E55FB91" w14:textId="77777777" w:rsidR="00FC5566" w:rsidRPr="00FC5566" w:rsidRDefault="00FC5566" w:rsidP="00FC5566">
            <w:pPr>
              <w:widowControl w:val="0"/>
              <w:autoSpaceDE w:val="0"/>
              <w:autoSpaceDN w:val="0"/>
              <w:ind w:right="83"/>
              <w:rPr>
                <w:sz w:val="16"/>
                <w:szCs w:val="16"/>
                <w:lang w:val="en"/>
              </w:rPr>
            </w:pPr>
            <w:r w:rsidRPr="00FC5566">
              <w:rPr>
                <w:sz w:val="16"/>
                <w:szCs w:val="16"/>
                <w:lang w:val="en"/>
              </w:rPr>
              <w:t xml:space="preserve"> </w:t>
            </w:r>
          </w:p>
        </w:tc>
      </w:tr>
    </w:tbl>
    <w:p w14:paraId="0DFA1CC5"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both"/>
        <w:outlineLvl w:val="3"/>
        <w:rPr>
          <w:kern w:val="2"/>
        </w:rPr>
        <w:sectPr w:rsidR="00FC5566" w:rsidRPr="00FC5566" w:rsidSect="00FC5566">
          <w:type w:val="continuous"/>
          <w:pgSz w:w="12240" w:h="15840"/>
          <w:pgMar w:top="720" w:right="864" w:bottom="317" w:left="864" w:header="576" w:footer="432" w:gutter="0"/>
          <w:cols w:space="720"/>
          <w:docGrid w:linePitch="360"/>
        </w:sectPr>
      </w:pPr>
    </w:p>
    <w:p w14:paraId="4F2E61AB"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 xml:space="preserve">Promulgated in accordance with R.S. 37:3727-3750. </w:t>
      </w:r>
    </w:p>
    <w:p w14:paraId="4165CE7D"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Public Safety and Corrections, State Uniform Construction Code Council, LR 49:1136 (June 2023), amended by the Office of the Governor, Uniform Construction Code Commission LR 52:</w:t>
      </w:r>
    </w:p>
    <w:p w14:paraId="79AF646D" w14:textId="77777777" w:rsidR="00FC5566" w:rsidRPr="00FC5566" w:rsidRDefault="00FC5566" w:rsidP="00FC5566">
      <w:pPr>
        <w:keepNext/>
        <w:jc w:val="center"/>
        <w:rPr>
          <w:b/>
          <w:kern w:val="28"/>
        </w:rPr>
      </w:pPr>
      <w:r w:rsidRPr="00FC5566">
        <w:rPr>
          <w:b/>
          <w:kern w:val="28"/>
        </w:rPr>
        <w:t>Family Impact Statement</w:t>
      </w:r>
    </w:p>
    <w:p w14:paraId="58ACB3B0"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The proposed Rule is not anticipated to have an impact on family formation, stability, and autonomy as described in R.S. 49:972.</w:t>
      </w:r>
    </w:p>
    <w:p w14:paraId="74765E25" w14:textId="77777777" w:rsidR="00FC5566" w:rsidRPr="00FC5566" w:rsidRDefault="00FC5566" w:rsidP="00FC5566">
      <w:pPr>
        <w:keepNext/>
        <w:jc w:val="center"/>
        <w:rPr>
          <w:b/>
          <w:kern w:val="28"/>
        </w:rPr>
      </w:pPr>
      <w:r w:rsidRPr="00FC5566">
        <w:rPr>
          <w:b/>
          <w:kern w:val="28"/>
        </w:rPr>
        <w:t>Poverty Impact Statement</w:t>
      </w:r>
    </w:p>
    <w:p w14:paraId="7C06B14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The proposed Rule is not anticipated to have an impact on poverty as defined by R.S. 49:973.</w:t>
      </w:r>
    </w:p>
    <w:p w14:paraId="27CB7969" w14:textId="77777777" w:rsidR="00FC5566" w:rsidRPr="00FC5566" w:rsidRDefault="00FC5566" w:rsidP="00FC5566">
      <w:pPr>
        <w:keepNext/>
        <w:jc w:val="center"/>
        <w:rPr>
          <w:b/>
          <w:kern w:val="28"/>
        </w:rPr>
      </w:pPr>
      <w:r w:rsidRPr="00FC5566">
        <w:rPr>
          <w:b/>
          <w:kern w:val="28"/>
        </w:rPr>
        <w:t>Small Business Analysis</w:t>
      </w:r>
    </w:p>
    <w:p w14:paraId="43FD86C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 xml:space="preserve">Pursuant to R.S. 49:965.6, methods for reduction of the impact on small business, as defined in the Regulatory Flexibility Act, have been considered when creating this proposed Rule. </w:t>
      </w:r>
    </w:p>
    <w:p w14:paraId="7028BE7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This proposed Rule is not anticipated to have an adverse impact on small businesses; therefore, a Small Business Economic Impact Statement has not been prepared.</w:t>
      </w:r>
    </w:p>
    <w:p w14:paraId="661F8EDB" w14:textId="77777777" w:rsidR="00FC5566" w:rsidRPr="00FC5566" w:rsidRDefault="00FC5566" w:rsidP="00FC5566">
      <w:pPr>
        <w:keepNext/>
        <w:jc w:val="center"/>
        <w:rPr>
          <w:b/>
          <w:kern w:val="28"/>
        </w:rPr>
      </w:pPr>
      <w:r w:rsidRPr="00FC5566">
        <w:rPr>
          <w:b/>
          <w:kern w:val="28"/>
        </w:rPr>
        <w:t>Provider Impact Statement</w:t>
      </w:r>
    </w:p>
    <w:p w14:paraId="63B8473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The proposed Rule is not anticipated to have an impact on providers of services funded by the state as described in HCR 170 of the 2014 Regular Legislative Session.</w:t>
      </w:r>
    </w:p>
    <w:p w14:paraId="2F91EDA4" w14:textId="77777777" w:rsidR="00FC5566" w:rsidRPr="00FC5566" w:rsidRDefault="00FC5566" w:rsidP="00FC5566">
      <w:pPr>
        <w:keepNext/>
        <w:jc w:val="center"/>
        <w:rPr>
          <w:b/>
          <w:kern w:val="28"/>
        </w:rPr>
      </w:pPr>
      <w:r w:rsidRPr="00FC5566">
        <w:rPr>
          <w:b/>
          <w:kern w:val="28"/>
        </w:rPr>
        <w:t>Public Comments</w:t>
      </w:r>
    </w:p>
    <w:p w14:paraId="0C56776F"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All interested persons are invited to submit written comments or hearing request on the proposed Rule. Such comments or request should be sent to Tarah Revette, Administrative Director, Uniform Construction Code Commission, 600 North Street, Baton Rouge, LA 70802 or tsrevette@luccc.louisiana.gov. All comments must be submitted no later than the end of business day, central time zone, September 10, 2026.</w:t>
      </w:r>
    </w:p>
    <w:p w14:paraId="6C30A268" w14:textId="77777777" w:rsidR="00FC5566" w:rsidRPr="00FC5566" w:rsidRDefault="00FC5566" w:rsidP="00FC5566">
      <w:pPr>
        <w:keepNext/>
        <w:ind w:left="2160"/>
        <w:jc w:val="both"/>
      </w:pPr>
      <w:bookmarkStart w:id="647" w:name="_Hlk218749664"/>
      <w:r w:rsidRPr="00FC5566">
        <w:t>Brad Hassert</w:t>
      </w:r>
    </w:p>
    <w:p w14:paraId="20D35BC1" w14:textId="77777777" w:rsidR="00FC5566" w:rsidRPr="00FC5566" w:rsidRDefault="00FC5566" w:rsidP="00FC5566">
      <w:pPr>
        <w:keepNext/>
        <w:ind w:left="2160"/>
        <w:jc w:val="both"/>
      </w:pPr>
      <w:r w:rsidRPr="00FC5566">
        <w:t>Executive Director</w:t>
      </w:r>
      <w:bookmarkEnd w:id="647"/>
    </w:p>
    <w:p w14:paraId="6773CB36" w14:textId="77777777" w:rsidR="00FC5566" w:rsidRPr="00FC5566" w:rsidRDefault="00FC5566" w:rsidP="00FC5566">
      <w:pPr>
        <w:keepNext/>
        <w:jc w:val="center"/>
        <w:rPr>
          <w:b/>
        </w:rPr>
      </w:pPr>
    </w:p>
    <w:p w14:paraId="6047B720" w14:textId="77777777" w:rsidR="00FC5566" w:rsidRPr="00FC5566" w:rsidRDefault="00FC5566" w:rsidP="00FC5566">
      <w:pPr>
        <w:keepNext/>
        <w:jc w:val="center"/>
        <w:rPr>
          <w:b/>
        </w:rPr>
      </w:pPr>
      <w:r w:rsidRPr="00FC5566">
        <w:rPr>
          <w:b/>
        </w:rPr>
        <w:t>FISCAL AND ECONOMIC IMPACT STATEMENT FOR ADMINISTRATIVE RULES</w:t>
      </w:r>
    </w:p>
    <w:p w14:paraId="3A491EAB" w14:textId="77777777" w:rsidR="00FC5566" w:rsidRPr="00FC5566" w:rsidRDefault="00FC5566" w:rsidP="00FC5566">
      <w:pPr>
        <w:keepNext/>
        <w:jc w:val="center"/>
        <w:rPr>
          <w:b/>
          <w:noProof/>
        </w:rPr>
      </w:pPr>
      <w:r w:rsidRPr="00FC5566">
        <w:rPr>
          <w:b/>
          <w:noProof/>
        </w:rPr>
        <w:t>RULE TITLE:  Uniform Construction Code</w:t>
      </w:r>
      <w:r w:rsidRPr="00FC5566">
        <w:rPr>
          <w:b/>
          <w:noProof/>
        </w:rPr>
        <w:br/>
        <w:t>Adoption of the 2023 NEC and the 2024 I-Codes</w:t>
      </w:r>
    </w:p>
    <w:p w14:paraId="222A4A02"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4B65F7EE" w14:textId="77777777" w:rsidR="00FC5566" w:rsidRPr="00FC5566" w:rsidRDefault="00FC5566" w:rsidP="00FC5566">
      <w:pPr>
        <w:ind w:left="288" w:hanging="288"/>
        <w:jc w:val="both"/>
        <w:rPr>
          <w:spacing w:val="-10"/>
          <w:sz w:val="18"/>
        </w:rPr>
      </w:pPr>
      <w:r w:rsidRPr="00FC5566">
        <w:rPr>
          <w:spacing w:val="-10"/>
          <w:sz w:val="18"/>
        </w:rPr>
        <w:t>I.</w:t>
      </w:r>
      <w:r w:rsidRPr="00FC5566">
        <w:rPr>
          <w:spacing w:val="-10"/>
          <w:sz w:val="18"/>
        </w:rPr>
        <w:tab/>
        <w:t>ESTIMATED IMPLEMENTATION COSTS (SAVINGS) TO STATE OR LOCAL GOVERNMENT UNITS (Summary)</w:t>
      </w:r>
    </w:p>
    <w:p w14:paraId="21E5510F" w14:textId="77777777" w:rsidR="00FC5566" w:rsidRPr="00FC5566" w:rsidRDefault="00FC5566" w:rsidP="00FC5566">
      <w:pPr>
        <w:ind w:left="288" w:firstLine="288"/>
        <w:jc w:val="both"/>
        <w:rPr>
          <w:noProof/>
          <w:sz w:val="18"/>
        </w:rPr>
      </w:pPr>
      <w:r w:rsidRPr="00FC5566">
        <w:rPr>
          <w:noProof/>
          <w:sz w:val="18"/>
        </w:rPr>
        <w:t>It is not anticipated that state or local government units will incur any costs or savings as a result of this proposed rule.</w:t>
      </w:r>
    </w:p>
    <w:p w14:paraId="75637FFE" w14:textId="77777777" w:rsidR="00FC5566" w:rsidRPr="00FC5566" w:rsidRDefault="00FC5566" w:rsidP="00FC5566">
      <w:pPr>
        <w:ind w:left="288" w:firstLine="288"/>
        <w:jc w:val="both"/>
        <w:rPr>
          <w:sz w:val="18"/>
        </w:rPr>
      </w:pPr>
      <w:r w:rsidRPr="00FC5566">
        <w:rPr>
          <w:sz w:val="18"/>
        </w:rPr>
        <w:t>The Louisiana Uniform Construction Code Commission (LUCCC) proposes amendments to Sections 101, 103, 105, 107, 109, 111, 113, 115, and 117 of Chapter 1 (Adoption of the Louisiana State Uniform Construction Code) within Part I of Title 17 (Construction) of the Louisiana Administrative Code. The proposed rule updates reference to nationally recognized standards by adopting the more current 2023 edition of the National Electrical Code (NEC) and the 2024 International Codes (I-Codes), replacing the previously adopted editions of the NEC and I-Codes to align with the latest nationally recognized building and electrical safety standards. The updated I-Codes include the International Building Code (IBC), International Existing Building Code (IEBC), International Residential Code (IRC), International Mechanical Code (IMC), International Plumbing Code (IPC), International Fuel Gas Code (IFGC), and the International Energy Conservation Code (IECC).</w:t>
      </w:r>
    </w:p>
    <w:p w14:paraId="0532216C" w14:textId="77777777" w:rsidR="00FC5566" w:rsidRPr="00FC5566" w:rsidRDefault="00FC5566" w:rsidP="00FC5566">
      <w:pPr>
        <w:ind w:left="288" w:hanging="288"/>
        <w:jc w:val="both"/>
        <w:rPr>
          <w:spacing w:val="-10"/>
          <w:sz w:val="18"/>
        </w:rPr>
      </w:pPr>
      <w:r w:rsidRPr="00FC5566">
        <w:rPr>
          <w:spacing w:val="-10"/>
          <w:sz w:val="18"/>
        </w:rPr>
        <w:t>II.</w:t>
      </w:r>
      <w:r w:rsidRPr="00FC5566">
        <w:rPr>
          <w:spacing w:val="-10"/>
          <w:sz w:val="18"/>
        </w:rPr>
        <w:tab/>
        <w:t>ESTIMATED EFFECT ON REVENUE COLLECTIONS OF STATE OR LOCAL GOVERNMENTAL UNITS (Summary)</w:t>
      </w:r>
    </w:p>
    <w:p w14:paraId="6F38E04F" w14:textId="77777777" w:rsidR="00FC5566" w:rsidRPr="00FC5566" w:rsidRDefault="00FC5566" w:rsidP="00FC5566">
      <w:pPr>
        <w:ind w:left="288" w:firstLine="288"/>
        <w:jc w:val="both"/>
        <w:rPr>
          <w:sz w:val="18"/>
        </w:rPr>
      </w:pPr>
      <w:r w:rsidRPr="00FC5566">
        <w:rPr>
          <w:sz w:val="18"/>
        </w:rPr>
        <w:t>There is no anticipated effect on revenue collections of state or local governmental units.</w:t>
      </w:r>
    </w:p>
    <w:p w14:paraId="740219C0" w14:textId="77777777" w:rsidR="00FC5566" w:rsidRPr="00FC5566" w:rsidRDefault="00FC5566" w:rsidP="00FC5566">
      <w:pPr>
        <w:ind w:left="288" w:hanging="288"/>
        <w:jc w:val="both"/>
        <w:rPr>
          <w:spacing w:val="-10"/>
          <w:sz w:val="18"/>
        </w:rPr>
      </w:pPr>
      <w:r w:rsidRPr="00FC5566">
        <w:rPr>
          <w:spacing w:val="-10"/>
          <w:sz w:val="18"/>
        </w:rPr>
        <w:t>III.</w:t>
      </w:r>
      <w:r w:rsidRPr="00FC5566">
        <w:rPr>
          <w:spacing w:val="-10"/>
          <w:sz w:val="18"/>
        </w:rPr>
        <w:tab/>
        <w:t>ESTIMATED COSTS AND/OR ECONOMIC BENEFITS TO DIRECTLY AFFECTED PERSONS, SMALL BUSINESSES, OR NONGOVERNMENTAL GROUPS (Summary)</w:t>
      </w:r>
    </w:p>
    <w:p w14:paraId="0FA2E00D" w14:textId="77777777" w:rsidR="00FC5566" w:rsidRPr="00FC5566" w:rsidRDefault="00FC5566" w:rsidP="00FC5566">
      <w:pPr>
        <w:ind w:left="288" w:firstLine="288"/>
        <w:jc w:val="both"/>
        <w:rPr>
          <w:sz w:val="18"/>
        </w:rPr>
      </w:pPr>
      <w:r w:rsidRPr="00FC5566">
        <w:rPr>
          <w:sz w:val="18"/>
        </w:rPr>
        <w:lastRenderedPageBreak/>
        <w:t>There are no anticipated costs or economic benefits to directly affected persons, small businesses, or non-governmental groups.</w:t>
      </w:r>
    </w:p>
    <w:p w14:paraId="767A0B97" w14:textId="77777777" w:rsidR="00FC5566" w:rsidRPr="00FC5566" w:rsidRDefault="00FC5566" w:rsidP="00FC5566">
      <w:pPr>
        <w:ind w:left="288" w:hanging="288"/>
        <w:jc w:val="both"/>
        <w:rPr>
          <w:spacing w:val="-10"/>
          <w:sz w:val="18"/>
        </w:rPr>
      </w:pPr>
      <w:r w:rsidRPr="00FC5566">
        <w:rPr>
          <w:spacing w:val="-10"/>
          <w:sz w:val="18"/>
        </w:rPr>
        <w:t>IV.</w:t>
      </w:r>
      <w:r w:rsidRPr="00FC5566">
        <w:rPr>
          <w:spacing w:val="-10"/>
          <w:sz w:val="18"/>
        </w:rPr>
        <w:tab/>
        <w:t>ESTIMATED EFFECT ON COMPETITION AND EMPLOYMENT (Summary)</w:t>
      </w:r>
    </w:p>
    <w:p w14:paraId="431B9AE3" w14:textId="77777777" w:rsidR="00FC5566" w:rsidRPr="00FC5566" w:rsidRDefault="00FC5566" w:rsidP="00FC5566">
      <w:pPr>
        <w:ind w:left="288" w:firstLine="288"/>
        <w:jc w:val="both"/>
        <w:rPr>
          <w:sz w:val="18"/>
        </w:rPr>
      </w:pPr>
      <w:r w:rsidRPr="00FC5566">
        <w:rPr>
          <w:sz w:val="18"/>
        </w:rPr>
        <w:t>Implementation of this proposed rule is not anticipated to have an effect on competition and employment.</w:t>
      </w:r>
    </w:p>
    <w:p w14:paraId="1511DA33" w14:textId="77777777" w:rsidR="00FC5566" w:rsidRPr="00FC5566" w:rsidRDefault="00FC5566" w:rsidP="00FC5566">
      <w:pPr>
        <w:ind w:left="288" w:firstLine="288"/>
        <w:jc w:val="both"/>
        <w:rPr>
          <w:sz w:val="18"/>
        </w:rPr>
      </w:pPr>
    </w:p>
    <w:p w14:paraId="68EC80EF" w14:textId="77777777" w:rsidR="00FC5566" w:rsidRPr="00FC5566" w:rsidRDefault="00FC5566" w:rsidP="00FC5566">
      <w:pPr>
        <w:tabs>
          <w:tab w:val="left" w:pos="2880"/>
          <w:tab w:val="decimal" w:pos="2988"/>
        </w:tabs>
        <w:outlineLvl w:val="8"/>
        <w:rPr>
          <w:kern w:val="2"/>
          <w:sz w:val="18"/>
        </w:rPr>
      </w:pPr>
      <w:r w:rsidRPr="00FC5566">
        <w:rPr>
          <w:kern w:val="2"/>
          <w:sz w:val="18"/>
        </w:rPr>
        <w:t>Brad Hassert</w:t>
      </w:r>
      <w:r w:rsidRPr="00FC5566">
        <w:rPr>
          <w:kern w:val="2"/>
          <w:sz w:val="18"/>
        </w:rPr>
        <w:tab/>
        <w:t>Patrice Thomas</w:t>
      </w:r>
    </w:p>
    <w:p w14:paraId="541B49AF" w14:textId="77777777" w:rsidR="00FC5566" w:rsidRPr="00FC5566" w:rsidRDefault="00FC5566" w:rsidP="00FC5566">
      <w:pPr>
        <w:tabs>
          <w:tab w:val="left" w:pos="2880"/>
          <w:tab w:val="decimal" w:pos="2988"/>
        </w:tabs>
        <w:outlineLvl w:val="8"/>
        <w:rPr>
          <w:kern w:val="2"/>
          <w:sz w:val="18"/>
        </w:rPr>
      </w:pPr>
      <w:r w:rsidRPr="00FC5566">
        <w:rPr>
          <w:kern w:val="2"/>
          <w:sz w:val="18"/>
        </w:rPr>
        <w:t>Executive Director</w:t>
      </w:r>
      <w:r w:rsidRPr="00FC5566">
        <w:rPr>
          <w:kern w:val="2"/>
          <w:sz w:val="18"/>
        </w:rPr>
        <w:tab/>
        <w:t>Deputy Fiscal Officer</w:t>
      </w:r>
    </w:p>
    <w:p w14:paraId="35E697E4" w14:textId="77777777" w:rsidR="00FC5566" w:rsidRPr="00FC5566" w:rsidRDefault="00FC5566" w:rsidP="00FC5566">
      <w:pPr>
        <w:tabs>
          <w:tab w:val="left" w:pos="2880"/>
          <w:tab w:val="decimal" w:pos="2988"/>
        </w:tabs>
        <w:outlineLvl w:val="8"/>
        <w:rPr>
          <w:noProof/>
          <w:sz w:val="16"/>
        </w:rPr>
      </w:pPr>
      <w:r w:rsidRPr="00FC5566">
        <w:rPr>
          <w:noProof/>
          <w:sz w:val="16"/>
        </w:rPr>
        <w:t>2608#027</w:t>
      </w:r>
      <w:r w:rsidRPr="00FC5566">
        <w:rPr>
          <w:kern w:val="2"/>
        </w:rPr>
        <w:tab/>
      </w:r>
      <w:r w:rsidRPr="00FC5566">
        <w:rPr>
          <w:kern w:val="2"/>
          <w:sz w:val="18"/>
        </w:rPr>
        <w:t>Legislative Fiscal Office</w:t>
      </w:r>
    </w:p>
    <w:p w14:paraId="6A5DCD15" w14:textId="77777777" w:rsidR="00FC5566" w:rsidRPr="00FC5566" w:rsidRDefault="00FC5566" w:rsidP="00FC5566"/>
    <w:p w14:paraId="2B9194DE" w14:textId="77777777" w:rsidR="00FC5566" w:rsidRPr="00FC5566" w:rsidRDefault="00FC5566" w:rsidP="00FC5566">
      <w:pPr>
        <w:keepNext/>
        <w:tabs>
          <w:tab w:val="left" w:pos="-1440"/>
        </w:tabs>
        <w:spacing w:after="120"/>
        <w:jc w:val="center"/>
        <w:rPr>
          <w:b/>
          <w:noProof/>
        </w:rPr>
      </w:pPr>
      <w:bookmarkStart w:id="648" w:name="_Toc206579265"/>
      <w:r w:rsidRPr="00FC5566">
        <w:rPr>
          <w:b/>
          <w:noProof/>
        </w:rPr>
        <w:t>NOTICE OF INTENT</w:t>
      </w:r>
    </w:p>
    <w:p w14:paraId="0B08D441" w14:textId="77777777" w:rsidR="00FC5566" w:rsidRPr="00FC5566" w:rsidRDefault="00FC5566" w:rsidP="00FC5566">
      <w:pPr>
        <w:keepNext/>
        <w:jc w:val="center"/>
        <w:rPr>
          <w:b/>
          <w:noProof/>
        </w:rPr>
      </w:pPr>
      <w:r w:rsidRPr="00FC5566">
        <w:rPr>
          <w:b/>
          <w:noProof/>
        </w:rPr>
        <w:t>Department of Health</w:t>
      </w:r>
    </w:p>
    <w:p w14:paraId="6CC37FA7" w14:textId="77777777" w:rsidR="00FC5566" w:rsidRPr="00FC5566" w:rsidRDefault="00FC5566" w:rsidP="00FC5566">
      <w:pPr>
        <w:keepNext/>
        <w:jc w:val="center"/>
        <w:rPr>
          <w:b/>
          <w:noProof/>
        </w:rPr>
      </w:pPr>
      <w:r w:rsidRPr="00FC5566">
        <w:rPr>
          <w:b/>
          <w:noProof/>
        </w:rPr>
        <w:t>Board of Medical Examiners</w:t>
      </w:r>
    </w:p>
    <w:p w14:paraId="230512CB" w14:textId="77777777" w:rsidR="00FC5566" w:rsidRPr="00FC5566" w:rsidRDefault="00FC5566" w:rsidP="00FC5566">
      <w:pPr>
        <w:keepNext/>
        <w:spacing w:before="240" w:after="240"/>
        <w:jc w:val="center"/>
        <w:rPr>
          <w:noProof/>
          <w:szCs w:val="24"/>
        </w:rPr>
      </w:pPr>
      <w:r w:rsidRPr="00FC5566">
        <w:rPr>
          <w:noProof/>
        </w:rPr>
        <w:t>Private Radiological Technologists</w:t>
      </w:r>
      <w:r w:rsidRPr="00FC5566">
        <w:rPr>
          <w:noProof/>
        </w:rPr>
        <w:br/>
      </w:r>
      <w:r w:rsidRPr="00FC5566">
        <w:rPr>
          <w:noProof/>
          <w:szCs w:val="24"/>
        </w:rPr>
        <w:t>(LAC 46:XLV.Chapters 29 and 59)</w:t>
      </w:r>
    </w:p>
    <w:p w14:paraId="14AEC998"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 xml:space="preserve">Notice is hereby given that in accordance with the Louisiana Administrative Procedure Act, R.S. 49:950 et seq., and pursuant to the authority vested in the Board of Medical Examiners (the board) by the Louisiana Medical Practice Act., R.S. 37:1270 et seq., the board proposes to amend the subchapter regulating private radiologic technologists to creates a certificate entitled "Limited Private Radiological Technologist" which grants the holder with a limited scope of practice - application of ionizing radiation to specific parts of the human body for imaging purposes, excluding the administration of radiopharmaceuticals, while under the supervision of a licensed physician. The rules additionally provide for the renewal of the certification. </w:t>
      </w:r>
      <w:bookmarkEnd w:id="648"/>
    </w:p>
    <w:p w14:paraId="10788983" w14:textId="77777777" w:rsidR="00FC5566" w:rsidRPr="00FC5566" w:rsidRDefault="00FC5566" w:rsidP="00FC5566">
      <w:pPr>
        <w:keepNext/>
        <w:jc w:val="center"/>
        <w:rPr>
          <w:b/>
          <w:kern w:val="28"/>
        </w:rPr>
      </w:pPr>
      <w:r w:rsidRPr="00FC5566">
        <w:rPr>
          <w:b/>
          <w:kern w:val="28"/>
        </w:rPr>
        <w:t>Title 46</w:t>
      </w:r>
    </w:p>
    <w:p w14:paraId="7B403064" w14:textId="77777777" w:rsidR="00FC5566" w:rsidRPr="00FC5566" w:rsidRDefault="00FC5566" w:rsidP="00FC5566">
      <w:pPr>
        <w:keepNext/>
        <w:jc w:val="center"/>
        <w:rPr>
          <w:b/>
          <w:kern w:val="28"/>
        </w:rPr>
      </w:pPr>
      <w:r w:rsidRPr="00FC5566">
        <w:rPr>
          <w:b/>
          <w:kern w:val="28"/>
        </w:rPr>
        <w:t>PROFESSIONAL AND OCCUPATIONAL STANDARDS</w:t>
      </w:r>
    </w:p>
    <w:p w14:paraId="688D694E" w14:textId="77777777" w:rsidR="00FC5566" w:rsidRPr="00FC5566" w:rsidRDefault="00FC5566" w:rsidP="00FC5566">
      <w:pPr>
        <w:keepNext/>
        <w:jc w:val="center"/>
        <w:rPr>
          <w:b/>
          <w:noProof/>
        </w:rPr>
      </w:pPr>
      <w:bookmarkStart w:id="649" w:name="_Toc240279688"/>
      <w:bookmarkStart w:id="650" w:name="_Toc240280858"/>
      <w:bookmarkStart w:id="651" w:name="_Toc264959917"/>
      <w:bookmarkStart w:id="652" w:name="_Toc277852849"/>
      <w:bookmarkStart w:id="653" w:name="_Toc283208819"/>
      <w:bookmarkStart w:id="654" w:name="_Toc288481946"/>
      <w:bookmarkStart w:id="655" w:name="_Toc290976212"/>
      <w:bookmarkStart w:id="656" w:name="_Toc314726723"/>
      <w:bookmarkStart w:id="657" w:name="_Toc343751583"/>
      <w:bookmarkStart w:id="658" w:name="_Toc375117903"/>
      <w:bookmarkStart w:id="659" w:name="_Toc393369444"/>
      <w:bookmarkStart w:id="660" w:name="_Toc404065962"/>
      <w:bookmarkStart w:id="661" w:name="_Toc419811100"/>
      <w:bookmarkStart w:id="662" w:name="_Toc433181788"/>
      <w:bookmarkStart w:id="663" w:name="_Toc438633025"/>
      <w:bookmarkStart w:id="664" w:name="_Toc448836121"/>
      <w:bookmarkStart w:id="665" w:name="_Toc460248873"/>
      <w:bookmarkStart w:id="666" w:name="_Toc460922937"/>
      <w:bookmarkStart w:id="667" w:name="_Toc470077577"/>
      <w:bookmarkStart w:id="668" w:name="_Toc475690499"/>
      <w:bookmarkStart w:id="669" w:name="_Toc488845163"/>
      <w:bookmarkStart w:id="670" w:name="_Toc488914365"/>
      <w:bookmarkStart w:id="671" w:name="_Toc507063000"/>
      <w:bookmarkStart w:id="672" w:name="_Toc509495323"/>
      <w:bookmarkStart w:id="673" w:name="_Toc512420166"/>
      <w:bookmarkStart w:id="674" w:name="_Toc533066545"/>
      <w:bookmarkStart w:id="675" w:name="_Toc7531254"/>
      <w:bookmarkStart w:id="676" w:name="_Toc17197866"/>
      <w:bookmarkStart w:id="677" w:name="_Toc75167942"/>
      <w:bookmarkStart w:id="678" w:name="_Toc77685744"/>
      <w:bookmarkStart w:id="679" w:name="_Toc137023412"/>
      <w:r w:rsidRPr="00FC5566">
        <w:rPr>
          <w:b/>
          <w:noProof/>
        </w:rPr>
        <w:t>Part XLV.  Medical Professions</w:t>
      </w:r>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p>
    <w:p w14:paraId="140DD4A4" w14:textId="77777777" w:rsidR="00FC5566" w:rsidRPr="00FC5566" w:rsidRDefault="00FC5566" w:rsidP="00FC5566">
      <w:pPr>
        <w:keepNext/>
        <w:jc w:val="center"/>
        <w:rPr>
          <w:b/>
          <w:noProof/>
        </w:rPr>
      </w:pPr>
      <w:bookmarkStart w:id="680" w:name="_Toc240279689"/>
      <w:bookmarkStart w:id="681" w:name="_Toc240280859"/>
      <w:bookmarkStart w:id="682" w:name="_Toc264959918"/>
      <w:bookmarkStart w:id="683" w:name="_Toc277852850"/>
      <w:bookmarkStart w:id="684" w:name="_Toc283208820"/>
      <w:bookmarkStart w:id="685" w:name="_Toc288481947"/>
      <w:bookmarkStart w:id="686" w:name="_Toc290976213"/>
      <w:bookmarkStart w:id="687" w:name="_Toc314726724"/>
      <w:bookmarkStart w:id="688" w:name="_Toc343751584"/>
      <w:bookmarkStart w:id="689" w:name="_Toc375117904"/>
      <w:bookmarkStart w:id="690" w:name="_Toc393369445"/>
      <w:bookmarkStart w:id="691" w:name="_Toc404065963"/>
      <w:bookmarkStart w:id="692" w:name="_Toc419811101"/>
      <w:bookmarkStart w:id="693" w:name="_Toc433181789"/>
      <w:bookmarkStart w:id="694" w:name="_Toc438633026"/>
      <w:bookmarkStart w:id="695" w:name="_Toc448836122"/>
      <w:bookmarkStart w:id="696" w:name="_Toc460248874"/>
      <w:bookmarkStart w:id="697" w:name="_Toc460922938"/>
      <w:bookmarkStart w:id="698" w:name="_Toc470077578"/>
      <w:bookmarkStart w:id="699" w:name="_Toc475690500"/>
      <w:bookmarkStart w:id="700" w:name="_Toc488845164"/>
      <w:bookmarkStart w:id="701" w:name="_Toc488914366"/>
      <w:bookmarkStart w:id="702" w:name="_Toc507063001"/>
      <w:bookmarkStart w:id="703" w:name="_Toc509495324"/>
      <w:bookmarkStart w:id="704" w:name="_Toc512420167"/>
      <w:bookmarkStart w:id="705" w:name="_Toc533066546"/>
      <w:bookmarkStart w:id="706" w:name="_Toc7531255"/>
      <w:bookmarkStart w:id="707" w:name="_Toc17197867"/>
      <w:bookmarkStart w:id="708" w:name="_Toc75167943"/>
      <w:bookmarkStart w:id="709" w:name="_Toc77685745"/>
      <w:bookmarkStart w:id="710" w:name="_Toc137023413"/>
      <w:r w:rsidRPr="00FC5566">
        <w:rPr>
          <w:b/>
          <w:noProof/>
        </w:rPr>
        <w:t>Subpart 1.  General</w:t>
      </w:r>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p>
    <w:p w14:paraId="71A3625B"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Chapter 29.</w:t>
      </w:r>
      <w:r w:rsidRPr="00FC5566">
        <w:rPr>
          <w:b/>
          <w:kern w:val="2"/>
        </w:rPr>
        <w:tab/>
        <w:t>Private Radiologic Technologists</w:t>
      </w:r>
    </w:p>
    <w:p w14:paraId="2401218A"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Subchapter A.</w:t>
      </w:r>
      <w:r w:rsidRPr="00FC5566">
        <w:rPr>
          <w:b/>
          <w:kern w:val="2"/>
        </w:rPr>
        <w:tab/>
        <w:t>General Provisions</w:t>
      </w:r>
    </w:p>
    <w:p w14:paraId="5A7074F0"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711" w:name="_Toc240281235"/>
      <w:bookmarkStart w:id="712" w:name="_Toc206579267"/>
      <w:r w:rsidRPr="00FC5566">
        <w:rPr>
          <w:b/>
          <w:kern w:val="2"/>
        </w:rPr>
        <w:t>§2901.</w:t>
      </w:r>
      <w:r w:rsidRPr="00FC5566">
        <w:rPr>
          <w:b/>
          <w:kern w:val="2"/>
        </w:rPr>
        <w:tab/>
        <w:t>Scope</w:t>
      </w:r>
      <w:bookmarkEnd w:id="711"/>
      <w:bookmarkEnd w:id="712"/>
    </w:p>
    <w:p w14:paraId="2742F1CE"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The rules of this Chapter govern the certification as to proficiency of private radiologic technologists to perform diagnostic or therapeutic radiological examinations or both in the private office of a physician or in clinics in which a physician practices as provided under R.S. 37:1292, as hereafter amended or supplemented.</w:t>
      </w:r>
    </w:p>
    <w:p w14:paraId="4E4344C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37:1270(B)(6) and 37:1292.</w:t>
      </w:r>
    </w:p>
    <w:p w14:paraId="05B25113"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Health and Human Resources, Board of Medical Examiners, LR 13:574 (October 1987), amended LR 52:</w:t>
      </w:r>
    </w:p>
    <w:p w14:paraId="24DD0405"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713" w:name="_Toc240281236"/>
      <w:bookmarkStart w:id="714" w:name="_Toc206579268"/>
      <w:r w:rsidRPr="00FC5566">
        <w:rPr>
          <w:b/>
          <w:kern w:val="2"/>
        </w:rPr>
        <w:t>§2903.</w:t>
      </w:r>
      <w:r w:rsidRPr="00FC5566">
        <w:rPr>
          <w:b/>
          <w:kern w:val="2"/>
        </w:rPr>
        <w:tab/>
        <w:t>General Definitions</w:t>
      </w:r>
      <w:bookmarkEnd w:id="713"/>
      <w:bookmarkEnd w:id="714"/>
    </w:p>
    <w:p w14:paraId="4DEFFD8C" w14:textId="77777777" w:rsidR="00FC5566" w:rsidRPr="00FC5566" w:rsidRDefault="00FC5566" w:rsidP="00FC5566">
      <w:pPr>
        <w:tabs>
          <w:tab w:val="left" w:pos="720"/>
          <w:tab w:val="left" w:pos="979"/>
          <w:tab w:val="left" w:pos="1152"/>
        </w:tabs>
        <w:ind w:firstLine="360"/>
        <w:jc w:val="both"/>
        <w:outlineLvl w:val="4"/>
        <w:rPr>
          <w:kern w:val="2"/>
        </w:rPr>
      </w:pPr>
      <w:r w:rsidRPr="00FC5566">
        <w:rPr>
          <w:i/>
          <w:kern w:val="2"/>
        </w:rPr>
        <w:t>Applicant</w:t>
      </w:r>
      <w:r w:rsidRPr="00FC5566">
        <w:rPr>
          <w:iCs/>
          <w:kern w:val="2"/>
        </w:rPr>
        <w:t>―</w:t>
      </w:r>
      <w:r w:rsidRPr="00FC5566">
        <w:rPr>
          <w:kern w:val="2"/>
        </w:rPr>
        <w:t>a person who has applied to the board for a certificate to perform diagnostic or therapeutic radiological examinations or treatments or both in the private office of a physician or in clinics in which a physician practices and under the direct supervision of a physician licensed to practice medicine by the board.</w:t>
      </w:r>
    </w:p>
    <w:p w14:paraId="0ADEB383" w14:textId="77777777" w:rsidR="00FC5566" w:rsidRPr="00FC5566" w:rsidRDefault="00FC5566" w:rsidP="00FC5566">
      <w:pPr>
        <w:tabs>
          <w:tab w:val="left" w:pos="720"/>
          <w:tab w:val="left" w:pos="979"/>
          <w:tab w:val="left" w:pos="1152"/>
        </w:tabs>
        <w:ind w:firstLine="360"/>
        <w:jc w:val="both"/>
        <w:outlineLvl w:val="4"/>
        <w:rPr>
          <w:kern w:val="2"/>
        </w:rPr>
      </w:pPr>
      <w:r w:rsidRPr="00FC5566">
        <w:rPr>
          <w:i/>
          <w:kern w:val="2"/>
        </w:rPr>
        <w:t>Application</w:t>
      </w:r>
      <w:r w:rsidRPr="00FC5566">
        <w:rPr>
          <w:iCs/>
          <w:kern w:val="2"/>
        </w:rPr>
        <w:t>―</w:t>
      </w:r>
      <w:r w:rsidRPr="00FC5566">
        <w:rPr>
          <w:kern w:val="2"/>
        </w:rPr>
        <w:t xml:space="preserve">a written request directed to and received by the board upon forms supplied by the board, for a certificate to perform radiological examinations or treatments in the private office of a physician or in clinics in which a physician practices in the state of Louisiana, together with all </w:t>
      </w:r>
      <w:r w:rsidRPr="00FC5566">
        <w:rPr>
          <w:kern w:val="2"/>
        </w:rPr>
        <w:t>information, certificates, documents, and other materials required by the board.</w:t>
      </w:r>
    </w:p>
    <w:p w14:paraId="1C995F4A" w14:textId="77777777" w:rsidR="00FC5566" w:rsidRPr="00FC5566" w:rsidRDefault="00FC5566" w:rsidP="00FC5566">
      <w:pPr>
        <w:tabs>
          <w:tab w:val="left" w:pos="720"/>
          <w:tab w:val="left" w:pos="979"/>
          <w:tab w:val="left" w:pos="1152"/>
        </w:tabs>
        <w:ind w:firstLine="360"/>
        <w:jc w:val="both"/>
        <w:outlineLvl w:val="4"/>
        <w:rPr>
          <w:kern w:val="2"/>
        </w:rPr>
      </w:pPr>
      <w:r w:rsidRPr="00FC5566">
        <w:rPr>
          <w:i/>
          <w:kern w:val="2"/>
        </w:rPr>
        <w:t>Board</w:t>
      </w:r>
      <w:r w:rsidRPr="00FC5566">
        <w:rPr>
          <w:iCs/>
          <w:kern w:val="2"/>
        </w:rPr>
        <w:t>―</w:t>
      </w:r>
      <w:r w:rsidRPr="00FC5566">
        <w:rPr>
          <w:kern w:val="2"/>
        </w:rPr>
        <w:t>the Louisiana State Board of Medical Examiners created pursuant to R.S. 37:1261-1291, as hereafter amended or supplemented,</w:t>
      </w:r>
    </w:p>
    <w:p w14:paraId="42E96449" w14:textId="77777777" w:rsidR="00FC5566" w:rsidRPr="00FC5566" w:rsidRDefault="00FC5566" w:rsidP="00FC5566">
      <w:pPr>
        <w:tabs>
          <w:tab w:val="left" w:pos="720"/>
          <w:tab w:val="left" w:pos="979"/>
          <w:tab w:val="left" w:pos="1152"/>
        </w:tabs>
        <w:ind w:firstLine="360"/>
        <w:jc w:val="both"/>
        <w:outlineLvl w:val="4"/>
        <w:rPr>
          <w:kern w:val="2"/>
        </w:rPr>
      </w:pPr>
      <w:r w:rsidRPr="00FC5566">
        <w:rPr>
          <w:i/>
          <w:kern w:val="2"/>
        </w:rPr>
        <w:t>Certificate</w:t>
      </w:r>
      <w:r w:rsidRPr="00FC5566">
        <w:rPr>
          <w:iCs/>
          <w:kern w:val="2"/>
        </w:rPr>
        <w:t>―</w:t>
      </w:r>
      <w:r w:rsidRPr="00FC5566">
        <w:rPr>
          <w:kern w:val="2"/>
        </w:rPr>
        <w:t>the lawful authority of a person to use radioactive materials or equipment emitting or detecting ionizing radiation on humans to perform a diagnostic or therapeutic examination or treatment or both in the private office of a physician or in a clinic in which a physician practices and under the direct supervision of a physician licensed to practice medicine by the board, said authority being evidenced by a certificate of proficiency duly issued by and under the official seal of the board.</w:t>
      </w:r>
    </w:p>
    <w:p w14:paraId="0EB92C86" w14:textId="77777777" w:rsidR="00FC5566" w:rsidRPr="00FC5566" w:rsidRDefault="00FC5566" w:rsidP="00FC5566">
      <w:pPr>
        <w:tabs>
          <w:tab w:val="left" w:pos="720"/>
          <w:tab w:val="left" w:pos="979"/>
          <w:tab w:val="left" w:pos="1152"/>
        </w:tabs>
        <w:ind w:firstLine="360"/>
        <w:jc w:val="both"/>
        <w:outlineLvl w:val="4"/>
        <w:rPr>
          <w:kern w:val="2"/>
        </w:rPr>
      </w:pPr>
      <w:r w:rsidRPr="00FC5566">
        <w:rPr>
          <w:i/>
          <w:kern w:val="2"/>
        </w:rPr>
        <w:t>Clinic</w:t>
      </w:r>
      <w:r w:rsidRPr="00FC5566">
        <w:rPr>
          <w:iCs/>
          <w:kern w:val="2"/>
        </w:rPr>
        <w:t>―</w:t>
      </w:r>
      <w:r w:rsidRPr="00FC5566">
        <w:rPr>
          <w:kern w:val="2"/>
        </w:rPr>
        <w:t>a facility where patients are studied or treated on an outpatient basis by physicians specializing in various or particular ailments and practicing as a group.</w:t>
      </w:r>
    </w:p>
    <w:p w14:paraId="70EDC8A6" w14:textId="77777777" w:rsidR="00FC5566" w:rsidRPr="00FC5566" w:rsidRDefault="00FC5566" w:rsidP="00FC5566">
      <w:pPr>
        <w:tabs>
          <w:tab w:val="left" w:pos="720"/>
          <w:tab w:val="left" w:pos="979"/>
          <w:tab w:val="left" w:pos="1152"/>
        </w:tabs>
        <w:ind w:firstLine="360"/>
        <w:jc w:val="both"/>
        <w:outlineLvl w:val="4"/>
        <w:rPr>
          <w:kern w:val="2"/>
        </w:rPr>
      </w:pPr>
      <w:r w:rsidRPr="00FC5566">
        <w:rPr>
          <w:i/>
          <w:kern w:val="2"/>
        </w:rPr>
        <w:t>Direct Supervision of a Physician</w:t>
      </w:r>
      <w:r w:rsidRPr="00FC5566">
        <w:rPr>
          <w:iCs/>
          <w:kern w:val="2"/>
        </w:rPr>
        <w:t>―</w:t>
      </w:r>
      <w:r w:rsidRPr="00FC5566">
        <w:rPr>
          <w:kern w:val="2"/>
        </w:rPr>
        <w:t>pursuant to specific instructions, oral or in writing, onsite or remotely by video, or otherwise according to prescription given directly by the physician to the private radiologic technologist.</w:t>
      </w:r>
    </w:p>
    <w:p w14:paraId="6D377C7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i/>
          <w:kern w:val="2"/>
        </w:rPr>
        <w:t>Education Program</w:t>
      </w:r>
      <w:r w:rsidRPr="00FC5566">
        <w:rPr>
          <w:iCs/>
          <w:kern w:val="2"/>
        </w:rPr>
        <w:t>―</w:t>
      </w:r>
      <w:r w:rsidRPr="00FC5566">
        <w:rPr>
          <w:kern w:val="2"/>
        </w:rPr>
        <w:t>a set of formally structured activities designed to provide students with the knowledge and skills necessary to perform diagnostic or therapeutic radiological examinations or treatments or both, with evaluation of student performance according to predetermined objectives.</w:t>
      </w:r>
    </w:p>
    <w:p w14:paraId="04ADE9E0" w14:textId="77777777" w:rsidR="00FC5566" w:rsidRPr="00FC5566" w:rsidRDefault="00FC5566" w:rsidP="00FC5566">
      <w:pPr>
        <w:tabs>
          <w:tab w:val="left" w:pos="720"/>
          <w:tab w:val="left" w:pos="979"/>
          <w:tab w:val="left" w:pos="1152"/>
        </w:tabs>
        <w:ind w:firstLine="360"/>
        <w:jc w:val="both"/>
        <w:outlineLvl w:val="4"/>
        <w:rPr>
          <w:kern w:val="2"/>
        </w:rPr>
      </w:pPr>
      <w:r w:rsidRPr="00FC5566">
        <w:rPr>
          <w:i/>
          <w:kern w:val="2"/>
        </w:rPr>
        <w:t>Formal Training</w:t>
      </w:r>
      <w:r w:rsidRPr="00FC5566">
        <w:rPr>
          <w:iCs/>
          <w:kern w:val="2"/>
        </w:rPr>
        <w:t>―</w:t>
      </w:r>
      <w:r w:rsidRPr="00FC5566">
        <w:rPr>
          <w:kern w:val="2"/>
        </w:rPr>
        <w:t>training or education, including either didactic or clinical practicum or both, which has a specified objective, planned activities for students, and suitable methods for measuring student attainment, and which is offered, sponsored, or approved by an organization or institution able to meet or enforce these criteria.</w:t>
      </w:r>
    </w:p>
    <w:p w14:paraId="1EF1DC5E" w14:textId="77777777" w:rsidR="00FC5566" w:rsidRPr="00FC5566" w:rsidRDefault="00FC5566" w:rsidP="00FC5566">
      <w:pPr>
        <w:tabs>
          <w:tab w:val="left" w:pos="720"/>
          <w:tab w:val="left" w:pos="979"/>
          <w:tab w:val="left" w:pos="1152"/>
        </w:tabs>
        <w:ind w:firstLine="360"/>
        <w:jc w:val="both"/>
        <w:outlineLvl w:val="4"/>
        <w:rPr>
          <w:kern w:val="2"/>
        </w:rPr>
      </w:pPr>
      <w:r w:rsidRPr="00FC5566">
        <w:rPr>
          <w:i/>
          <w:kern w:val="2"/>
        </w:rPr>
        <w:t>Good Moral Character</w:t>
      </w:r>
      <w:r w:rsidRPr="00FC5566">
        <w:rPr>
          <w:iCs/>
          <w:kern w:val="2"/>
        </w:rPr>
        <w:t>―</w:t>
      </w:r>
      <w:r w:rsidRPr="00FC5566">
        <w:rPr>
          <w:kern w:val="2"/>
        </w:rPr>
        <w:t>as applied to an applicant, means that:</w:t>
      </w:r>
    </w:p>
    <w:p w14:paraId="3F9FB925"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a.</w:t>
      </w:r>
      <w:r w:rsidRPr="00FC5566">
        <w:rPr>
          <w:kern w:val="2"/>
        </w:rPr>
        <w:tab/>
        <w:t>the applicant has not, prior to or during the pendency of an application to the board, been guilty of any act, omission, condition, or circumstance which would provide legal cause under R.S. 37:1285 for the suspension or revocation of certification;</w:t>
      </w:r>
    </w:p>
    <w:p w14:paraId="6D8EA6B7"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b.</w:t>
      </w:r>
      <w:r w:rsidRPr="00FC5566">
        <w:rPr>
          <w:kern w:val="2"/>
        </w:rPr>
        <w:tab/>
        <w:t>the applicant has not prior to or in connection with his application, made any representation to the board, knowingly or unknowingly, which is in fact false or misleading as to a material fact or omits to state any fact or matter that is material to the application; and</w:t>
      </w:r>
    </w:p>
    <w:p w14:paraId="149EB85D"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c.</w:t>
      </w:r>
      <w:r w:rsidRPr="00FC5566">
        <w:rPr>
          <w:kern w:val="2"/>
        </w:rPr>
        <w:tab/>
        <w:t>the applicant has not made any representation or failed to make a representation or engaged in any act or omission which is false, deceptive, fraudulent, or misleading in achieving or obtaining any of the qualifications for certification required by this Chapter.</w:t>
      </w:r>
    </w:p>
    <w:p w14:paraId="28138142" w14:textId="77777777" w:rsidR="00FC5566" w:rsidRPr="00FC5566" w:rsidRDefault="00FC5566" w:rsidP="00FC5566">
      <w:pPr>
        <w:tabs>
          <w:tab w:val="left" w:pos="720"/>
          <w:tab w:val="left" w:pos="979"/>
          <w:tab w:val="left" w:pos="1152"/>
        </w:tabs>
        <w:ind w:firstLine="360"/>
        <w:jc w:val="both"/>
        <w:outlineLvl w:val="4"/>
        <w:rPr>
          <w:kern w:val="2"/>
        </w:rPr>
      </w:pPr>
      <w:r w:rsidRPr="00FC5566">
        <w:rPr>
          <w:i/>
          <w:kern w:val="2"/>
        </w:rPr>
        <w:t>Ionizing Radiation</w:t>
      </w:r>
      <w:r w:rsidRPr="00FC5566">
        <w:rPr>
          <w:iCs/>
          <w:kern w:val="2"/>
        </w:rPr>
        <w:t>―</w:t>
      </w:r>
      <w:r w:rsidRPr="00FC5566">
        <w:rPr>
          <w:kern w:val="2"/>
        </w:rPr>
        <w:t>any electromagnetic or particulate radiation (X-rays, gamma rays, alpha and beta particles, high speed electrons, neutrons, and other nuclear particles) which interacts to produce ion pairs in matter.</w:t>
      </w:r>
    </w:p>
    <w:p w14:paraId="0F5280AB" w14:textId="77777777" w:rsidR="00FC5566" w:rsidRPr="00FC5566" w:rsidRDefault="00FC5566" w:rsidP="00FC5566">
      <w:pPr>
        <w:tabs>
          <w:tab w:val="left" w:pos="720"/>
          <w:tab w:val="left" w:pos="979"/>
          <w:tab w:val="left" w:pos="1152"/>
        </w:tabs>
        <w:ind w:firstLine="360"/>
        <w:jc w:val="both"/>
        <w:outlineLvl w:val="4"/>
        <w:rPr>
          <w:kern w:val="2"/>
        </w:rPr>
      </w:pPr>
      <w:r w:rsidRPr="00FC5566">
        <w:rPr>
          <w:i/>
          <w:iCs/>
          <w:kern w:val="2"/>
        </w:rPr>
        <w:t>Limited Private Radiologic Technologist</w:t>
      </w:r>
      <w:r w:rsidRPr="00FC5566">
        <w:rPr>
          <w:kern w:val="2"/>
        </w:rPr>
        <w:t>—a certificate holder with limited scope of practice who applies ionizing radiation to specific parts of the human body for imaging purposes, excluding the administration of radiopharmaceuticals, while under the supervision of a licensed physician.</w:t>
      </w:r>
    </w:p>
    <w:p w14:paraId="6B1EE2BB" w14:textId="77777777" w:rsidR="00FC5566" w:rsidRPr="00FC5566" w:rsidRDefault="00FC5566" w:rsidP="00FC5566">
      <w:pPr>
        <w:tabs>
          <w:tab w:val="left" w:pos="720"/>
          <w:tab w:val="left" w:pos="979"/>
          <w:tab w:val="left" w:pos="1152"/>
        </w:tabs>
        <w:ind w:firstLine="360"/>
        <w:jc w:val="both"/>
        <w:outlineLvl w:val="4"/>
        <w:rPr>
          <w:kern w:val="2"/>
        </w:rPr>
      </w:pPr>
      <w:r w:rsidRPr="00FC5566">
        <w:rPr>
          <w:i/>
          <w:kern w:val="2"/>
        </w:rPr>
        <w:t>Physician</w:t>
      </w:r>
      <w:r w:rsidRPr="00FC5566">
        <w:rPr>
          <w:iCs/>
          <w:kern w:val="2"/>
        </w:rPr>
        <w:t>―</w:t>
      </w:r>
      <w:r w:rsidRPr="00FC5566">
        <w:rPr>
          <w:kern w:val="2"/>
        </w:rPr>
        <w:t>a person possessing a current license to practice medicine in the state of Louisiana.</w:t>
      </w:r>
    </w:p>
    <w:p w14:paraId="1AED0C22" w14:textId="77777777" w:rsidR="00FC5566" w:rsidRPr="00FC5566" w:rsidRDefault="00FC5566" w:rsidP="00FC5566">
      <w:pPr>
        <w:tabs>
          <w:tab w:val="left" w:pos="720"/>
          <w:tab w:val="left" w:pos="979"/>
          <w:tab w:val="left" w:pos="1152"/>
        </w:tabs>
        <w:ind w:firstLine="360"/>
        <w:jc w:val="both"/>
        <w:outlineLvl w:val="4"/>
        <w:rPr>
          <w:kern w:val="2"/>
        </w:rPr>
      </w:pPr>
      <w:r w:rsidRPr="00FC5566">
        <w:rPr>
          <w:i/>
          <w:kern w:val="2"/>
        </w:rPr>
        <w:lastRenderedPageBreak/>
        <w:t>Private Nuclear Medicine Technologist</w:t>
      </w:r>
      <w:r w:rsidRPr="00FC5566">
        <w:rPr>
          <w:iCs/>
          <w:kern w:val="2"/>
        </w:rPr>
        <w:t>―</w:t>
      </w:r>
      <w:r w:rsidRPr="00FC5566">
        <w:rPr>
          <w:kern w:val="2"/>
        </w:rPr>
        <w:t>a private radiologic technologist who conducts in vivo or in vitro detection and measurement of radioactivity for medical purposes or administers radiopharmaceuticals to human beings.</w:t>
      </w:r>
    </w:p>
    <w:p w14:paraId="12F732EB" w14:textId="77777777" w:rsidR="00FC5566" w:rsidRPr="00FC5566" w:rsidRDefault="00FC5566" w:rsidP="00FC5566">
      <w:pPr>
        <w:tabs>
          <w:tab w:val="left" w:pos="720"/>
          <w:tab w:val="left" w:pos="979"/>
          <w:tab w:val="left" w:pos="1152"/>
        </w:tabs>
        <w:ind w:firstLine="360"/>
        <w:jc w:val="both"/>
        <w:outlineLvl w:val="4"/>
        <w:rPr>
          <w:kern w:val="2"/>
        </w:rPr>
      </w:pPr>
      <w:r w:rsidRPr="00FC5566">
        <w:rPr>
          <w:i/>
          <w:kern w:val="2"/>
        </w:rPr>
        <w:t>Private Radiation Therapy Technologist</w:t>
      </w:r>
      <w:r w:rsidRPr="00FC5566">
        <w:rPr>
          <w:iCs/>
          <w:kern w:val="2"/>
        </w:rPr>
        <w:t>―</w:t>
      </w:r>
      <w:r w:rsidRPr="00FC5566">
        <w:rPr>
          <w:kern w:val="2"/>
        </w:rPr>
        <w:t>a private radiologic technologist who utilizes radiation-generating equipment for therapeutic purposes on human beings.</w:t>
      </w:r>
    </w:p>
    <w:p w14:paraId="30692E8C" w14:textId="77777777" w:rsidR="00FC5566" w:rsidRPr="00FC5566" w:rsidRDefault="00FC5566" w:rsidP="00FC5566">
      <w:pPr>
        <w:tabs>
          <w:tab w:val="left" w:pos="720"/>
          <w:tab w:val="left" w:pos="979"/>
          <w:tab w:val="left" w:pos="1152"/>
        </w:tabs>
        <w:ind w:firstLine="360"/>
        <w:jc w:val="both"/>
        <w:outlineLvl w:val="4"/>
        <w:rPr>
          <w:kern w:val="2"/>
        </w:rPr>
      </w:pPr>
      <w:r w:rsidRPr="00FC5566">
        <w:rPr>
          <w:i/>
          <w:kern w:val="2"/>
        </w:rPr>
        <w:t>Private Radiographer</w:t>
      </w:r>
      <w:r w:rsidRPr="00FC5566">
        <w:rPr>
          <w:iCs/>
          <w:kern w:val="2"/>
        </w:rPr>
        <w:t>―</w:t>
      </w:r>
      <w:r w:rsidRPr="00FC5566">
        <w:rPr>
          <w:kern w:val="2"/>
        </w:rPr>
        <w:t>a private radiologic technologist who performs a comprehensive scope of diagnostic radiological procedures employing equipment which emits ionizing radiation and is responsible for operation of radiation generating equipment, the shielding of patient and staff from unnecessary radiation, the appropriate exposure of radiographs, or other procedures which contribute to any significant extent to the site or dosage of ionizing radiation to which a patient is exposed.</w:t>
      </w:r>
    </w:p>
    <w:p w14:paraId="4E2B8E25" w14:textId="77777777" w:rsidR="00FC5566" w:rsidRPr="00FC5566" w:rsidRDefault="00FC5566" w:rsidP="00FC5566">
      <w:pPr>
        <w:tabs>
          <w:tab w:val="left" w:pos="720"/>
          <w:tab w:val="left" w:pos="979"/>
          <w:tab w:val="left" w:pos="1152"/>
        </w:tabs>
        <w:ind w:firstLine="360"/>
        <w:jc w:val="both"/>
        <w:outlineLvl w:val="4"/>
        <w:rPr>
          <w:kern w:val="2"/>
        </w:rPr>
      </w:pPr>
      <w:r w:rsidRPr="00FC5566">
        <w:rPr>
          <w:i/>
          <w:kern w:val="2"/>
        </w:rPr>
        <w:t>Private Radiologic Technologist</w:t>
      </w:r>
      <w:r w:rsidRPr="00FC5566">
        <w:rPr>
          <w:iCs/>
          <w:kern w:val="2"/>
        </w:rPr>
        <w:t>―</w:t>
      </w:r>
      <w:r w:rsidRPr="00FC5566">
        <w:rPr>
          <w:kern w:val="2"/>
        </w:rPr>
        <w:t>a person who is authorized to perform radiological examinations or treatment or both in the private office of a physician or in clinics in which a physician practices and under the direct supervision of a physician.</w:t>
      </w:r>
    </w:p>
    <w:p w14:paraId="77F900BF" w14:textId="77777777" w:rsidR="00FC5566" w:rsidRPr="00FC5566" w:rsidRDefault="00FC5566" w:rsidP="00FC5566">
      <w:pPr>
        <w:tabs>
          <w:tab w:val="left" w:pos="720"/>
          <w:tab w:val="left" w:pos="979"/>
          <w:tab w:val="left" w:pos="1152"/>
        </w:tabs>
        <w:ind w:firstLine="360"/>
        <w:jc w:val="both"/>
        <w:outlineLvl w:val="4"/>
        <w:rPr>
          <w:kern w:val="2"/>
        </w:rPr>
      </w:pPr>
      <w:r w:rsidRPr="00FC5566">
        <w:rPr>
          <w:i/>
          <w:kern w:val="2"/>
        </w:rPr>
        <w:t>Radiologic Technology Board of Examiners</w:t>
      </w:r>
      <w:r w:rsidRPr="00FC5566">
        <w:rPr>
          <w:iCs/>
          <w:kern w:val="2"/>
        </w:rPr>
        <w:t>―</w:t>
      </w:r>
      <w:r w:rsidRPr="00FC5566">
        <w:rPr>
          <w:kern w:val="2"/>
        </w:rPr>
        <w:t>agency created pursuant to R.S. 37:3200-3219, as hereafter amended or supplemented.</w:t>
      </w:r>
    </w:p>
    <w:p w14:paraId="269EA164" w14:textId="77777777" w:rsidR="00FC5566" w:rsidRPr="00FC5566" w:rsidRDefault="00FC5566" w:rsidP="00FC5566">
      <w:pPr>
        <w:tabs>
          <w:tab w:val="left" w:pos="720"/>
          <w:tab w:val="left" w:pos="979"/>
          <w:tab w:val="left" w:pos="1152"/>
        </w:tabs>
        <w:ind w:firstLine="360"/>
        <w:jc w:val="both"/>
        <w:outlineLvl w:val="4"/>
        <w:rPr>
          <w:kern w:val="2"/>
        </w:rPr>
      </w:pPr>
      <w:r w:rsidRPr="00FC5566">
        <w:rPr>
          <w:i/>
          <w:kern w:val="2"/>
        </w:rPr>
        <w:t xml:space="preserve">Radiological Examination </w:t>
      </w:r>
      <w:r w:rsidRPr="00FC5566">
        <w:rPr>
          <w:kern w:val="2"/>
        </w:rPr>
        <w:t>or</w:t>
      </w:r>
      <w:r w:rsidRPr="00FC5566">
        <w:rPr>
          <w:i/>
          <w:kern w:val="2"/>
        </w:rPr>
        <w:t xml:space="preserve"> Treatment</w:t>
      </w:r>
      <w:r w:rsidRPr="00FC5566">
        <w:rPr>
          <w:iCs/>
          <w:kern w:val="2"/>
        </w:rPr>
        <w:t>―</w:t>
      </w:r>
      <w:r w:rsidRPr="00FC5566">
        <w:rPr>
          <w:kern w:val="2"/>
        </w:rPr>
        <w:t>the use of radioactive materials or of equipment emitting or detecting ionizing radiation on humans for diagnostic or therapeutic purposes under direct prescription and supervision or a physician.</w:t>
      </w:r>
    </w:p>
    <w:p w14:paraId="2EA23280"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37:1270(B)(6) and 37:1292.</w:t>
      </w:r>
    </w:p>
    <w:p w14:paraId="1F7822AE"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Health and Human Resources, Board of Medical Examiners, LR 13:574 (October 1987), amended LR 52:</w:t>
      </w:r>
    </w:p>
    <w:p w14:paraId="5ED7404E"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715" w:name="_Toc240281237"/>
      <w:bookmarkStart w:id="716" w:name="_Toc206579269"/>
      <w:r w:rsidRPr="00FC5566">
        <w:rPr>
          <w:b/>
          <w:kern w:val="2"/>
        </w:rPr>
        <w:t>§2905.</w:t>
      </w:r>
      <w:r w:rsidRPr="00FC5566">
        <w:rPr>
          <w:b/>
          <w:kern w:val="2"/>
        </w:rPr>
        <w:tab/>
        <w:t>Necessity of Certificate; Exemptions; Information Required</w:t>
      </w:r>
      <w:bookmarkEnd w:id="715"/>
      <w:bookmarkEnd w:id="716"/>
    </w:p>
    <w:p w14:paraId="02CADB0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No person may perform or attempt to perform a diagnostic or therapeutic radiological examination or treatment in the private office of a physician or in a clinic in which a physician practices unless he has in his personal possession a certificate issued to him under this Chapter or is otherwise exempted from the provisions of this Chapter pursuant to §2905.B and C.</w:t>
      </w:r>
    </w:p>
    <w:p w14:paraId="3B41B4EC"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The following persons are exempt from the requirements of this Chapter:</w:t>
      </w:r>
    </w:p>
    <w:p w14:paraId="62C6949B"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any physician licensed by the board to practice medicine in the state of Louisiana; or</w:t>
      </w:r>
    </w:p>
    <w:p w14:paraId="773FEB1A"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any person licensed by the Radiologic Technology Board of Examiners.</w:t>
      </w:r>
    </w:p>
    <w:p w14:paraId="6A2B3AC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Any person who performs the functions of a private radiologic technologist but has been employed by the supervising physician for less than six months shall be exempt from the requirements of this Chapter only for the first six months of such employment. This temporary exemption shall not apply to anyone who has been employed previously as a private radiologic technologist or who has otherwise performed any radiological examination or treatment in the course of any previous employment.</w:t>
      </w:r>
    </w:p>
    <w:p w14:paraId="1779F720"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D.</w:t>
      </w:r>
      <w:r w:rsidRPr="00FC5566">
        <w:rPr>
          <w:kern w:val="2"/>
        </w:rPr>
        <w:tab/>
        <w:t xml:space="preserve">Each physician who employs any person to perform diagnostic or therapeutic radiological examinations or treatments or both in his private office or in the clinic in which that physician practices shall report to the board annually as a </w:t>
      </w:r>
      <w:r w:rsidRPr="00FC5566">
        <w:rPr>
          <w:kern w:val="2"/>
        </w:rPr>
        <w:t>condition of or issuance or renewal of that physician's licensure to practice medicine in the state of Louisiana the following information for each person so employed:</w:t>
      </w:r>
    </w:p>
    <w:p w14:paraId="3D0A4783"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name of the employee;</w:t>
      </w:r>
    </w:p>
    <w:p w14:paraId="4E6651F8"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address at which that person performs diagnostic or therapeutic radiological examinations or treatments or both;</w:t>
      </w:r>
    </w:p>
    <w:p w14:paraId="466367B7"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initial date of employment as a private radiologic technologist;</w:t>
      </w:r>
    </w:p>
    <w:p w14:paraId="6E8EC267"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w:t>
      </w:r>
      <w:r w:rsidRPr="00FC5566">
        <w:rPr>
          <w:kern w:val="2"/>
        </w:rPr>
        <w:tab/>
        <w:t>any exemption claimed for any person under this Chapter; and</w:t>
      </w:r>
    </w:p>
    <w:p w14:paraId="75C4CAF9"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5.</w:t>
      </w:r>
      <w:r w:rsidRPr="00FC5566">
        <w:rPr>
          <w:kern w:val="2"/>
        </w:rPr>
        <w:tab/>
        <w:t>certification by the physician that the person employed as a private radiologic technologist is proficient in, and is competent to perform, the functions of a private radiologic technologist.</w:t>
      </w:r>
    </w:p>
    <w:p w14:paraId="19AB9F7B"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37:1270(B)(6) and 37:1292.</w:t>
      </w:r>
    </w:p>
    <w:p w14:paraId="6811F03F"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Health and Human Resources, Board of Medical Examiners, LR 13:575 (October 1987), amended LR 52:</w:t>
      </w:r>
    </w:p>
    <w:p w14:paraId="133A946E"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717" w:name="TOC_SubC395"/>
      <w:bookmarkStart w:id="718" w:name="_Toc240281238"/>
      <w:bookmarkStart w:id="719" w:name="_Toc206579270"/>
      <w:r w:rsidRPr="00FC5566">
        <w:rPr>
          <w:b/>
          <w:kern w:val="2"/>
        </w:rPr>
        <w:t>Subchapter B.</w:t>
      </w:r>
      <w:bookmarkStart w:id="720" w:name="TOCT_SubC355"/>
      <w:bookmarkStart w:id="721" w:name="TOCT_SubC360"/>
      <w:bookmarkStart w:id="722" w:name="TOCT_SubC363"/>
      <w:bookmarkStart w:id="723" w:name="TOCT_SubC366"/>
      <w:bookmarkStart w:id="724" w:name="TOCT_SubC378"/>
      <w:bookmarkStart w:id="725" w:name="TOCT_SubC395"/>
      <w:bookmarkEnd w:id="717"/>
      <w:r w:rsidRPr="00FC5566">
        <w:rPr>
          <w:b/>
          <w:kern w:val="2"/>
        </w:rPr>
        <w:tab/>
        <w:t>Certification</w:t>
      </w:r>
      <w:bookmarkEnd w:id="718"/>
      <w:bookmarkEnd w:id="719"/>
      <w:bookmarkEnd w:id="720"/>
      <w:bookmarkEnd w:id="721"/>
      <w:bookmarkEnd w:id="722"/>
      <w:bookmarkEnd w:id="723"/>
      <w:bookmarkEnd w:id="724"/>
      <w:bookmarkEnd w:id="725"/>
    </w:p>
    <w:p w14:paraId="495CF6E2"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726" w:name="_Toc240281239"/>
      <w:bookmarkStart w:id="727" w:name="_Toc206579271"/>
      <w:r w:rsidRPr="00FC5566">
        <w:rPr>
          <w:b/>
          <w:kern w:val="2"/>
        </w:rPr>
        <w:t>§2907.</w:t>
      </w:r>
      <w:r w:rsidRPr="00FC5566">
        <w:rPr>
          <w:b/>
          <w:kern w:val="2"/>
        </w:rPr>
        <w:tab/>
        <w:t>Qualifications for Certification and Approval</w:t>
      </w:r>
      <w:bookmarkEnd w:id="726"/>
      <w:bookmarkEnd w:id="727"/>
      <w:r w:rsidRPr="00FC5566">
        <w:rPr>
          <w:b/>
          <w:kern w:val="2"/>
        </w:rPr>
        <w:t>; Renewal</w:t>
      </w:r>
    </w:p>
    <w:p w14:paraId="0E781B6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To be eligible for certification under this Chapter, an applicant shall:</w:t>
      </w:r>
    </w:p>
    <w:p w14:paraId="30C066C8"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be at least 18 years of age;</w:t>
      </w:r>
    </w:p>
    <w:p w14:paraId="6033E61D"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be of good moral character;</w:t>
      </w:r>
    </w:p>
    <w:p w14:paraId="420FD01C"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have successfully completed a four-year course of study in a secondary school approved by the State Board of Elementary and Secondary Education, passed an approved equivalency test, or have graduated from a secondary school outside Louisiana having comparable approval;</w:t>
      </w:r>
    </w:p>
    <w:p w14:paraId="73AF9963"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w:t>
      </w:r>
      <w:r w:rsidRPr="00FC5566">
        <w:rPr>
          <w:kern w:val="2"/>
        </w:rPr>
        <w:tab/>
        <w:t>have attended and successfully completed a course of radiological study and safety which meets the requirements of §2909 of this Chapter, or have been employed by a physician continuously since September 1, 1983 to perform diagnostic or therapeutic radiological examinations or treatments or both in the private office or clinic of that physician and under said physician's direct supervision.</w:t>
      </w:r>
    </w:p>
    <w:p w14:paraId="329C554A"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5.</w:t>
      </w:r>
      <w:r w:rsidRPr="00FC5566">
        <w:rPr>
          <w:kern w:val="2"/>
        </w:rPr>
        <w:tab/>
        <w:t>be a citizen of the United States or possess valid and current legal authority to work in the United States duly issued by the United States Citizenship and Immigration Services (USCIS) of the United States, Department of Homeland Security, under and pursuant to the Immigration and Nationality Act (66 stat. 163) and the commissioner's regulations thereunder (8 CFR).</w:t>
      </w:r>
    </w:p>
    <w:p w14:paraId="3280C822"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To be eligible for renewal of certification under this Chapter as a limited private radiologic technologist, in addition to the requirements of paragraph A, an applicant shall complete annually at least ten hours of continuing medical education in radiological study and safety through one or more courses approved by the American College of Radiology, the American Medical Association, American Registry of Radiologic Technologists, or the American Society of Radiologic Technologists.</w:t>
      </w:r>
    </w:p>
    <w:p w14:paraId="118A8870"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37:1270(B)(6) and 37:1292.</w:t>
      </w:r>
    </w:p>
    <w:p w14:paraId="0AA0DA20"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Health and Human Resources, Board of Medical Examiners, LR 13:575 October 1987), amended LR 52:</w:t>
      </w:r>
    </w:p>
    <w:p w14:paraId="57DCC242"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728" w:name="_Toc240281242"/>
      <w:bookmarkStart w:id="729" w:name="_Toc206579274"/>
      <w:r w:rsidRPr="00FC5566">
        <w:rPr>
          <w:b/>
          <w:kern w:val="2"/>
        </w:rPr>
        <w:t>§2913.</w:t>
      </w:r>
      <w:r w:rsidRPr="00FC5566">
        <w:rPr>
          <w:b/>
          <w:kern w:val="2"/>
        </w:rPr>
        <w:tab/>
        <w:t>Application for Certification; Procedure</w:t>
      </w:r>
      <w:bookmarkEnd w:id="728"/>
      <w:bookmarkEnd w:id="729"/>
    </w:p>
    <w:p w14:paraId="4B154680"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 xml:space="preserve">Application for certification as a private radiologic technologist, or limited private radiologic technologist must be made upon forms supplied by the board and must be </w:t>
      </w:r>
      <w:r w:rsidRPr="00FC5566">
        <w:rPr>
          <w:kern w:val="2"/>
        </w:rPr>
        <w:lastRenderedPageBreak/>
        <w:t>submitted by the proposed supervising physician, and shall be required as a condition precedent to the issuance or renewal of said physician's license to practice medicine in the state of Louisiana.</w:t>
      </w:r>
    </w:p>
    <w:p w14:paraId="0A3E854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 - F.</w:t>
      </w:r>
      <w:r w:rsidRPr="00FC5566">
        <w:rPr>
          <w:kern w:val="2"/>
        </w:rPr>
        <w:tab/>
        <w:t>…</w:t>
      </w:r>
    </w:p>
    <w:p w14:paraId="1B8ABF8B"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37:1270(B)(6) and 37:1292.</w:t>
      </w:r>
    </w:p>
    <w:p w14:paraId="34E3026D"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Health and Human Resources, Board of Medical Examiners, LR 13:576 (October 1987), amended LR 52:</w:t>
      </w:r>
    </w:p>
    <w:p w14:paraId="03E0DBA7"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730" w:name="_Toc240281243"/>
      <w:bookmarkStart w:id="731" w:name="_Toc206579275"/>
      <w:r w:rsidRPr="00FC5566">
        <w:rPr>
          <w:b/>
          <w:kern w:val="2"/>
        </w:rPr>
        <w:t>§2915.</w:t>
      </w:r>
      <w:r w:rsidRPr="00FC5566">
        <w:rPr>
          <w:b/>
          <w:kern w:val="2"/>
        </w:rPr>
        <w:tab/>
        <w:t>Issuance of Certificate; Rating</w:t>
      </w:r>
      <w:bookmarkEnd w:id="730"/>
      <w:bookmarkEnd w:id="731"/>
    </w:p>
    <w:p w14:paraId="64575727"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If the qualifications, requirements, and procedures of §§2907 and 2913 are met to the satisfaction of the board, the board shall certify the applicant as a private radiologic technologist.</w:t>
      </w:r>
    </w:p>
    <w:p w14:paraId="05B769EF"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Each private radiologic technologist certificate issued under this Chapter shall be endorsed as follows:</w:t>
      </w:r>
    </w:p>
    <w:p w14:paraId="6867A57A"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private radiologic technologist-nuclear medicine;</w:t>
      </w:r>
    </w:p>
    <w:p w14:paraId="6B44273D"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 xml:space="preserve">private radiologic technologist-radiation therapy; </w:t>
      </w:r>
    </w:p>
    <w:p w14:paraId="30A23AE9"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private radiologic technologist-radiographer; or</w:t>
      </w:r>
    </w:p>
    <w:p w14:paraId="5ABAB7E9"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w:t>
      </w:r>
      <w:r w:rsidRPr="00FC5566">
        <w:rPr>
          <w:kern w:val="2"/>
        </w:rPr>
        <w:tab/>
        <w:t>limited private radiographic technologist.</w:t>
      </w:r>
    </w:p>
    <w:p w14:paraId="482E597C"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Every certificate issued under this Chapter, of whatever rating, is expressly subject to the terms, restrictions, and limitations set forth in the approved application. A radiologic technologist shall be restricted to the use of the ionizing radiation by the category specified by the endorsement on his certificate and at the address or location specified in the job description submitted with his application.</w:t>
      </w:r>
    </w:p>
    <w:p w14:paraId="352BBCD8"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D.</w:t>
      </w:r>
      <w:r w:rsidRPr="00FC5566">
        <w:rPr>
          <w:kern w:val="2"/>
        </w:rPr>
        <w:tab/>
        <w:t>A certificate of proficiency issued under this Chapter is valid as of the date of issuance. No representation is made, nor should such certificate be construed as an acknowledgment of continued competence or proficiency beyond the date of issuance.</w:t>
      </w:r>
    </w:p>
    <w:p w14:paraId="69F8794B"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37:1270(B)(6) and 37:1292.</w:t>
      </w:r>
    </w:p>
    <w:p w14:paraId="7C520F61"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Health and Human Resources, Board of Medical Examiners, LR 13:576 (October 1987), amended LR 52:</w:t>
      </w:r>
    </w:p>
    <w:p w14:paraId="7324F3F9"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732" w:name="_Toc206579641"/>
      <w:r w:rsidRPr="00FC5566">
        <w:rPr>
          <w:b/>
          <w:kern w:val="2"/>
        </w:rPr>
        <w:t>Chapter 59.</w:t>
      </w:r>
      <w:bookmarkStart w:id="733" w:name="TOCT_Chap535"/>
      <w:bookmarkStart w:id="734" w:name="TOCT_Chap556"/>
      <w:bookmarkStart w:id="735" w:name="TOCT_Chap562"/>
      <w:bookmarkStart w:id="736" w:name="TOCT_Chap560"/>
      <w:bookmarkStart w:id="737" w:name="TOCT_Chap567"/>
      <w:bookmarkStart w:id="738" w:name="TOCT_Chap572"/>
      <w:bookmarkStart w:id="739" w:name="TOCT_Chap575"/>
      <w:bookmarkStart w:id="740" w:name="TOCT_Chap595"/>
      <w:bookmarkStart w:id="741" w:name="TOCT_Chap612"/>
      <w:r w:rsidRPr="00FC5566">
        <w:rPr>
          <w:b/>
          <w:kern w:val="2"/>
        </w:rPr>
        <w:tab/>
        <w:t>Private Radiologic Technologists</w:t>
      </w:r>
      <w:bookmarkEnd w:id="732"/>
      <w:bookmarkEnd w:id="733"/>
      <w:bookmarkEnd w:id="734"/>
      <w:bookmarkEnd w:id="735"/>
      <w:bookmarkEnd w:id="736"/>
      <w:bookmarkEnd w:id="737"/>
      <w:bookmarkEnd w:id="738"/>
      <w:bookmarkEnd w:id="739"/>
      <w:bookmarkEnd w:id="740"/>
      <w:bookmarkEnd w:id="741"/>
    </w:p>
    <w:p w14:paraId="6BB07B7C"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742" w:name="TOC_SubC613"/>
      <w:bookmarkStart w:id="743" w:name="_Toc240281484"/>
      <w:bookmarkStart w:id="744" w:name="_Toc206579642"/>
      <w:r w:rsidRPr="00FC5566">
        <w:rPr>
          <w:b/>
          <w:kern w:val="2"/>
        </w:rPr>
        <w:t>Subchapter A.</w:t>
      </w:r>
      <w:bookmarkStart w:id="745" w:name="TOCT_SubC536"/>
      <w:bookmarkStart w:id="746" w:name="TOCT_SubC569"/>
      <w:bookmarkStart w:id="747" w:name="TOCT_SubC573"/>
      <w:bookmarkStart w:id="748" w:name="TOCT_SubC576"/>
      <w:bookmarkStart w:id="749" w:name="TOCT_SubC596"/>
      <w:bookmarkStart w:id="750" w:name="TOCT_SubC613"/>
      <w:bookmarkEnd w:id="742"/>
      <w:r w:rsidRPr="00FC5566">
        <w:rPr>
          <w:b/>
          <w:kern w:val="2"/>
        </w:rPr>
        <w:tab/>
        <w:t>Practice Requirements and Prohibitions</w:t>
      </w:r>
      <w:bookmarkEnd w:id="743"/>
      <w:bookmarkEnd w:id="744"/>
      <w:bookmarkEnd w:id="745"/>
      <w:bookmarkEnd w:id="746"/>
      <w:bookmarkEnd w:id="747"/>
      <w:bookmarkEnd w:id="748"/>
      <w:bookmarkEnd w:id="749"/>
      <w:bookmarkEnd w:id="750"/>
    </w:p>
    <w:p w14:paraId="6C7E30C4"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§5902.</w:t>
      </w:r>
      <w:r w:rsidRPr="00FC5566">
        <w:rPr>
          <w:b/>
          <w:kern w:val="2"/>
        </w:rPr>
        <w:tab/>
        <w:t>Scope of Practice of Limited Private Radiologic Technologists</w:t>
      </w:r>
    </w:p>
    <w:p w14:paraId="4021BE9F"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The limited private radiologic technologist may perform limited routine radiographic procedures which shall not include computed tomography, the use of contrast media, and/or the use of fluoroscopic or mammography equipment.</w:t>
      </w:r>
    </w:p>
    <w:p w14:paraId="699AB77F"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The limited private radiologic technologist may perform any or all of the procedures listed herein if designated in the letter of certification from the supervising physician:</w:t>
      </w:r>
    </w:p>
    <w:p w14:paraId="6F7E65E4"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Chest: a limited private radiologic technologist may perform radiography of the chest. Chest refers to the lung fields including the cardiac shadow, as well as the ribs and sternum.</w:t>
      </w:r>
    </w:p>
    <w:p w14:paraId="5F17C51A"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Extremities: a limited private radiologic technologist may perform radiography of the extremities. The upper extremity refers to those body parts from the distal phalanges of the hand to the head of the humerus, including the clavicle and scapula. The lower extremity refers to those body parts from the distal phalanges of the foot to the head of the femur and its articulation with the pelvic girdle, including the hip.</w:t>
      </w:r>
    </w:p>
    <w:p w14:paraId="2DF1583A"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 xml:space="preserve">Skull and Sinus: a limited private radiologic technologist may perform radiography of the skull and </w:t>
      </w:r>
      <w:r w:rsidRPr="00FC5566">
        <w:rPr>
          <w:kern w:val="2"/>
        </w:rPr>
        <w:t>sinuses. Skull refers to the cranium - including facial bones - the paranasal sinuses, and the mandible.</w:t>
      </w:r>
    </w:p>
    <w:p w14:paraId="1ED2847C"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w:t>
      </w:r>
      <w:r w:rsidRPr="00FC5566">
        <w:rPr>
          <w:kern w:val="2"/>
        </w:rPr>
        <w:tab/>
        <w:t>Spine: a limited private radiologic technologist may perform radiography of the spine. Spine refers to cervical, thoracic, and lumbar vertebrae and their articulations, as well as the pelvis and sacrum.</w:t>
      </w:r>
    </w:p>
    <w:p w14:paraId="0D31539B"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5.</w:t>
      </w:r>
      <w:r w:rsidRPr="00FC5566">
        <w:rPr>
          <w:kern w:val="2"/>
        </w:rPr>
        <w:tab/>
        <w:t>Ankle and Foot: a limited private radiologic technologist may perform radiography of the ankle and the foot. The ankle and foot refer to those body parts from the distal phalanges of the foot to the distal one third of the fibula and tibia.</w:t>
      </w:r>
    </w:p>
    <w:p w14:paraId="38610A85"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6.</w:t>
      </w:r>
      <w:r w:rsidRPr="00FC5566">
        <w:rPr>
          <w:kern w:val="2"/>
        </w:rPr>
        <w:tab/>
        <w:t>Abdomen: A limited private radiologic technologist may perform radiography of the abdomen. Abdomen refers to those organs contained within the peritoneal cavity.</w:t>
      </w:r>
    </w:p>
    <w:p w14:paraId="7DDD6668"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The physician shall ensure that a log is maintained showing all repeat radiographic procedures which log shall include identification of the limited private radiographic technologist performing the service. A copy of this log shall be submitted annually at renewal of certification or at such other times as the board may require.</w:t>
      </w:r>
    </w:p>
    <w:p w14:paraId="31AE98AC"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D.</w:t>
      </w:r>
      <w:r w:rsidRPr="00FC5566">
        <w:rPr>
          <w:kern w:val="2"/>
        </w:rPr>
        <w:tab/>
        <w:t>The letter of certification and designation are unique to the specific individual limited private radiologic technologist and corresponding certifying physician and are not transferrable to other individuals or practiced settings.</w:t>
      </w:r>
    </w:p>
    <w:p w14:paraId="1223BFC0"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37:1270(B)(6) and 37:1292.</w:t>
      </w:r>
    </w:p>
    <w:p w14:paraId="007FE43F"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Health and Human Resources, Board of Medical Examiners, LR 52:</w:t>
      </w:r>
    </w:p>
    <w:p w14:paraId="456400E7" w14:textId="77777777" w:rsidR="00FC5566" w:rsidRPr="00FC5566" w:rsidRDefault="00FC5566" w:rsidP="00FC5566">
      <w:pPr>
        <w:keepNext/>
        <w:jc w:val="center"/>
        <w:rPr>
          <w:rFonts w:eastAsia="Calibri"/>
          <w:b/>
          <w:kern w:val="28"/>
        </w:rPr>
      </w:pPr>
      <w:r w:rsidRPr="00FC5566">
        <w:rPr>
          <w:rFonts w:eastAsia="Calibri"/>
          <w:b/>
          <w:kern w:val="28"/>
        </w:rPr>
        <w:t>Family Impact Statement</w:t>
      </w:r>
    </w:p>
    <w:p w14:paraId="28838AB7"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In compliance with Act 1183 of the 1999 Regular Session of the Louisiana Legislature, the impact of the proposed amendments on the family has been considered. It is not anticipated that the proposed amendments will have any impact on family, formation, stability or autonomy, as described in R.S. 49:972.</w:t>
      </w:r>
    </w:p>
    <w:p w14:paraId="596D69E4" w14:textId="77777777" w:rsidR="00FC5566" w:rsidRPr="00FC5566" w:rsidRDefault="00FC5566" w:rsidP="00FC5566">
      <w:pPr>
        <w:keepNext/>
        <w:jc w:val="center"/>
        <w:rPr>
          <w:rFonts w:eastAsia="Calibri"/>
          <w:b/>
          <w:kern w:val="28"/>
        </w:rPr>
      </w:pPr>
      <w:r w:rsidRPr="00FC5566">
        <w:rPr>
          <w:rFonts w:eastAsia="Calibri"/>
          <w:b/>
          <w:kern w:val="28"/>
        </w:rPr>
        <w:t>Poverty Impact Statement</w:t>
      </w:r>
    </w:p>
    <w:p w14:paraId="558440BE"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In compliance with Act 854 of the 2012 Regular Session of the Louisiana Legislature, the impact of the proposed amendments on those that may be living at or below one hundred percent of the federal poverty line has been considered. It is not anticipated that the proposed amendments will have any impact on child, individual or family poverty in relation to individual or community asset development, as described in R.S. 49:973.</w:t>
      </w:r>
    </w:p>
    <w:p w14:paraId="4DB4AEF6" w14:textId="77777777" w:rsidR="00FC5566" w:rsidRPr="00FC5566" w:rsidRDefault="00FC5566" w:rsidP="00FC5566">
      <w:pPr>
        <w:keepNext/>
        <w:jc w:val="center"/>
        <w:rPr>
          <w:rFonts w:eastAsia="Calibri"/>
          <w:b/>
          <w:color w:val="000000"/>
          <w:kern w:val="28"/>
        </w:rPr>
      </w:pPr>
      <w:r w:rsidRPr="00FC5566">
        <w:rPr>
          <w:rFonts w:eastAsia="Calibri"/>
          <w:b/>
          <w:kern w:val="28"/>
        </w:rPr>
        <w:t>Small Business Analysis</w:t>
      </w:r>
    </w:p>
    <w:p w14:paraId="27A8E976"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It is not anticipated that the proposed amendments will have any adverse impact on small businesses as defined in the Regulatory Flexibility Act, R.S. 49:978.1 et seq.</w:t>
      </w:r>
    </w:p>
    <w:p w14:paraId="16112265" w14:textId="77777777" w:rsidR="00FC5566" w:rsidRPr="00FC5566" w:rsidRDefault="00FC5566" w:rsidP="00FC5566">
      <w:pPr>
        <w:keepNext/>
        <w:jc w:val="center"/>
        <w:rPr>
          <w:rFonts w:eastAsia="Calibri"/>
          <w:b/>
          <w:kern w:val="28"/>
        </w:rPr>
      </w:pPr>
      <w:r w:rsidRPr="00FC5566">
        <w:rPr>
          <w:rFonts w:eastAsia="Calibri"/>
          <w:b/>
          <w:kern w:val="28"/>
        </w:rPr>
        <w:t>Provider Impact Statement</w:t>
      </w:r>
    </w:p>
    <w:p w14:paraId="2A613DF5"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In compliance with HCR 170 of the 2014 Regular Session of the Louisiana Legislature, the impact of the proposed amendments on organizations that provide services for individuals with developmental disabilities has been considered. It is not anticipated that the proposed amendments will have any impact on the staffing, costs or overall ability of such organizations to provide the same level of services, as described in HCR 170.</w:t>
      </w:r>
    </w:p>
    <w:p w14:paraId="6F929B7F" w14:textId="77777777" w:rsidR="00FC5566" w:rsidRPr="00FC5566" w:rsidRDefault="00FC5566" w:rsidP="00FC5566">
      <w:pPr>
        <w:keepNext/>
        <w:jc w:val="center"/>
        <w:rPr>
          <w:rFonts w:eastAsia="Calibri"/>
          <w:b/>
          <w:kern w:val="28"/>
        </w:rPr>
      </w:pPr>
      <w:r w:rsidRPr="00FC5566">
        <w:rPr>
          <w:rFonts w:eastAsia="Calibri"/>
          <w:b/>
          <w:kern w:val="28"/>
        </w:rPr>
        <w:t>Public Comments</w:t>
      </w:r>
    </w:p>
    <w:p w14:paraId="66643984"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 xml:space="preserve">Interested persons may submit written data, views, arguments, information or comments on the proposed amendments to Jacintha Duthu, LSBME, 630 Camp Street, </w:t>
      </w:r>
      <w:r w:rsidRPr="00FC5566">
        <w:rPr>
          <w:rFonts w:eastAsia="Calibri"/>
          <w:kern w:val="2"/>
        </w:rPr>
        <w:br w:type="page"/>
      </w:r>
    </w:p>
    <w:p w14:paraId="2DFF69D3" w14:textId="77777777" w:rsidR="00FC5566" w:rsidRPr="00FC5566" w:rsidRDefault="00FC5566" w:rsidP="00FC5566">
      <w:pPr>
        <w:tabs>
          <w:tab w:val="left" w:pos="144"/>
          <w:tab w:val="left" w:pos="187"/>
          <w:tab w:val="left" w:pos="540"/>
          <w:tab w:val="left" w:pos="907"/>
          <w:tab w:val="left" w:pos="1080"/>
        </w:tabs>
        <w:jc w:val="both"/>
        <w:outlineLvl w:val="3"/>
        <w:rPr>
          <w:rFonts w:eastAsia="Calibri"/>
          <w:kern w:val="2"/>
        </w:rPr>
      </w:pPr>
      <w:r w:rsidRPr="00FC5566">
        <w:rPr>
          <w:rFonts w:eastAsia="Calibri"/>
          <w:kern w:val="2"/>
        </w:rPr>
        <w:lastRenderedPageBreak/>
        <w:t>New Orleans, LA 70130. She is responsible for responding to inquiries. Written comments will be accepted until 4 p.m., Thursday, September 24, 2026.</w:t>
      </w:r>
    </w:p>
    <w:p w14:paraId="3A8B9A92" w14:textId="77777777" w:rsidR="00FC5566" w:rsidRPr="00FC5566" w:rsidRDefault="00FC5566" w:rsidP="00FC5566">
      <w:pPr>
        <w:keepNext/>
        <w:jc w:val="center"/>
        <w:rPr>
          <w:rFonts w:eastAsia="Calibri"/>
          <w:b/>
          <w:kern w:val="28"/>
        </w:rPr>
      </w:pPr>
      <w:r w:rsidRPr="00FC5566">
        <w:rPr>
          <w:rFonts w:eastAsia="Calibri"/>
          <w:b/>
          <w:kern w:val="28"/>
        </w:rPr>
        <w:t xml:space="preserve">Public Hearing </w:t>
      </w:r>
    </w:p>
    <w:p w14:paraId="18B5A17E"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A request pursuant to R.S. 49:953(A)(2) for a public hearing must be made in writing and received by the Board within 20 days of the date of this notice. If a public hearing is requested to provide data, views, arguments, information or comments orally in accordance with the Louisiana Administrative Procedure Act, the hearing will be held on Thursday, September 24, 2026</w:t>
      </w:r>
      <w:r w:rsidRPr="00FC5566">
        <w:rPr>
          <w:rFonts w:eastAsia="Calibri"/>
          <w:color w:val="4472C4"/>
          <w:kern w:val="2"/>
        </w:rPr>
        <w:t xml:space="preserve"> </w:t>
      </w:r>
      <w:r w:rsidRPr="00FC5566">
        <w:rPr>
          <w:rFonts w:eastAsia="Calibri"/>
          <w:kern w:val="2"/>
        </w:rPr>
        <w:t>at 9:30 a.m., at the office of the LSBME, 630 Camp Street, New Orleans, LA 70130. Any person wishing to attend should call in advance to confirm.</w:t>
      </w:r>
    </w:p>
    <w:p w14:paraId="0B011912"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p>
    <w:p w14:paraId="442B8727" w14:textId="77777777" w:rsidR="00FC5566" w:rsidRPr="00FC5566" w:rsidRDefault="00FC5566" w:rsidP="00FC5566">
      <w:pPr>
        <w:keepNext/>
        <w:ind w:left="2160"/>
        <w:jc w:val="both"/>
        <w:rPr>
          <w:rFonts w:eastAsia="Calibri"/>
        </w:rPr>
      </w:pPr>
      <w:r w:rsidRPr="00FC5566">
        <w:rPr>
          <w:rFonts w:eastAsia="Calibri"/>
        </w:rPr>
        <w:t>Vincent A. Culotta, Jr., M.D.,</w:t>
      </w:r>
    </w:p>
    <w:p w14:paraId="54ECC52C" w14:textId="77777777" w:rsidR="00FC5566" w:rsidRPr="00FC5566" w:rsidRDefault="00FC5566" w:rsidP="00FC5566">
      <w:pPr>
        <w:keepNext/>
        <w:ind w:left="2160"/>
        <w:jc w:val="both"/>
        <w:rPr>
          <w:rFonts w:eastAsia="Calibri"/>
        </w:rPr>
      </w:pPr>
      <w:r w:rsidRPr="00FC5566">
        <w:rPr>
          <w:rFonts w:eastAsia="Calibri"/>
        </w:rPr>
        <w:t>Executive Director</w:t>
      </w:r>
    </w:p>
    <w:p w14:paraId="1A55194E" w14:textId="77777777" w:rsidR="00FC5566" w:rsidRPr="00FC5566" w:rsidRDefault="00FC5566" w:rsidP="00FC5566">
      <w:pPr>
        <w:keepNext/>
        <w:jc w:val="center"/>
        <w:rPr>
          <w:b/>
        </w:rPr>
      </w:pPr>
    </w:p>
    <w:p w14:paraId="4DB88387" w14:textId="77777777" w:rsidR="00FC5566" w:rsidRPr="00FC5566" w:rsidRDefault="00FC5566" w:rsidP="00FC5566">
      <w:pPr>
        <w:keepNext/>
        <w:jc w:val="center"/>
        <w:rPr>
          <w:b/>
        </w:rPr>
      </w:pPr>
      <w:r w:rsidRPr="00FC5566">
        <w:rPr>
          <w:b/>
        </w:rPr>
        <w:t>FISCAL AND ECONOMIC IMPACT STATEMENT FOR ADMINISTRATIVE RULES</w:t>
      </w:r>
    </w:p>
    <w:p w14:paraId="3A9AA2BE" w14:textId="77777777" w:rsidR="00FC5566" w:rsidRPr="00FC5566" w:rsidRDefault="00FC5566" w:rsidP="00FC5566">
      <w:pPr>
        <w:keepNext/>
        <w:jc w:val="center"/>
        <w:rPr>
          <w:b/>
          <w:noProof/>
        </w:rPr>
      </w:pPr>
      <w:r w:rsidRPr="00FC5566">
        <w:rPr>
          <w:b/>
          <w:noProof/>
        </w:rPr>
        <w:t>RULE TITLE:  Private Radiological Technologists</w:t>
      </w:r>
    </w:p>
    <w:p w14:paraId="59621E8D"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243AE4A9" w14:textId="77777777" w:rsidR="00FC5566" w:rsidRPr="00FC5566" w:rsidRDefault="00FC5566" w:rsidP="00FC5566">
      <w:pPr>
        <w:ind w:left="288" w:hanging="288"/>
        <w:jc w:val="both"/>
        <w:rPr>
          <w:spacing w:val="-10"/>
          <w:sz w:val="18"/>
        </w:rPr>
      </w:pPr>
      <w:r w:rsidRPr="00FC5566">
        <w:rPr>
          <w:spacing w:val="-10"/>
          <w:sz w:val="18"/>
        </w:rPr>
        <w:t>I.</w:t>
      </w:r>
      <w:r w:rsidRPr="00FC5566">
        <w:rPr>
          <w:spacing w:val="-10"/>
          <w:sz w:val="18"/>
        </w:rPr>
        <w:tab/>
        <w:t>ESTIMATED IMPLEMENTATION COSTS (SAVINGS) TO STATE OR LOCAL GOVERNMENT UNITS (Summary)</w:t>
      </w:r>
    </w:p>
    <w:p w14:paraId="0262EE48" w14:textId="77777777" w:rsidR="00FC5566" w:rsidRPr="00FC5566" w:rsidRDefault="00FC5566" w:rsidP="00FC5566">
      <w:pPr>
        <w:ind w:left="288" w:firstLine="288"/>
        <w:jc w:val="both"/>
        <w:rPr>
          <w:noProof/>
          <w:sz w:val="18"/>
        </w:rPr>
      </w:pPr>
      <w:r w:rsidRPr="00FC5566">
        <w:rPr>
          <w:noProof/>
          <w:sz w:val="18"/>
        </w:rPr>
        <w:t>Other than the cost of rulemaking, there are no estimated implementation costs or savings for state or local government units resulting from the promulgation of the proposed rule change. The cost for the Louisiana State Board of Medical Examiners (LSBME) is approximately $640 SGR in FY 27 for the notice and rule publication in the Louisiana Register.</w:t>
      </w:r>
    </w:p>
    <w:p w14:paraId="285BED31" w14:textId="77777777" w:rsidR="00FC5566" w:rsidRPr="00FC5566" w:rsidRDefault="00FC5566" w:rsidP="00FC5566">
      <w:pPr>
        <w:ind w:left="288" w:firstLine="288"/>
        <w:jc w:val="both"/>
        <w:rPr>
          <w:sz w:val="18"/>
        </w:rPr>
      </w:pPr>
      <w:r w:rsidRPr="00FC5566">
        <w:rPr>
          <w:sz w:val="18"/>
        </w:rPr>
        <w:t>The proposed rule creates a certificate entitled "Limited Private Radiological Technologist". The certificate holder has limited scope of practice and applies ionizing radiation to specific parts of the human body for imaging purposes, excluding the administration of radiopharmaceuticals, while under the supervision of a licensed physician. The proposed rule additionally provides for the renewal of the certification.</w:t>
      </w:r>
    </w:p>
    <w:p w14:paraId="69A72AA5" w14:textId="77777777" w:rsidR="00FC5566" w:rsidRPr="00FC5566" w:rsidRDefault="00FC5566" w:rsidP="00FC5566">
      <w:pPr>
        <w:ind w:left="288" w:hanging="288"/>
        <w:jc w:val="both"/>
        <w:rPr>
          <w:spacing w:val="-10"/>
          <w:sz w:val="18"/>
        </w:rPr>
      </w:pPr>
      <w:r w:rsidRPr="00FC5566">
        <w:rPr>
          <w:spacing w:val="-10"/>
          <w:sz w:val="18"/>
        </w:rPr>
        <w:t>II.</w:t>
      </w:r>
      <w:r w:rsidRPr="00FC5566">
        <w:rPr>
          <w:spacing w:val="-10"/>
          <w:sz w:val="18"/>
        </w:rPr>
        <w:tab/>
        <w:t>ESTIMATED EFFECT ON REVENUE COLLECTIONS OF STATE OR LOCAL GOVERNMENTAL UNITS (Summary)</w:t>
      </w:r>
    </w:p>
    <w:p w14:paraId="4D1BF57A" w14:textId="77777777" w:rsidR="00FC5566" w:rsidRPr="00FC5566" w:rsidRDefault="00FC5566" w:rsidP="00FC5566">
      <w:pPr>
        <w:ind w:left="288" w:firstLine="288"/>
        <w:jc w:val="both"/>
        <w:rPr>
          <w:sz w:val="18"/>
        </w:rPr>
      </w:pPr>
      <w:r w:rsidRPr="00FC5566">
        <w:rPr>
          <w:sz w:val="18"/>
        </w:rPr>
        <w:t>The proposed rule change is not anticipated to impact the revenue collections of state or local governmental units.</w:t>
      </w:r>
    </w:p>
    <w:p w14:paraId="44A514A0" w14:textId="77777777" w:rsidR="00FC5566" w:rsidRPr="00FC5566" w:rsidRDefault="00FC5566" w:rsidP="00FC5566">
      <w:pPr>
        <w:ind w:left="288" w:hanging="288"/>
        <w:jc w:val="both"/>
        <w:rPr>
          <w:spacing w:val="-10"/>
          <w:sz w:val="18"/>
        </w:rPr>
      </w:pPr>
      <w:r w:rsidRPr="00FC5566">
        <w:rPr>
          <w:spacing w:val="-10"/>
          <w:sz w:val="18"/>
        </w:rPr>
        <w:t>III.</w:t>
      </w:r>
      <w:r w:rsidRPr="00FC5566">
        <w:rPr>
          <w:spacing w:val="-10"/>
          <w:sz w:val="18"/>
        </w:rPr>
        <w:tab/>
        <w:t>ESTIMATED COSTS AND/OR ECONOMIC BENEFITS TO DIRECTLY AFFECTED PERSONS, SMALL BUSINESSES, OR NONGOVERNMENTAL GROUPS (Summary)</w:t>
      </w:r>
    </w:p>
    <w:p w14:paraId="0C1506A9" w14:textId="77777777" w:rsidR="00FC5566" w:rsidRPr="00FC5566" w:rsidRDefault="00FC5566" w:rsidP="00FC5566">
      <w:pPr>
        <w:ind w:left="288" w:firstLine="288"/>
        <w:jc w:val="both"/>
        <w:rPr>
          <w:sz w:val="18"/>
        </w:rPr>
      </w:pPr>
      <w:r w:rsidRPr="00FC5566">
        <w:rPr>
          <w:sz w:val="18"/>
        </w:rPr>
        <w:t>The proposed rule is not anticipated to result in material economic benefits or costs to small businesses or non-governmental groups as this modification simply expands the pool of individuals who may be hired and trained to work as a limited private radiological technologist (PRT). However, it lowers the barrier to entry into the field to potentially allow more economic opportunity to affected persons and providers.</w:t>
      </w:r>
    </w:p>
    <w:p w14:paraId="1DAD2E47" w14:textId="77777777" w:rsidR="00FC5566" w:rsidRPr="00FC5566" w:rsidRDefault="00FC5566" w:rsidP="00FC5566">
      <w:pPr>
        <w:ind w:left="288" w:hanging="288"/>
        <w:jc w:val="both"/>
        <w:rPr>
          <w:spacing w:val="-10"/>
          <w:sz w:val="18"/>
        </w:rPr>
      </w:pPr>
      <w:r w:rsidRPr="00FC5566">
        <w:rPr>
          <w:spacing w:val="-10"/>
          <w:sz w:val="18"/>
        </w:rPr>
        <w:t>IV.</w:t>
      </w:r>
      <w:r w:rsidRPr="00FC5566">
        <w:rPr>
          <w:spacing w:val="-10"/>
          <w:sz w:val="18"/>
        </w:rPr>
        <w:tab/>
        <w:t>ESTIMATED EFFECT ON COMPETITION AND EMPLOYMENT (Summary)</w:t>
      </w:r>
    </w:p>
    <w:p w14:paraId="17D52C11" w14:textId="77777777" w:rsidR="00FC5566" w:rsidRPr="00FC5566" w:rsidRDefault="00FC5566" w:rsidP="00FC5566">
      <w:pPr>
        <w:ind w:left="288" w:firstLine="288"/>
        <w:jc w:val="both"/>
        <w:rPr>
          <w:sz w:val="18"/>
        </w:rPr>
      </w:pPr>
      <w:r w:rsidRPr="00FC5566">
        <w:rPr>
          <w:sz w:val="18"/>
        </w:rPr>
        <w:t>The proposed rule change will create more jobs as clinics and small practices can hire and train PRTs. It lowers the barrier to entry into the field to allow more economic opportunity. These changes are anticipated to create more jobs for individuals working in a practice as a private radiological technologist and to allow for small practices across the state to offer services to patients where a PRT is necessary.</w:t>
      </w:r>
    </w:p>
    <w:p w14:paraId="68084C95" w14:textId="77777777" w:rsidR="00FC5566" w:rsidRPr="00FC5566" w:rsidRDefault="00FC5566" w:rsidP="00FC5566">
      <w:pPr>
        <w:ind w:left="288" w:firstLine="288"/>
        <w:jc w:val="both"/>
        <w:rPr>
          <w:sz w:val="18"/>
        </w:rPr>
      </w:pPr>
    </w:p>
    <w:p w14:paraId="216EEA1D" w14:textId="77777777" w:rsidR="00FC5566" w:rsidRPr="00FC5566" w:rsidRDefault="00FC5566" w:rsidP="00FC5566">
      <w:pPr>
        <w:tabs>
          <w:tab w:val="left" w:pos="2880"/>
          <w:tab w:val="decimal" w:pos="2988"/>
        </w:tabs>
        <w:outlineLvl w:val="8"/>
        <w:rPr>
          <w:kern w:val="2"/>
          <w:sz w:val="18"/>
        </w:rPr>
      </w:pPr>
      <w:r w:rsidRPr="00FC5566">
        <w:rPr>
          <w:kern w:val="2"/>
          <w:sz w:val="18"/>
        </w:rPr>
        <w:t>Dr. Vincent Culotta, Jr.</w:t>
      </w:r>
      <w:r w:rsidRPr="00FC5566">
        <w:rPr>
          <w:kern w:val="2"/>
          <w:sz w:val="18"/>
        </w:rPr>
        <w:tab/>
        <w:t>Patrice Thomas</w:t>
      </w:r>
    </w:p>
    <w:p w14:paraId="37182949" w14:textId="77777777" w:rsidR="00FC5566" w:rsidRPr="00FC5566" w:rsidRDefault="00FC5566" w:rsidP="00FC5566">
      <w:pPr>
        <w:tabs>
          <w:tab w:val="left" w:pos="2880"/>
          <w:tab w:val="decimal" w:pos="2988"/>
        </w:tabs>
        <w:outlineLvl w:val="8"/>
        <w:rPr>
          <w:kern w:val="2"/>
          <w:sz w:val="18"/>
        </w:rPr>
      </w:pPr>
      <w:r w:rsidRPr="00FC5566">
        <w:rPr>
          <w:kern w:val="2"/>
          <w:sz w:val="18"/>
        </w:rPr>
        <w:t>Executive Director</w:t>
      </w:r>
      <w:r w:rsidRPr="00FC5566">
        <w:rPr>
          <w:kern w:val="2"/>
          <w:sz w:val="18"/>
        </w:rPr>
        <w:tab/>
        <w:t>Deputy Fiscal Officer</w:t>
      </w:r>
    </w:p>
    <w:p w14:paraId="34F4ABB0" w14:textId="77777777" w:rsidR="00FC5566" w:rsidRPr="00FC5566" w:rsidRDefault="00FC5566" w:rsidP="00FC5566">
      <w:pPr>
        <w:tabs>
          <w:tab w:val="left" w:pos="2880"/>
          <w:tab w:val="decimal" w:pos="2988"/>
        </w:tabs>
        <w:outlineLvl w:val="8"/>
        <w:rPr>
          <w:kern w:val="2"/>
          <w:sz w:val="18"/>
        </w:rPr>
      </w:pPr>
      <w:r w:rsidRPr="00FC5566">
        <w:rPr>
          <w:noProof/>
          <w:sz w:val="16"/>
        </w:rPr>
        <w:t>2608#013</w:t>
      </w:r>
      <w:r w:rsidRPr="00FC5566">
        <w:rPr>
          <w:kern w:val="2"/>
        </w:rPr>
        <w:tab/>
      </w:r>
      <w:r w:rsidRPr="00FC5566">
        <w:rPr>
          <w:kern w:val="2"/>
          <w:sz w:val="18"/>
        </w:rPr>
        <w:t>Legislative Fiscal Office</w:t>
      </w:r>
    </w:p>
    <w:p w14:paraId="296B546F" w14:textId="77777777" w:rsidR="00FC5566" w:rsidRPr="00FC5566" w:rsidRDefault="00FC5566" w:rsidP="00FC5566"/>
    <w:p w14:paraId="1592E378" w14:textId="77777777" w:rsidR="00FC5566" w:rsidRPr="00FC5566" w:rsidRDefault="00FC5566" w:rsidP="00FC5566">
      <w:pPr>
        <w:keepNext/>
        <w:tabs>
          <w:tab w:val="left" w:pos="-1440"/>
        </w:tabs>
        <w:spacing w:after="120"/>
        <w:jc w:val="center"/>
        <w:rPr>
          <w:rFonts w:eastAsia="Calibri"/>
          <w:b/>
          <w:noProof/>
        </w:rPr>
      </w:pPr>
      <w:r w:rsidRPr="00FC5566">
        <w:rPr>
          <w:rFonts w:eastAsia="Calibri"/>
          <w:b/>
          <w:noProof/>
        </w:rPr>
        <w:t>NOTICE OF INTENT</w:t>
      </w:r>
    </w:p>
    <w:p w14:paraId="3F2D2E76" w14:textId="77777777" w:rsidR="00FC5566" w:rsidRPr="00FC5566" w:rsidRDefault="00FC5566" w:rsidP="00FC5566">
      <w:pPr>
        <w:keepNext/>
        <w:jc w:val="center"/>
        <w:rPr>
          <w:rFonts w:eastAsia="Calibri"/>
          <w:b/>
          <w:noProof/>
        </w:rPr>
      </w:pPr>
      <w:r w:rsidRPr="00FC5566">
        <w:rPr>
          <w:rFonts w:eastAsia="Calibri"/>
          <w:b/>
          <w:noProof/>
        </w:rPr>
        <w:t>Department of Health</w:t>
      </w:r>
    </w:p>
    <w:p w14:paraId="435C43BA" w14:textId="77777777" w:rsidR="00FC5566" w:rsidRPr="00FC5566" w:rsidRDefault="00FC5566" w:rsidP="00FC5566">
      <w:pPr>
        <w:keepNext/>
        <w:jc w:val="center"/>
        <w:rPr>
          <w:rFonts w:eastAsia="Calibri"/>
          <w:b/>
          <w:noProof/>
        </w:rPr>
      </w:pPr>
      <w:r w:rsidRPr="00FC5566">
        <w:rPr>
          <w:rFonts w:eastAsia="Calibri"/>
          <w:b/>
          <w:noProof/>
        </w:rPr>
        <w:t>Bureau of Health Services Financing</w:t>
      </w:r>
    </w:p>
    <w:p w14:paraId="459F0EC3" w14:textId="77777777" w:rsidR="00FC5566" w:rsidRPr="00FC5566" w:rsidRDefault="00FC5566" w:rsidP="00FC5566">
      <w:pPr>
        <w:keepNext/>
        <w:jc w:val="center"/>
        <w:rPr>
          <w:rFonts w:eastAsia="Calibri"/>
          <w:b/>
          <w:noProof/>
        </w:rPr>
      </w:pPr>
      <w:r w:rsidRPr="00FC5566">
        <w:rPr>
          <w:rFonts w:eastAsia="Calibri"/>
          <w:b/>
          <w:noProof/>
        </w:rPr>
        <w:t>and</w:t>
      </w:r>
    </w:p>
    <w:p w14:paraId="020620AA" w14:textId="77777777" w:rsidR="00FC5566" w:rsidRPr="00FC5566" w:rsidRDefault="00FC5566" w:rsidP="00FC5566">
      <w:pPr>
        <w:keepNext/>
        <w:jc w:val="center"/>
        <w:rPr>
          <w:rFonts w:eastAsia="Calibri"/>
          <w:b/>
          <w:noProof/>
        </w:rPr>
      </w:pPr>
      <w:r w:rsidRPr="00FC5566">
        <w:rPr>
          <w:rFonts w:eastAsia="Calibri"/>
          <w:b/>
          <w:noProof/>
        </w:rPr>
        <w:t>Office of Behavioral Health</w:t>
      </w:r>
    </w:p>
    <w:p w14:paraId="401FDAB9" w14:textId="77777777" w:rsidR="00FC5566" w:rsidRPr="00FC5566" w:rsidRDefault="00FC5566" w:rsidP="00FC5566">
      <w:pPr>
        <w:keepNext/>
        <w:spacing w:before="240" w:after="240"/>
        <w:jc w:val="center"/>
        <w:rPr>
          <w:rFonts w:eastAsia="Calibri" w:cs="Courier New"/>
          <w:noProof/>
          <w:szCs w:val="24"/>
        </w:rPr>
      </w:pPr>
      <w:r w:rsidRPr="00FC5566">
        <w:rPr>
          <w:rFonts w:eastAsia="Calibri"/>
          <w:noProof/>
        </w:rPr>
        <w:t>Certified Community Behavioral Health Clinics</w:t>
      </w:r>
      <w:r w:rsidRPr="00FC5566">
        <w:rPr>
          <w:rFonts w:eastAsia="Calibri"/>
          <w:noProof/>
        </w:rPr>
        <w:br/>
      </w:r>
      <w:r w:rsidRPr="00FC5566">
        <w:rPr>
          <w:rFonts w:eastAsia="Calibri" w:cs="Courier New"/>
          <w:noProof/>
          <w:szCs w:val="24"/>
        </w:rPr>
        <w:t>(LAC 50:XI.Chapters 171 - 179)</w:t>
      </w:r>
    </w:p>
    <w:p w14:paraId="2116B132"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The Department of Health, Bureau of Health Services Financing and the Office of Behavioral Health propose to adopt LAC 50:XI.Chapters 171 - 179 in the Medical Assistance Program as authorized by R.S. 36:254 and pursuant to Title XIX of the Social Security Act. This proposed Rule is promulgated in accordance with the provisions of the Administrative Procedure Act, R.S. 49:950 et seq.</w:t>
      </w:r>
    </w:p>
    <w:p w14:paraId="7E98884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 xml:space="preserve">The Department of Health, Bureau of Health Services Financing and the Office of Behavioral Health, proposes to adopt provisions for the Certified Community Behavioral Health Clinic (CCBHC) model. Louisiana participates in the Section 223 Demonstration, created under the Protecting Access to Medicare Act of 2014 and later expanded by the Bipartisan Safer Communities Act of 2022. These laws provide federal standards for the CCBHC model, including required services and how clinics are paid. This proposed Rule would add the CCBHC model to the Medicaid program and set basic requirements for services, provider responsibilities, and reimbursement for clinics that participate. </w:t>
      </w:r>
    </w:p>
    <w:p w14:paraId="3CB1FA9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The proposed Rule text below has been drafted utilizing plain language principles to ensure clarity and accessibility for all users. It has also been reviewed and tested for compliance with web accessibility standards.</w:t>
      </w:r>
    </w:p>
    <w:p w14:paraId="12E66B9D" w14:textId="77777777" w:rsidR="00FC5566" w:rsidRPr="00FC5566" w:rsidRDefault="00FC5566" w:rsidP="00FC5566">
      <w:pPr>
        <w:keepNext/>
        <w:jc w:val="center"/>
        <w:rPr>
          <w:b/>
          <w:kern w:val="28"/>
        </w:rPr>
      </w:pPr>
      <w:r w:rsidRPr="00FC5566">
        <w:rPr>
          <w:b/>
          <w:kern w:val="28"/>
        </w:rPr>
        <w:t>Title 50</w:t>
      </w:r>
    </w:p>
    <w:p w14:paraId="2CBB1ED5" w14:textId="77777777" w:rsidR="00FC5566" w:rsidRPr="00FC5566" w:rsidRDefault="00FC5566" w:rsidP="00FC5566">
      <w:pPr>
        <w:keepNext/>
        <w:jc w:val="center"/>
        <w:rPr>
          <w:b/>
          <w:kern w:val="28"/>
        </w:rPr>
      </w:pPr>
      <w:r w:rsidRPr="00FC5566">
        <w:rPr>
          <w:b/>
          <w:kern w:val="28"/>
        </w:rPr>
        <w:t>PUBLIC HEALTH-MEDICAL ASSISTANCE</w:t>
      </w:r>
    </w:p>
    <w:p w14:paraId="219A9F15" w14:textId="77777777" w:rsidR="00FC5566" w:rsidRPr="00FC5566" w:rsidRDefault="00FC5566" w:rsidP="00FC5566">
      <w:pPr>
        <w:keepNext/>
        <w:jc w:val="center"/>
        <w:rPr>
          <w:b/>
          <w:noProof/>
        </w:rPr>
      </w:pPr>
      <w:r w:rsidRPr="00FC5566">
        <w:rPr>
          <w:b/>
          <w:noProof/>
        </w:rPr>
        <w:t>Part XI.  Clinic Services</w:t>
      </w:r>
    </w:p>
    <w:p w14:paraId="43D5A9F7" w14:textId="77777777" w:rsidR="00FC5566" w:rsidRPr="00FC5566" w:rsidRDefault="00FC5566" w:rsidP="00FC5566">
      <w:pPr>
        <w:keepNext/>
        <w:jc w:val="center"/>
        <w:rPr>
          <w:b/>
          <w:noProof/>
        </w:rPr>
      </w:pPr>
      <w:r w:rsidRPr="00FC5566">
        <w:rPr>
          <w:b/>
          <w:noProof/>
        </w:rPr>
        <w:t>Subpart 17.  Certified Community Behavioral Health Clinics</w:t>
      </w:r>
    </w:p>
    <w:p w14:paraId="76E6518D"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Chapter 171.</w:t>
      </w:r>
      <w:r w:rsidRPr="00FC5566">
        <w:rPr>
          <w:b/>
          <w:kern w:val="2"/>
        </w:rPr>
        <w:tab/>
        <w:t>General Provisions</w:t>
      </w:r>
    </w:p>
    <w:p w14:paraId="7CD392D8"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§17101.</w:t>
      </w:r>
      <w:r w:rsidRPr="00FC5566">
        <w:rPr>
          <w:b/>
          <w:kern w:val="2"/>
        </w:rPr>
        <w:tab/>
        <w:t>Introduction</w:t>
      </w:r>
    </w:p>
    <w:p w14:paraId="5BB555C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The Certified Community Behavioral Health Clinic (CCBHC) and the core services provided for in this Subpart are authorized pursuant to Section 223 of the Protecting Access to Medicare Act (PAMA).</w:t>
      </w:r>
    </w:p>
    <w:p w14:paraId="56A900D2"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The department shall administer the services provided for in this Subpart. It may collaborate with the managed care organizations (MCOs) and the coordinated system of care (CSoC) contractor in the administration of services. The department may provide that the MCOs and CSOC contractor be responsible for the necessary operational and administrative functions to ensure adequate service coordination and delivery.</w:t>
      </w:r>
    </w:p>
    <w:p w14:paraId="2C915B59"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36:254 and Title XIX of the Social Security Act.</w:t>
      </w:r>
    </w:p>
    <w:p w14:paraId="5F6A1DC0"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Health, Bureau of Health Services Financing and the Office of Behavioral Health, LR 52:</w:t>
      </w:r>
    </w:p>
    <w:p w14:paraId="05044657"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br w:type="page"/>
      </w:r>
    </w:p>
    <w:p w14:paraId="100B2730"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lastRenderedPageBreak/>
        <w:t>§17103.</w:t>
      </w:r>
      <w:r w:rsidRPr="00FC5566">
        <w:rPr>
          <w:b/>
          <w:kern w:val="2"/>
        </w:rPr>
        <w:tab/>
        <w:t>Recipient Qualifications</w:t>
      </w:r>
    </w:p>
    <w:p w14:paraId="16EB1D07"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CCBHC services are available to all individuals seeking help for a mental health or substance use condition, including individuals experiencing a mental health or substance use-related crisis.</w:t>
      </w:r>
    </w:p>
    <w:p w14:paraId="54C55F0C"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Any individual may be screened for service eligibility in a CCBHC, regardless of residence or ability to pay.</w:t>
      </w:r>
    </w:p>
    <w:p w14:paraId="32DC3078"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36:254 and Title XIX of the Social Security Act.</w:t>
      </w:r>
    </w:p>
    <w:p w14:paraId="443C2EA8"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Health, Bureau of Health Services Financing and the Office of Behavioral Health, LR 52:</w:t>
      </w:r>
    </w:p>
    <w:p w14:paraId="53D6AC4F"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Chapter 173.</w:t>
      </w:r>
      <w:r w:rsidRPr="00FC5566">
        <w:rPr>
          <w:b/>
          <w:kern w:val="2"/>
        </w:rPr>
        <w:tab/>
        <w:t>Services</w:t>
      </w:r>
    </w:p>
    <w:p w14:paraId="6D9D4543"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§17301.</w:t>
      </w:r>
      <w:r w:rsidRPr="00FC5566">
        <w:rPr>
          <w:b/>
          <w:kern w:val="2"/>
        </w:rPr>
        <w:tab/>
        <w:t>Core Services</w:t>
      </w:r>
    </w:p>
    <w:p w14:paraId="4577112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The CCBHC shall ensure access to the following core services:</w:t>
      </w:r>
    </w:p>
    <w:p w14:paraId="03D8E726"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crisis intervention services, available and accessible 24-hours a day, seven days a week;</w:t>
      </w:r>
    </w:p>
    <w:p w14:paraId="33284D36"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 xml:space="preserve">screening, assessment, and diagnostic evaluations; </w:t>
      </w:r>
    </w:p>
    <w:p w14:paraId="2C26D122"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 xml:space="preserve">person and family-centered treatment planning; </w:t>
      </w:r>
    </w:p>
    <w:p w14:paraId="6831C7E3"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w:t>
      </w:r>
      <w:r w:rsidRPr="00FC5566">
        <w:rPr>
          <w:kern w:val="2"/>
        </w:rPr>
        <w:tab/>
        <w:t>outpatient behavioral health services, including evidence-based programs;</w:t>
      </w:r>
    </w:p>
    <w:p w14:paraId="58CE34B1"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5.</w:t>
      </w:r>
      <w:r w:rsidRPr="00FC5566">
        <w:rPr>
          <w:kern w:val="2"/>
        </w:rPr>
        <w:tab/>
        <w:t xml:space="preserve">outpatient primary care screening and monitoring; </w:t>
      </w:r>
    </w:p>
    <w:p w14:paraId="79C85359"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6.</w:t>
      </w:r>
      <w:r w:rsidRPr="00FC5566">
        <w:rPr>
          <w:kern w:val="2"/>
        </w:rPr>
        <w:tab/>
        <w:t>targeted case management (TCM);</w:t>
      </w:r>
    </w:p>
    <w:p w14:paraId="15327080"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7.</w:t>
      </w:r>
      <w:r w:rsidRPr="00FC5566">
        <w:rPr>
          <w:kern w:val="2"/>
        </w:rPr>
        <w:tab/>
        <w:t xml:space="preserve">psychiatric rehabilitation; </w:t>
      </w:r>
    </w:p>
    <w:p w14:paraId="4B129905"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8.</w:t>
      </w:r>
      <w:r w:rsidRPr="00FC5566">
        <w:rPr>
          <w:kern w:val="2"/>
        </w:rPr>
        <w:tab/>
        <w:t xml:space="preserve">peer and family supports; and </w:t>
      </w:r>
    </w:p>
    <w:p w14:paraId="23852956"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9.</w:t>
      </w:r>
      <w:r w:rsidRPr="00FC5566">
        <w:rPr>
          <w:kern w:val="2"/>
        </w:rPr>
        <w:tab/>
        <w:t>intensive community-based outpatient behavioral healthcare for members of the U.S. Armed Forces and for veterans.</w:t>
      </w:r>
    </w:p>
    <w:p w14:paraId="468F9DE3"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CCBHC Services shall be provided in accordance with LAC 48:I:5751.</w:t>
      </w:r>
    </w:p>
    <w:p w14:paraId="0EA8D88C"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The CCBHC may utilize a designated collaborating organization (DCO) to provide services. If a DCO is utilized, the CCBHC shall directly provide at least 51 percent of all service encounters. Crisis services shall be excluded from the percentage calculation.</w:t>
      </w:r>
    </w:p>
    <w:p w14:paraId="7E88267B"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36:254 and Title XIX of the Social Security Act.</w:t>
      </w:r>
    </w:p>
    <w:p w14:paraId="483942A8"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Health, Bureau of Health Services Financing and the Office of Behavioral Health, LR 52:</w:t>
      </w:r>
    </w:p>
    <w:p w14:paraId="57BEF82D"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§17303.</w:t>
      </w:r>
      <w:r w:rsidRPr="00FC5566">
        <w:rPr>
          <w:b/>
          <w:kern w:val="2"/>
        </w:rPr>
        <w:tab/>
        <w:t>Service Limits and Exclusions</w:t>
      </w:r>
    </w:p>
    <w:p w14:paraId="5443CBAF"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There shall be no limits placed on the number of medically necessary CCBHC services that a member may receive each day.</w:t>
      </w:r>
    </w:p>
    <w:p w14:paraId="47E9E3A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CCBHC members are eligible for other Medicaid covered services when medically necessary. Duplication of services is prohibited.</w:t>
      </w:r>
    </w:p>
    <w:p w14:paraId="72CF206F"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The following exclusions shall apply:</w:t>
      </w:r>
    </w:p>
    <w:p w14:paraId="0F1C26F5"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Members shall only receive CCBHC services from one CCBHC at a time.</w:t>
      </w:r>
    </w:p>
    <w:p w14:paraId="460F3662"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Members shall not receive assertive community treatment (ACT) services from outside providers while receiving services from the CCBHC or its designated collaborating organization (DCO).</w:t>
      </w:r>
    </w:p>
    <w:p w14:paraId="50A61BFA"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Members enrolled in coordinated system of care (CSoC) shall not receive targeted case management (TCM) or peer and family peer support (FPS) services from the CCBHC.</w:t>
      </w:r>
    </w:p>
    <w:p w14:paraId="0F8C1F83"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w:t>
      </w:r>
      <w:r w:rsidRPr="00FC5566">
        <w:rPr>
          <w:kern w:val="2"/>
        </w:rPr>
        <w:tab/>
        <w:t>Members receiving ACT from the CCBHC shall not receive other services that are duplicative of the ACT model.</w:t>
      </w:r>
    </w:p>
    <w:p w14:paraId="0DA1A85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br w:type="column"/>
      </w:r>
      <w:r w:rsidRPr="00FC5566">
        <w:rPr>
          <w:kern w:val="2"/>
        </w:rPr>
        <w:t>D.</w:t>
      </w:r>
      <w:r w:rsidRPr="00FC5566">
        <w:rPr>
          <w:kern w:val="2"/>
        </w:rPr>
        <w:tab/>
        <w:t>Prior authorization (PA) of CCBHC services is prohibited.</w:t>
      </w:r>
    </w:p>
    <w:p w14:paraId="0DC359CA"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36:254 and Title XIX of the Social Security Act.</w:t>
      </w:r>
    </w:p>
    <w:p w14:paraId="1A58417F"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Health, Bureau of Health Services Financing and the Office of Behavioral Health, LR 52:</w:t>
      </w:r>
    </w:p>
    <w:p w14:paraId="46D577EF"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Chapter 175.</w:t>
      </w:r>
      <w:r w:rsidRPr="00FC5566">
        <w:rPr>
          <w:b/>
          <w:kern w:val="2"/>
        </w:rPr>
        <w:tab/>
        <w:t>Provider Participation</w:t>
      </w:r>
    </w:p>
    <w:p w14:paraId="0666DAA7"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§17501.</w:t>
      </w:r>
      <w:r w:rsidRPr="00FC5566">
        <w:rPr>
          <w:b/>
          <w:kern w:val="2"/>
        </w:rPr>
        <w:tab/>
        <w:t>Provider Responsibilities</w:t>
      </w:r>
    </w:p>
    <w:p w14:paraId="32DEEF7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The CCBHC must submit a completed provider enrollment packet in order to enroll and participate in the Medicaid Program. Each CCBHC shall enter into a contract with one or more of the MCOs and the CSoC contractor in order to receive reimbursement in accordance with LAC 50:XI.Chapter 177.</w:t>
      </w:r>
    </w:p>
    <w:p w14:paraId="2D94936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All services shall be delivered in accordance with federal and state laws and regulations, licensing regulations, the provisions of this rule, and other sub-regulatory guidance the provider is required to follow pursuant to its enrollment agreement(s).</w:t>
      </w:r>
    </w:p>
    <w:p w14:paraId="37E87A1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The CCBHC shall maintain compliance with state and federal regulatory authorities for operation, including but not limited to Substance Abuse and Mental Health Services Administration (SAMHSA). The CCBHC shall create and maintain documents to substantiate that all requirements are met.</w:t>
      </w:r>
    </w:p>
    <w:p w14:paraId="6CA1893E"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D.</w:t>
      </w:r>
      <w:r w:rsidRPr="00FC5566">
        <w:rPr>
          <w:kern w:val="2"/>
        </w:rPr>
        <w:tab/>
        <w:t>The CCBHC shall be accredited as a CCBHC by an approved accrediting body and maintain such accreditation, or provide documentation of an application submission for accreditation.</w:t>
      </w:r>
    </w:p>
    <w:p w14:paraId="0C1B0025"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Accreditation must be obtained within 18 months of the application submission. The CCBHC shall provide a copy of the accreditation approval or denial to its contracted MCOs, the CSoC contractor, and the Office of Behavioral Health (OBH) within 48 hours of notification from the accrediting body.</w:t>
      </w:r>
    </w:p>
    <w:p w14:paraId="02E13F39"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Once accreditation is achieved, the CCBHC shall report denial, loss of, or any negative change in accreditation status to its contracted MCOs, the CSoC contractor, and OBH in writing within 48 hours of notification from the accrediting body.</w:t>
      </w:r>
    </w:p>
    <w:p w14:paraId="16430E87"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E.</w:t>
      </w:r>
      <w:r w:rsidRPr="00FC5566">
        <w:rPr>
          <w:kern w:val="2"/>
        </w:rPr>
        <w:tab/>
        <w:t>The CCBHC shall collect, report, and track encounter, outcome, and quality data and other monitoring and reporting requirements in accordance with federal and state specifications and requirements.</w:t>
      </w:r>
    </w:p>
    <w:p w14:paraId="259119F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F.</w:t>
      </w:r>
      <w:r w:rsidRPr="00FC5566">
        <w:rPr>
          <w:kern w:val="2"/>
        </w:rPr>
        <w:tab/>
        <w:t>For any service that is provided by a DCO, the CCBHC shall enter into a written contract that specifies the services and reporting responsibilities delegated to the DCO. The DCO providing the services shall be licensed and/or certified according to applicable state laws, regulations, and rules.</w:t>
      </w:r>
    </w:p>
    <w:p w14:paraId="4A9D660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G.</w:t>
      </w:r>
      <w:r w:rsidRPr="00FC5566">
        <w:rPr>
          <w:kern w:val="2"/>
        </w:rPr>
        <w:tab/>
        <w:t>The CCBHC shall ensure no individuals are denied services, because of place of residence, homelessness, or lack of a permanent address; or an individual’s inability to pay for such services. Any fees or payments required by the clinic for such services will be reduced or waived for those unable to pay.</w:t>
      </w:r>
    </w:p>
    <w:p w14:paraId="135F0F54"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36:254 and Title XIX of the Social Security Act.</w:t>
      </w:r>
    </w:p>
    <w:p w14:paraId="40DBD09F"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Health, Bureau of Health Services Financing and the Office of Behavioral Health, LR 52:</w:t>
      </w:r>
    </w:p>
    <w:p w14:paraId="4BDF4C10"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lastRenderedPageBreak/>
        <w:t>Chapter 177.</w:t>
      </w:r>
      <w:r w:rsidRPr="00FC5566">
        <w:rPr>
          <w:b/>
          <w:kern w:val="2"/>
        </w:rPr>
        <w:tab/>
        <w:t>Reimbursement</w:t>
      </w:r>
    </w:p>
    <w:p w14:paraId="5075D5A8"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§17701.</w:t>
      </w:r>
      <w:r w:rsidRPr="00FC5566">
        <w:rPr>
          <w:b/>
          <w:kern w:val="2"/>
        </w:rPr>
        <w:tab/>
        <w:t>Prospective Payment System Rate</w:t>
      </w:r>
    </w:p>
    <w:p w14:paraId="539271AF"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Reimbursement is made using a provider-specific prospective payment system (PPS) rate developed based on clinic-specific cost report data.</w:t>
      </w:r>
    </w:p>
    <w:p w14:paraId="342036BE"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The CCBHC shall be paid no less than the clinic-specific PPS rate in effect on the date of service. The PPS rate shall be paid once per day when an eligible Medicaid member has a qualifying visit at a CCBHC.</w:t>
      </w:r>
    </w:p>
    <w:p w14:paraId="52E0EDA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The CCBHC shall submit an annual cost report to OBH in accordance with federal and state specifications and requirements.</w:t>
      </w:r>
    </w:p>
    <w:p w14:paraId="1A098585"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The clinic-specific PPS rate shall be updated in non-rebasing years using the Medicare Economic Index.</w:t>
      </w:r>
    </w:p>
    <w:p w14:paraId="7A540A17"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The clinic-specific PPS rate shall be rebased using actual costs and visits from the CCBHC’s cost reports no less than every three years.</w:t>
      </w:r>
    </w:p>
    <w:p w14:paraId="05141F34"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36:254 and Title XIX of the Social Security Act.</w:t>
      </w:r>
    </w:p>
    <w:p w14:paraId="6FFDB154"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Health, Bureau of Health Services Financing and the Office of Behavioral Health, LR 52:</w:t>
      </w:r>
    </w:p>
    <w:p w14:paraId="7288E07E"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Implementation of the provisions of this Rule may be contingent upon the approval of the U.S. Department of Health and Human Services, Centers for Medicare and Medicaid Services (CMS), if it is determined that submission to CMS for review and approval is required.</w:t>
      </w:r>
    </w:p>
    <w:p w14:paraId="08194115" w14:textId="77777777" w:rsidR="00FC5566" w:rsidRPr="00FC5566" w:rsidRDefault="00FC5566" w:rsidP="00FC5566">
      <w:pPr>
        <w:keepNext/>
        <w:jc w:val="center"/>
        <w:rPr>
          <w:b/>
          <w:kern w:val="28"/>
        </w:rPr>
      </w:pPr>
      <w:r w:rsidRPr="00FC5566">
        <w:rPr>
          <w:b/>
          <w:kern w:val="28"/>
        </w:rPr>
        <w:t>Family Impact Statement</w:t>
      </w:r>
    </w:p>
    <w:p w14:paraId="4BE2671E"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In compliance with Act 1183 of the 1999 Regular Session of the Louisiana Legislature, the impact of this proposed Rule on the family has been considered. It is anticipated that this proposed Rule may have a positive impact on family functioning, stability and autonomy as described in R.S. 49:972. This proposed Rule is anticipated to positively benefit Medicaid beneficiaries by increasing access to behavioral health and primary care services.</w:t>
      </w:r>
    </w:p>
    <w:p w14:paraId="479AD558" w14:textId="77777777" w:rsidR="00FC5566" w:rsidRPr="00FC5566" w:rsidRDefault="00FC5566" w:rsidP="00FC5566">
      <w:pPr>
        <w:keepNext/>
        <w:jc w:val="center"/>
        <w:rPr>
          <w:b/>
          <w:kern w:val="28"/>
        </w:rPr>
      </w:pPr>
      <w:r w:rsidRPr="00FC5566">
        <w:rPr>
          <w:b/>
          <w:kern w:val="28"/>
        </w:rPr>
        <w:t>Poverty Impact Statement</w:t>
      </w:r>
    </w:p>
    <w:p w14:paraId="19F77CF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In compliance with Act 854 of the 2012 Regular Session of the Louisiana Legislature, the poverty impact of this proposed Rule has been considered. It is anticipated that this proposed Rule will have no impact on child, individual, or family poverty in relation to individual or community asset development as described in R.S. 49:973.</w:t>
      </w:r>
    </w:p>
    <w:p w14:paraId="4680F993" w14:textId="77777777" w:rsidR="00FC5566" w:rsidRPr="00FC5566" w:rsidRDefault="00FC5566" w:rsidP="00FC5566">
      <w:pPr>
        <w:keepNext/>
        <w:jc w:val="center"/>
        <w:rPr>
          <w:b/>
          <w:kern w:val="28"/>
        </w:rPr>
      </w:pPr>
      <w:r w:rsidRPr="00FC5566">
        <w:rPr>
          <w:b/>
          <w:kern w:val="28"/>
        </w:rPr>
        <w:t>Small Business Analysis</w:t>
      </w:r>
    </w:p>
    <w:p w14:paraId="5CF355F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In compliance with the Small Business Protection Act, the economic impact of this proposed Rule on small businesses has been considered. It is anticipated that this proposed rule will have a positive impact on small businesses, as it increases reimbursement for those providers.</w:t>
      </w:r>
    </w:p>
    <w:p w14:paraId="7E34DAB6" w14:textId="77777777" w:rsidR="00FC5566" w:rsidRPr="00FC5566" w:rsidRDefault="00FC5566" w:rsidP="00FC5566">
      <w:pPr>
        <w:keepNext/>
        <w:jc w:val="center"/>
        <w:rPr>
          <w:b/>
          <w:kern w:val="28"/>
        </w:rPr>
      </w:pPr>
      <w:r w:rsidRPr="00FC5566">
        <w:rPr>
          <w:b/>
          <w:kern w:val="28"/>
        </w:rPr>
        <w:t>Provider Impact Statement</w:t>
      </w:r>
    </w:p>
    <w:p w14:paraId="4CB761FE"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In compliance with House Concurrent Resolution (HCR) 170 of the 2014 Regular Session of the Louisiana Legislature, the provider impact of this proposed Rule has been considered. It is anticipated that this proposed Rule will have a positive impact on staffing level requirements or qualifications required to provide the same level of service. This proposed Rule is expected to have a fiscal impact, as described in HCR 170, because of the establishment of the Certified Community Behavioral Health Clinic model.</w:t>
      </w:r>
    </w:p>
    <w:p w14:paraId="32371A13" w14:textId="77777777" w:rsidR="00FC5566" w:rsidRPr="00FC5566" w:rsidRDefault="00FC5566" w:rsidP="00FC5566">
      <w:pPr>
        <w:keepNext/>
        <w:jc w:val="center"/>
        <w:rPr>
          <w:b/>
          <w:kern w:val="28"/>
        </w:rPr>
      </w:pPr>
      <w:r w:rsidRPr="00FC5566">
        <w:rPr>
          <w:b/>
          <w:kern w:val="28"/>
        </w:rPr>
        <w:br w:type="column"/>
      </w:r>
      <w:r w:rsidRPr="00FC5566">
        <w:rPr>
          <w:b/>
          <w:kern w:val="28"/>
        </w:rPr>
        <w:t>Public Comments</w:t>
      </w:r>
    </w:p>
    <w:p w14:paraId="06F02BB7"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Interested persons may submit written comments to Tangela Womack, Bureau of Health Services Financing, P.O. Box 91030, Baton Rouge, LA 70821-9030. Ms. Womack is responsible for responding to inquiries regarding this proposed Rule. The deadline for submitting written comments is September 21, 2026.</w:t>
      </w:r>
    </w:p>
    <w:p w14:paraId="46C9B2AB" w14:textId="77777777" w:rsidR="00FC5566" w:rsidRPr="00FC5566" w:rsidRDefault="00FC5566" w:rsidP="00FC5566">
      <w:pPr>
        <w:keepNext/>
        <w:jc w:val="center"/>
        <w:rPr>
          <w:b/>
          <w:kern w:val="28"/>
        </w:rPr>
      </w:pPr>
      <w:r w:rsidRPr="00FC5566">
        <w:rPr>
          <w:b/>
          <w:kern w:val="28"/>
        </w:rPr>
        <w:t>Public Hearing</w:t>
      </w:r>
    </w:p>
    <w:p w14:paraId="42D823E3"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Interested persons may submit a written request to conduct a public hearing by U.S. mail to the Office of the Secretary ATTN: LDH Rulemaking Coordinator, Post Office Box 629, Baton Rouge, LA 70821-0629; however, such request must be received no later than 4:30 p.m. on September 9, 2026. If the criteria set forth in R.S. 49:961(B)(1) are satisfied, LDH will conduct a public hearing at 9:30 a.m. on September 24, 2026, in Room 118 of the Bienville Building, which is located at 628 North Fourth Street, Baton Rouge, LA. To confirm whether a public hearing will be held, interested persons should first call Allen Enger at (225) 342-1342 after September 9, 2026. If a public hearing is to be held, all interested persons are invited to attend and present data, views, comments, or arguments, orally or in writing.</w:t>
      </w:r>
    </w:p>
    <w:p w14:paraId="78E5862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p w14:paraId="1858FD22" w14:textId="77777777" w:rsidR="00FC5566" w:rsidRPr="00FC5566" w:rsidRDefault="00FC5566" w:rsidP="00FC5566">
      <w:pPr>
        <w:keepNext/>
        <w:ind w:left="2160"/>
        <w:jc w:val="both"/>
      </w:pPr>
      <w:r w:rsidRPr="00FC5566">
        <w:t>Bruce D. Greenstein</w:t>
      </w:r>
    </w:p>
    <w:p w14:paraId="28F3CF34" w14:textId="77777777" w:rsidR="00FC5566" w:rsidRPr="00FC5566" w:rsidRDefault="00FC5566" w:rsidP="00FC5566">
      <w:pPr>
        <w:keepNext/>
        <w:ind w:left="2160"/>
        <w:jc w:val="both"/>
      </w:pPr>
      <w:r w:rsidRPr="00FC5566">
        <w:t>Secretary</w:t>
      </w:r>
    </w:p>
    <w:p w14:paraId="2C60CD2B" w14:textId="77777777" w:rsidR="00FC5566" w:rsidRPr="00FC5566" w:rsidRDefault="00FC5566" w:rsidP="00FC5566">
      <w:pPr>
        <w:keepNext/>
        <w:jc w:val="center"/>
        <w:rPr>
          <w:b/>
        </w:rPr>
      </w:pPr>
    </w:p>
    <w:p w14:paraId="18ABA4D8" w14:textId="77777777" w:rsidR="00FC5566" w:rsidRPr="00FC5566" w:rsidRDefault="00FC5566" w:rsidP="00FC5566">
      <w:pPr>
        <w:keepNext/>
        <w:jc w:val="center"/>
        <w:rPr>
          <w:b/>
        </w:rPr>
      </w:pPr>
      <w:r w:rsidRPr="00FC5566">
        <w:rPr>
          <w:b/>
        </w:rPr>
        <w:t>FISCAL AND ECONOMIC IMPACT STATEMENT FOR ADMINISTRATIVE RULES</w:t>
      </w:r>
    </w:p>
    <w:p w14:paraId="0BDFAB1E" w14:textId="77777777" w:rsidR="00FC5566" w:rsidRPr="00FC5566" w:rsidRDefault="00FC5566" w:rsidP="00FC5566">
      <w:pPr>
        <w:keepNext/>
        <w:jc w:val="center"/>
        <w:rPr>
          <w:b/>
          <w:noProof/>
        </w:rPr>
      </w:pPr>
      <w:r w:rsidRPr="00FC5566">
        <w:rPr>
          <w:b/>
          <w:noProof/>
        </w:rPr>
        <w:t>RULE TITLE:  Certified Community Behavioral Health Clinics</w:t>
      </w:r>
    </w:p>
    <w:p w14:paraId="1EB45DAA"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087A0C57" w14:textId="77777777" w:rsidR="00FC5566" w:rsidRPr="00FC5566" w:rsidRDefault="00FC5566" w:rsidP="00FC5566">
      <w:pPr>
        <w:ind w:left="288" w:hanging="288"/>
        <w:jc w:val="both"/>
        <w:rPr>
          <w:spacing w:val="-10"/>
          <w:sz w:val="18"/>
        </w:rPr>
      </w:pPr>
      <w:r w:rsidRPr="00FC5566">
        <w:rPr>
          <w:spacing w:val="-10"/>
          <w:sz w:val="18"/>
        </w:rPr>
        <w:t>I.</w:t>
      </w:r>
      <w:r w:rsidRPr="00FC5566">
        <w:rPr>
          <w:spacing w:val="-10"/>
          <w:sz w:val="18"/>
        </w:rPr>
        <w:tab/>
        <w:t>ESTIMATED IMPLEMENTATION COSTS (SAVINGS) TO STATE OR LOCAL GOVERNMENT UNITS (Summary)</w:t>
      </w:r>
    </w:p>
    <w:p w14:paraId="4D382751" w14:textId="77777777" w:rsidR="00FC5566" w:rsidRPr="00FC5566" w:rsidRDefault="00FC5566" w:rsidP="00FC5566">
      <w:pPr>
        <w:ind w:left="288" w:firstLine="288"/>
        <w:jc w:val="both"/>
        <w:rPr>
          <w:noProof/>
          <w:sz w:val="18"/>
        </w:rPr>
      </w:pPr>
      <w:r w:rsidRPr="00FC5566">
        <w:rPr>
          <w:noProof/>
          <w:sz w:val="18"/>
        </w:rPr>
        <w:t>It is anticipated that implementation of this proposed rule will result in increased state costs of approximately $1,795,901 for FY 26-27, (includes $675 for the administrative expense of promulgation of the proposed rule and final rule), $5,035,033 for FY 27-28, and $6,751,895 for FY 28-29.</w:t>
      </w:r>
    </w:p>
    <w:p w14:paraId="7E4933BA" w14:textId="77777777" w:rsidR="00FC5566" w:rsidRPr="00FC5566" w:rsidRDefault="00FC5566" w:rsidP="00FC5566">
      <w:pPr>
        <w:ind w:left="288" w:firstLine="288"/>
        <w:jc w:val="both"/>
        <w:rPr>
          <w:sz w:val="18"/>
        </w:rPr>
      </w:pPr>
      <w:r w:rsidRPr="00FC5566">
        <w:rPr>
          <w:sz w:val="18"/>
        </w:rPr>
        <w:t>This proposed rule adopts provisions governing the Certified Community Behavioral Health Clinic (CCBHC) model. This proposed rule creates the CCBHC model within the Medicaid program and sets minimum requirements for the scope of services, provider responsibilities, and reimbursement for participating clinics.</w:t>
      </w:r>
    </w:p>
    <w:p w14:paraId="59525696" w14:textId="77777777" w:rsidR="00FC5566" w:rsidRPr="00FC5566" w:rsidRDefault="00FC5566" w:rsidP="00FC5566">
      <w:pPr>
        <w:ind w:left="288" w:hanging="288"/>
        <w:jc w:val="both"/>
        <w:rPr>
          <w:spacing w:val="-10"/>
          <w:sz w:val="18"/>
        </w:rPr>
      </w:pPr>
      <w:r w:rsidRPr="00FC5566">
        <w:rPr>
          <w:spacing w:val="-10"/>
          <w:sz w:val="18"/>
        </w:rPr>
        <w:t>II.</w:t>
      </w:r>
      <w:r w:rsidRPr="00FC5566">
        <w:rPr>
          <w:spacing w:val="-10"/>
          <w:sz w:val="18"/>
        </w:rPr>
        <w:tab/>
        <w:t>ESTIMATED EFFECT ON REVENUE COLLECTIONS OF STATE OR LOCAL GOVERNMENTAL UNITS (Summary)</w:t>
      </w:r>
    </w:p>
    <w:p w14:paraId="46D0A79C" w14:textId="77777777" w:rsidR="00FC5566" w:rsidRPr="00FC5566" w:rsidRDefault="00FC5566" w:rsidP="00FC5566">
      <w:pPr>
        <w:ind w:left="288" w:firstLine="288"/>
        <w:jc w:val="both"/>
        <w:rPr>
          <w:sz w:val="18"/>
        </w:rPr>
      </w:pPr>
      <w:r w:rsidRPr="00FC5566">
        <w:rPr>
          <w:sz w:val="18"/>
        </w:rPr>
        <w:t>It is anticipated that the implementation of this proposed rule will increase federal revenue collections by approximately $6,154,948 for FY 26-27 (includes $674 for the administrative expense of promulgation of the proposed rule and final rule), $17,291,489 for FY 27-28, and $23,223,138 for FY 28-29.</w:t>
      </w:r>
    </w:p>
    <w:p w14:paraId="4DBAF3D2" w14:textId="77777777" w:rsidR="00FC5566" w:rsidRPr="00FC5566" w:rsidRDefault="00FC5566" w:rsidP="00FC5566">
      <w:pPr>
        <w:ind w:left="288" w:hanging="288"/>
        <w:jc w:val="both"/>
        <w:rPr>
          <w:spacing w:val="-10"/>
          <w:sz w:val="18"/>
        </w:rPr>
      </w:pPr>
      <w:r w:rsidRPr="00FC5566">
        <w:rPr>
          <w:spacing w:val="-10"/>
          <w:sz w:val="18"/>
        </w:rPr>
        <w:t>III.</w:t>
      </w:r>
      <w:r w:rsidRPr="00FC5566">
        <w:rPr>
          <w:spacing w:val="-10"/>
          <w:sz w:val="18"/>
        </w:rPr>
        <w:tab/>
        <w:t>ESTIMATED COSTS AND/OR ECONOMIC BENEFITS TO DIRECTLY AFFECTED PERSONS, SMALL BUSINESSES, OR NONGOVERNMENTAL GROUPS (Summary)</w:t>
      </w:r>
    </w:p>
    <w:p w14:paraId="1828AB90" w14:textId="77777777" w:rsidR="00FC5566" w:rsidRPr="00FC5566" w:rsidRDefault="00FC5566" w:rsidP="00FC5566">
      <w:pPr>
        <w:ind w:left="288" w:firstLine="288"/>
        <w:jc w:val="both"/>
        <w:rPr>
          <w:sz w:val="18"/>
        </w:rPr>
      </w:pPr>
      <w:r w:rsidRPr="00FC5566">
        <w:rPr>
          <w:sz w:val="18"/>
        </w:rPr>
        <w:t>It is anticipated that this proposed rule will increase provider reimbursement by approximately $7,949,500 for FY 26-27, $22,326,522 for FY 27-28, and $29,975,033 for FY 28-29. This proposed rule is expected to benefit Medicaid beneficiaries by improving access to behavioral health and primary care services.</w:t>
      </w:r>
    </w:p>
    <w:p w14:paraId="6B4A78D8" w14:textId="77777777" w:rsidR="00FC5566" w:rsidRPr="00FC5566" w:rsidRDefault="00FC5566" w:rsidP="00FC5566">
      <w:pPr>
        <w:ind w:left="288" w:hanging="288"/>
        <w:jc w:val="both"/>
        <w:rPr>
          <w:spacing w:val="-10"/>
          <w:sz w:val="18"/>
        </w:rPr>
      </w:pPr>
      <w:r w:rsidRPr="00FC5566">
        <w:rPr>
          <w:spacing w:val="-10"/>
          <w:sz w:val="18"/>
        </w:rPr>
        <w:t>IV.</w:t>
      </w:r>
      <w:r w:rsidRPr="00FC5566">
        <w:rPr>
          <w:spacing w:val="-10"/>
          <w:sz w:val="18"/>
        </w:rPr>
        <w:tab/>
        <w:t>ESTIMATED EFFECT ON COMPETITION AND EMPLOYMENT (Summary)</w:t>
      </w:r>
    </w:p>
    <w:p w14:paraId="230AE5E4" w14:textId="77777777" w:rsidR="00FC5566" w:rsidRPr="00FC5566" w:rsidRDefault="00FC5566" w:rsidP="00FC5566">
      <w:pPr>
        <w:ind w:left="288" w:firstLine="288"/>
        <w:jc w:val="both"/>
        <w:rPr>
          <w:sz w:val="18"/>
        </w:rPr>
      </w:pPr>
      <w:r w:rsidRPr="00FC5566">
        <w:rPr>
          <w:sz w:val="18"/>
        </w:rPr>
        <w:t xml:space="preserve">This proposed rule will have a positive effect on competition and employment. According to the 2024 CCBHC Impact Report published by the National Council for Mental Wellbeing, the </w:t>
      </w:r>
      <w:r w:rsidRPr="00FC5566">
        <w:rPr>
          <w:sz w:val="18"/>
        </w:rPr>
        <w:br w:type="page"/>
      </w:r>
    </w:p>
    <w:p w14:paraId="74221333" w14:textId="77777777" w:rsidR="00FC5566" w:rsidRPr="00FC5566" w:rsidRDefault="00FC5566" w:rsidP="00FC5566">
      <w:pPr>
        <w:ind w:left="288"/>
        <w:jc w:val="both"/>
        <w:rPr>
          <w:sz w:val="18"/>
        </w:rPr>
      </w:pPr>
      <w:r w:rsidRPr="00FC5566">
        <w:rPr>
          <w:sz w:val="18"/>
        </w:rPr>
        <w:lastRenderedPageBreak/>
        <w:t>CCBHC model is alleviating the impact of the behavioral health workforce shortage by enabling clinics to increase hiring. Licensed clinicians, peer support specialists, care coordinators, and nurses were among the most commonly hired staff.</w:t>
      </w:r>
    </w:p>
    <w:p w14:paraId="5A476E48" w14:textId="77777777" w:rsidR="00FC5566" w:rsidRPr="00FC5566" w:rsidRDefault="00FC5566" w:rsidP="00FC5566">
      <w:pPr>
        <w:ind w:left="288" w:firstLine="288"/>
        <w:jc w:val="both"/>
        <w:rPr>
          <w:sz w:val="18"/>
        </w:rPr>
      </w:pPr>
    </w:p>
    <w:p w14:paraId="015EA996" w14:textId="77777777" w:rsidR="00FC5566" w:rsidRPr="00FC5566" w:rsidRDefault="00FC5566" w:rsidP="00FC5566">
      <w:pPr>
        <w:tabs>
          <w:tab w:val="left" w:pos="2880"/>
          <w:tab w:val="decimal" w:pos="2988"/>
        </w:tabs>
        <w:outlineLvl w:val="8"/>
        <w:rPr>
          <w:kern w:val="2"/>
          <w:sz w:val="18"/>
        </w:rPr>
      </w:pPr>
      <w:r w:rsidRPr="00FC5566">
        <w:rPr>
          <w:kern w:val="2"/>
          <w:sz w:val="18"/>
        </w:rPr>
        <w:t>Seth Gold</w:t>
      </w:r>
      <w:r w:rsidRPr="00FC5566">
        <w:rPr>
          <w:kern w:val="2"/>
          <w:sz w:val="18"/>
        </w:rPr>
        <w:tab/>
        <w:t>Alan M. Boxberger</w:t>
      </w:r>
    </w:p>
    <w:p w14:paraId="279C8269" w14:textId="77777777" w:rsidR="00FC5566" w:rsidRPr="00FC5566" w:rsidRDefault="00FC5566" w:rsidP="00FC5566">
      <w:pPr>
        <w:tabs>
          <w:tab w:val="left" w:pos="2880"/>
          <w:tab w:val="decimal" w:pos="2988"/>
        </w:tabs>
        <w:outlineLvl w:val="8"/>
        <w:rPr>
          <w:kern w:val="2"/>
          <w:sz w:val="18"/>
        </w:rPr>
      </w:pPr>
      <w:r w:rsidRPr="00FC5566">
        <w:rPr>
          <w:kern w:val="2"/>
          <w:sz w:val="18"/>
        </w:rPr>
        <w:t>Medicaid Executive Director</w:t>
      </w:r>
      <w:r w:rsidRPr="00FC5566">
        <w:rPr>
          <w:kern w:val="2"/>
          <w:sz w:val="18"/>
        </w:rPr>
        <w:tab/>
        <w:t>Legislative Fiscal Officer</w:t>
      </w:r>
    </w:p>
    <w:p w14:paraId="3A43C259" w14:textId="77777777" w:rsidR="00FC5566" w:rsidRPr="00FC5566" w:rsidRDefault="00FC5566" w:rsidP="00FC5566">
      <w:pPr>
        <w:tabs>
          <w:tab w:val="left" w:pos="2880"/>
          <w:tab w:val="decimal" w:pos="2988"/>
        </w:tabs>
        <w:outlineLvl w:val="8"/>
        <w:rPr>
          <w:kern w:val="2"/>
          <w:sz w:val="18"/>
        </w:rPr>
      </w:pPr>
      <w:r w:rsidRPr="00FC5566">
        <w:rPr>
          <w:noProof/>
          <w:sz w:val="16"/>
        </w:rPr>
        <w:t>2608#039</w:t>
      </w:r>
      <w:r w:rsidRPr="00FC5566">
        <w:rPr>
          <w:kern w:val="2"/>
        </w:rPr>
        <w:tab/>
      </w:r>
      <w:r w:rsidRPr="00FC5566">
        <w:rPr>
          <w:kern w:val="2"/>
          <w:sz w:val="18"/>
        </w:rPr>
        <w:t>Legislative Fiscal Office</w:t>
      </w:r>
    </w:p>
    <w:p w14:paraId="5483AB42" w14:textId="77777777" w:rsidR="00FC5566" w:rsidRPr="00FC5566" w:rsidRDefault="00FC5566" w:rsidP="00FC5566"/>
    <w:p w14:paraId="5A4DD9BE" w14:textId="77777777" w:rsidR="00FC5566" w:rsidRPr="00FC5566" w:rsidRDefault="00FC5566" w:rsidP="00FC5566">
      <w:pPr>
        <w:keepNext/>
        <w:tabs>
          <w:tab w:val="left" w:pos="-1440"/>
        </w:tabs>
        <w:spacing w:after="120"/>
        <w:jc w:val="center"/>
        <w:rPr>
          <w:rFonts w:eastAsia="Calibri"/>
          <w:b/>
          <w:noProof/>
        </w:rPr>
      </w:pPr>
      <w:r w:rsidRPr="00FC5566">
        <w:rPr>
          <w:rFonts w:eastAsia="Calibri"/>
          <w:b/>
          <w:noProof/>
        </w:rPr>
        <w:t>NOTICE OF INTENT</w:t>
      </w:r>
    </w:p>
    <w:p w14:paraId="77A734E6" w14:textId="77777777" w:rsidR="00FC5566" w:rsidRPr="00FC5566" w:rsidRDefault="00FC5566" w:rsidP="00FC5566">
      <w:pPr>
        <w:keepNext/>
        <w:jc w:val="center"/>
        <w:rPr>
          <w:rFonts w:eastAsia="Calibri"/>
          <w:b/>
          <w:noProof/>
        </w:rPr>
      </w:pPr>
      <w:r w:rsidRPr="00FC5566">
        <w:rPr>
          <w:rFonts w:eastAsia="Calibri"/>
          <w:b/>
          <w:noProof/>
        </w:rPr>
        <w:t>Department of Health</w:t>
      </w:r>
    </w:p>
    <w:p w14:paraId="64A54474" w14:textId="77777777" w:rsidR="00FC5566" w:rsidRPr="00FC5566" w:rsidRDefault="00FC5566" w:rsidP="00FC5566">
      <w:pPr>
        <w:keepNext/>
        <w:jc w:val="center"/>
        <w:rPr>
          <w:rFonts w:eastAsia="Calibri"/>
          <w:b/>
          <w:noProof/>
        </w:rPr>
      </w:pPr>
      <w:r w:rsidRPr="00FC5566">
        <w:rPr>
          <w:rFonts w:eastAsia="Calibri"/>
          <w:b/>
          <w:noProof/>
        </w:rPr>
        <w:t>Bureau of Health Services Financing</w:t>
      </w:r>
    </w:p>
    <w:p w14:paraId="333FFB5F" w14:textId="77777777" w:rsidR="00FC5566" w:rsidRPr="00FC5566" w:rsidRDefault="00FC5566" w:rsidP="00FC5566">
      <w:pPr>
        <w:keepNext/>
        <w:spacing w:before="240" w:after="240"/>
        <w:jc w:val="center"/>
        <w:rPr>
          <w:rFonts w:eastAsia="Calibri"/>
          <w:noProof/>
        </w:rPr>
      </w:pPr>
      <w:r w:rsidRPr="00FC5566">
        <w:rPr>
          <w:rFonts w:eastAsia="Calibri"/>
          <w:noProof/>
        </w:rPr>
        <w:t>Hospital Services</w:t>
      </w:r>
      <w:r w:rsidRPr="00FC5566">
        <w:rPr>
          <w:rFonts w:eastAsia="Calibri"/>
          <w:noProof/>
        </w:rPr>
        <w:br/>
        <w:t>Postpartum Nurse Home Visits</w:t>
      </w:r>
      <w:r w:rsidRPr="00FC5566">
        <w:rPr>
          <w:rFonts w:eastAsia="Calibri"/>
          <w:noProof/>
        </w:rPr>
        <w:br/>
        <w:t>(LAC 50:V.6121)</w:t>
      </w:r>
    </w:p>
    <w:p w14:paraId="389B2E33"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The Department of Health, Bureau of Health Services Financing proposes to adopt LAC 50:V.6121 in the Medical Assistance Program as authorized by R.S. 36:254 and pursuant to Title XIX of the Social Security Act. This proposed Rule is promulgated in accordance with the provisions of the Administrative Procedure Act, R.S. 49:950 et seq.</w:t>
      </w:r>
    </w:p>
    <w:p w14:paraId="34482754"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The Department of Health, Bureau of Health Services Financing, proposes to adopt provisions covering postpartum nurse home visits. This proposed Rule establishes reimbursement for nurse home visits to Medicaid-eligible mothers and newborns, zero to six months of age. Adding these services to Medicaid will increase access to postpartum healthcare and improve outcomes for mothers and newborns.</w:t>
      </w:r>
    </w:p>
    <w:p w14:paraId="4F19A253"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The proposed Rule text below has been drafted utilizing plain language principles to ensure clarity and accessibility for all users. It has also been reviewed and tested for compliance with web accessibility standards.</w:t>
      </w:r>
    </w:p>
    <w:p w14:paraId="257517B4" w14:textId="77777777" w:rsidR="00FC5566" w:rsidRPr="00FC5566" w:rsidRDefault="00FC5566" w:rsidP="00FC5566">
      <w:pPr>
        <w:keepNext/>
        <w:jc w:val="center"/>
        <w:rPr>
          <w:rFonts w:eastAsia="Calibri"/>
          <w:b/>
          <w:kern w:val="28"/>
        </w:rPr>
      </w:pPr>
      <w:r w:rsidRPr="00FC5566">
        <w:rPr>
          <w:rFonts w:eastAsia="Calibri"/>
          <w:b/>
          <w:kern w:val="28"/>
        </w:rPr>
        <w:t>Title 50</w:t>
      </w:r>
    </w:p>
    <w:p w14:paraId="181B2E28" w14:textId="77777777" w:rsidR="00FC5566" w:rsidRPr="00FC5566" w:rsidRDefault="00FC5566" w:rsidP="00FC5566">
      <w:pPr>
        <w:keepNext/>
        <w:jc w:val="center"/>
        <w:rPr>
          <w:rFonts w:eastAsia="Calibri" w:cs="Courier New"/>
          <w:b/>
          <w:kern w:val="28"/>
        </w:rPr>
      </w:pPr>
      <w:r w:rsidRPr="00FC5566">
        <w:rPr>
          <w:rFonts w:eastAsia="Calibri"/>
          <w:b/>
          <w:kern w:val="28"/>
        </w:rPr>
        <w:t>PUBLIC HEALTH</w:t>
      </w:r>
      <w:r w:rsidRPr="00FC5566">
        <w:rPr>
          <w:rFonts w:eastAsia="Calibri" w:cs="Courier New"/>
          <w:b/>
          <w:kern w:val="28"/>
        </w:rPr>
        <w:t>—MEDICAL ASSISTANCE</w:t>
      </w:r>
    </w:p>
    <w:p w14:paraId="65C67F3C" w14:textId="77777777" w:rsidR="00FC5566" w:rsidRPr="00FC5566" w:rsidRDefault="00FC5566" w:rsidP="00FC5566">
      <w:pPr>
        <w:keepNext/>
        <w:jc w:val="center"/>
        <w:rPr>
          <w:rFonts w:eastAsia="Calibri"/>
          <w:b/>
          <w:noProof/>
        </w:rPr>
      </w:pPr>
      <w:r w:rsidRPr="00FC5566">
        <w:rPr>
          <w:rFonts w:eastAsia="Calibri"/>
          <w:b/>
          <w:noProof/>
        </w:rPr>
        <w:t>Part V.  Hospital Services</w:t>
      </w:r>
    </w:p>
    <w:p w14:paraId="0B0BFE50" w14:textId="77777777" w:rsidR="00FC5566" w:rsidRPr="00FC5566" w:rsidRDefault="00FC5566" w:rsidP="00FC5566">
      <w:pPr>
        <w:keepNext/>
        <w:jc w:val="center"/>
        <w:rPr>
          <w:rFonts w:eastAsia="Calibri"/>
          <w:b/>
          <w:noProof/>
        </w:rPr>
      </w:pPr>
      <w:r w:rsidRPr="00FC5566">
        <w:rPr>
          <w:rFonts w:eastAsia="Calibri"/>
          <w:b/>
          <w:noProof/>
        </w:rPr>
        <w:t xml:space="preserve">Subpart 5.  Outpatient Hospital Services </w:t>
      </w:r>
    </w:p>
    <w:p w14:paraId="6627EA8C"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rFonts w:eastAsia="Calibri"/>
          <w:b/>
          <w:kern w:val="2"/>
        </w:rPr>
      </w:pPr>
      <w:r w:rsidRPr="00FC5566">
        <w:rPr>
          <w:rFonts w:eastAsia="Calibri"/>
          <w:b/>
          <w:kern w:val="2"/>
        </w:rPr>
        <w:t>Chapter 61.</w:t>
      </w:r>
      <w:r w:rsidRPr="00FC5566">
        <w:rPr>
          <w:rFonts w:eastAsia="Calibri"/>
          <w:b/>
          <w:kern w:val="2"/>
        </w:rPr>
        <w:tab/>
        <w:t>Other Outpatient Hospital Services</w:t>
      </w:r>
    </w:p>
    <w:p w14:paraId="245DF280" w14:textId="77777777" w:rsidR="00FC5566" w:rsidRPr="00FC5566" w:rsidRDefault="00FC5566" w:rsidP="00FC5566">
      <w:pPr>
        <w:keepNext/>
        <w:jc w:val="center"/>
        <w:rPr>
          <w:rFonts w:eastAsia="Calibri"/>
          <w:b/>
          <w:noProof/>
        </w:rPr>
      </w:pPr>
      <w:r w:rsidRPr="00FC5566">
        <w:rPr>
          <w:rFonts w:eastAsia="Calibri"/>
          <w:b/>
          <w:noProof/>
        </w:rPr>
        <w:t>Subchapter B.</w:t>
      </w:r>
      <w:r w:rsidRPr="00FC5566">
        <w:rPr>
          <w:rFonts w:eastAsia="Calibri"/>
          <w:b/>
          <w:noProof/>
        </w:rPr>
        <w:tab/>
        <w:t>Reimbursement Methodology</w:t>
      </w:r>
    </w:p>
    <w:p w14:paraId="432CD2B8"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rFonts w:eastAsia="Calibri"/>
          <w:b/>
          <w:kern w:val="2"/>
        </w:rPr>
      </w:pPr>
      <w:r w:rsidRPr="00FC5566">
        <w:rPr>
          <w:rFonts w:eastAsia="Calibri"/>
          <w:b/>
          <w:kern w:val="2"/>
        </w:rPr>
        <w:t>§6121.</w:t>
      </w:r>
      <w:r w:rsidRPr="00FC5566">
        <w:rPr>
          <w:rFonts w:eastAsia="Calibri"/>
          <w:b/>
          <w:kern w:val="2"/>
        </w:rPr>
        <w:tab/>
        <w:t>Postpartum Nurse Home Visits</w:t>
      </w:r>
    </w:p>
    <w:p w14:paraId="299CBBDB" w14:textId="77777777" w:rsidR="00FC5566" w:rsidRPr="00FC5566" w:rsidRDefault="00FC5566" w:rsidP="00FC5566">
      <w:pPr>
        <w:tabs>
          <w:tab w:val="left" w:pos="144"/>
          <w:tab w:val="left" w:pos="187"/>
          <w:tab w:val="left" w:pos="540"/>
          <w:tab w:val="left" w:pos="720"/>
          <w:tab w:val="left" w:pos="1080"/>
        </w:tabs>
        <w:ind w:firstLine="187"/>
        <w:jc w:val="both"/>
        <w:outlineLvl w:val="3"/>
        <w:rPr>
          <w:rFonts w:eastAsia="Calibri"/>
          <w:kern w:val="2"/>
        </w:rPr>
      </w:pPr>
      <w:r w:rsidRPr="00FC5566">
        <w:rPr>
          <w:rFonts w:eastAsia="Calibri"/>
          <w:kern w:val="2"/>
        </w:rPr>
        <w:t>A.1.</w:t>
      </w:r>
      <w:r w:rsidRPr="00FC5566">
        <w:rPr>
          <w:rFonts w:eastAsia="Calibri"/>
          <w:kern w:val="2"/>
        </w:rPr>
        <w:tab/>
        <w:t>Medicaid reimbursement is available for maternal postpartum nurse home visits to families with Medicaid beneficiaries aged zero to six months. Reimbursement is also available for postpartum women who within six months postpartum:</w:t>
      </w:r>
    </w:p>
    <w:p w14:paraId="7CDF8052"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a.</w:t>
      </w:r>
      <w:r w:rsidRPr="00FC5566">
        <w:rPr>
          <w:rFonts w:eastAsia="Calibri"/>
          <w:kern w:val="2"/>
        </w:rPr>
        <w:tab/>
        <w:t>experience fetal demise or infant loss; or</w:t>
      </w:r>
    </w:p>
    <w:p w14:paraId="254AB9BC"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b.</w:t>
      </w:r>
      <w:r w:rsidRPr="00FC5566">
        <w:rPr>
          <w:rFonts w:eastAsia="Calibri"/>
          <w:kern w:val="2"/>
        </w:rPr>
        <w:tab/>
        <w:t xml:space="preserve">have had the newborn placed under the custody of the Department of Child and Family Services. </w:t>
      </w:r>
    </w:p>
    <w:p w14:paraId="3EC42329"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2.</w:t>
      </w:r>
      <w:r w:rsidRPr="00FC5566">
        <w:rPr>
          <w:rFonts w:eastAsia="Calibri"/>
          <w:kern w:val="2"/>
        </w:rPr>
        <w:tab/>
        <w:t>Nursing services provided include a comprehensive maternal and newborn physical assessment, as appropriate for the visit type, as well as standardized anticipatory and supportive guidance.</w:t>
      </w:r>
    </w:p>
    <w:p w14:paraId="0585A8C6"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B.1.</w:t>
      </w:r>
      <w:r w:rsidRPr="00FC5566">
        <w:rPr>
          <w:rFonts w:eastAsia="Calibri"/>
          <w:kern w:val="2"/>
        </w:rPr>
        <w:tab/>
        <w:t xml:space="preserve">Program Coverage. A maximum of four newborn nurse home visits are provided, and may include: </w:t>
      </w:r>
    </w:p>
    <w:p w14:paraId="73A87557"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a.</w:t>
      </w:r>
      <w:r w:rsidRPr="00FC5566">
        <w:rPr>
          <w:rFonts w:eastAsia="Calibri"/>
          <w:kern w:val="2"/>
        </w:rPr>
        <w:tab/>
        <w:t>a support visit prior to the comprehensive newborn nurse home visit to address an urgent need;</w:t>
      </w:r>
    </w:p>
    <w:p w14:paraId="20AA7A67"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b.</w:t>
      </w:r>
      <w:r w:rsidRPr="00FC5566">
        <w:rPr>
          <w:rFonts w:eastAsia="Calibri"/>
          <w:kern w:val="2"/>
        </w:rPr>
        <w:tab/>
        <w:t xml:space="preserve">one comprehensive visit; and </w:t>
      </w:r>
    </w:p>
    <w:p w14:paraId="47267531"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c.</w:t>
      </w:r>
      <w:r w:rsidRPr="00FC5566">
        <w:rPr>
          <w:rFonts w:eastAsia="Calibri"/>
          <w:kern w:val="2"/>
        </w:rPr>
        <w:tab/>
        <w:t xml:space="preserve">up to two follow-up support visits. </w:t>
      </w:r>
    </w:p>
    <w:p w14:paraId="296AC659"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2.</w:t>
      </w:r>
      <w:r w:rsidRPr="00FC5566">
        <w:rPr>
          <w:rFonts w:eastAsia="Calibri"/>
          <w:kern w:val="2"/>
        </w:rPr>
        <w:tab/>
        <w:t>The comprehensive newborn nurse home visit must include, to the extent applicable:</w:t>
      </w:r>
    </w:p>
    <w:p w14:paraId="00480D3E"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a.</w:t>
      </w:r>
      <w:r w:rsidRPr="00FC5566">
        <w:rPr>
          <w:rFonts w:eastAsia="Calibri"/>
          <w:kern w:val="2"/>
        </w:rPr>
        <w:tab/>
        <w:t>maternal physical and well-being assessment;</w:t>
      </w:r>
    </w:p>
    <w:p w14:paraId="6730ACE2"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b.</w:t>
      </w:r>
      <w:r w:rsidRPr="00FC5566">
        <w:rPr>
          <w:rFonts w:eastAsia="Calibri"/>
          <w:kern w:val="2"/>
        </w:rPr>
        <w:tab/>
        <w:t>newborn physical and well-being assessment.</w:t>
      </w:r>
    </w:p>
    <w:p w14:paraId="51653E22"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C.</w:t>
      </w:r>
      <w:r w:rsidRPr="00FC5566">
        <w:rPr>
          <w:rFonts w:eastAsia="Calibri"/>
          <w:kern w:val="2"/>
        </w:rPr>
        <w:tab/>
        <w:t>Provider Qualifications. Postpartum nurse home visit must be provided through a birthing hospital that has received a Louisiana Birth Ready Plus Designation. The visit may be provided by an employee of the hospital or an accredited subcontractor of the hospital. A licensed registered nurse or a licensed nurse practitioner must provide the comprehensive visit components of the service. The clinician providing the services must have experience in community health, public health, or child health nursing.</w:t>
      </w:r>
    </w:p>
    <w:p w14:paraId="340D7306"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cs="Courier New"/>
          <w:kern w:val="2"/>
        </w:rPr>
        <w:t>D.</w:t>
      </w:r>
      <w:r w:rsidRPr="00FC5566">
        <w:rPr>
          <w:rFonts w:eastAsia="Calibri" w:cs="Courier New"/>
          <w:kern w:val="2"/>
        </w:rPr>
        <w:tab/>
        <w:t xml:space="preserve">Reimbursement Methodology. </w:t>
      </w:r>
      <w:r w:rsidRPr="00FC5566">
        <w:rPr>
          <w:rFonts w:eastAsia="Calibri"/>
          <w:kern w:val="2"/>
        </w:rPr>
        <w:t xml:space="preserve">Reimbursement for newborn nurse home visits shall be a single flat fee for all visits, up to a maximum of four visits, based on the appropriate Healthcare Common Procedure Coding (HCPS) code at the Medicaid fee schedule amount on file for each service. </w:t>
      </w:r>
    </w:p>
    <w:p w14:paraId="03026A66"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E.</w:t>
      </w:r>
      <w:r w:rsidRPr="00FC5566">
        <w:rPr>
          <w:rFonts w:eastAsia="Calibri"/>
          <w:kern w:val="2"/>
        </w:rPr>
        <w:tab/>
        <w:t>Comprehensive Assessment and Reassessment of Individual Needs. The following assessment activities are the minimum required components of the comprehensive visit. For reassessments, the following assessment activities shall be performed as indicated by a change in condition:</w:t>
      </w:r>
    </w:p>
    <w:p w14:paraId="0EB88DE5"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1.</w:t>
      </w:r>
      <w:r w:rsidRPr="00FC5566">
        <w:rPr>
          <w:rFonts w:eastAsia="Calibri"/>
          <w:kern w:val="2"/>
        </w:rPr>
        <w:tab/>
        <w:t>recording and evaluating beneficiary history;</w:t>
      </w:r>
    </w:p>
    <w:p w14:paraId="59283E91"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2.</w:t>
      </w:r>
      <w:r w:rsidRPr="00FC5566">
        <w:rPr>
          <w:rFonts w:eastAsia="Calibri"/>
          <w:kern w:val="2"/>
        </w:rPr>
        <w:tab/>
        <w:t xml:space="preserve">identifying and evaluating the extent and nature of the individual’s needs by performing a comprehensive social determinants of health screening, screening for postpartum depression using the Edinburgh Postnatal Depression Scale, and screening for substance use disorder using the 5Ps Screening Tool and completing related documentation; </w:t>
      </w:r>
    </w:p>
    <w:p w14:paraId="77F5303E"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3.</w:t>
      </w:r>
      <w:r w:rsidRPr="00FC5566">
        <w:rPr>
          <w:rFonts w:eastAsia="Calibri"/>
          <w:kern w:val="2"/>
        </w:rPr>
        <w:tab/>
        <w:t xml:space="preserve">gathering information from other sources such as family members, medical providers, social workers, and educators to form a complete assessment of the eligible individual; </w:t>
      </w:r>
    </w:p>
    <w:p w14:paraId="1448A620"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4.</w:t>
      </w:r>
      <w:r w:rsidRPr="00FC5566">
        <w:rPr>
          <w:rFonts w:eastAsia="Calibri"/>
          <w:kern w:val="2"/>
        </w:rPr>
        <w:tab/>
        <w:t>review as needed and indicated by change in individual needs or the identification of further health issues; and</w:t>
      </w:r>
    </w:p>
    <w:p w14:paraId="4219C6CF"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5.</w:t>
      </w:r>
      <w:r w:rsidRPr="00FC5566">
        <w:rPr>
          <w:rFonts w:eastAsia="Calibri"/>
          <w:kern w:val="2"/>
        </w:rPr>
        <w:tab/>
        <w:t>referral and related activities to help an eligible individual obtain needed services, including:</w:t>
      </w:r>
    </w:p>
    <w:p w14:paraId="71ECBAFA"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a.</w:t>
      </w:r>
      <w:r w:rsidRPr="00FC5566">
        <w:rPr>
          <w:rFonts w:eastAsia="Calibri"/>
          <w:kern w:val="2"/>
        </w:rPr>
        <w:tab/>
        <w:t xml:space="preserve">referral to activities that link an individual with medical, social, educational providers or other programs and needed services; and </w:t>
      </w:r>
    </w:p>
    <w:p w14:paraId="21CE0979"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b.</w:t>
      </w:r>
      <w:r w:rsidRPr="00FC5566">
        <w:rPr>
          <w:rFonts w:eastAsia="Calibri"/>
          <w:kern w:val="2"/>
        </w:rPr>
        <w:tab/>
        <w:t>referral to support services, including food assistance, transportation, child care and housing assistance, to address identified needs and achieve goals specified in the care plan.</w:t>
      </w:r>
    </w:p>
    <w:p w14:paraId="784E3C2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rFonts w:eastAsia="Calibri"/>
          <w:kern w:val="2"/>
          <w:sz w:val="18"/>
        </w:rPr>
      </w:pPr>
      <w:r w:rsidRPr="00FC5566">
        <w:rPr>
          <w:rFonts w:eastAsia="Calibri"/>
          <w:kern w:val="2"/>
          <w:sz w:val="18"/>
        </w:rPr>
        <w:t>AUTHORITY NOTE:</w:t>
      </w:r>
      <w:r w:rsidRPr="00FC5566">
        <w:rPr>
          <w:rFonts w:eastAsia="Calibri"/>
          <w:kern w:val="2"/>
          <w:sz w:val="18"/>
        </w:rPr>
        <w:tab/>
        <w:t>Promulgated in accordance with R.S. 36:254 and Title XIX of the Social Security Act.</w:t>
      </w:r>
    </w:p>
    <w:p w14:paraId="6C666BCC"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rFonts w:eastAsia="Calibri"/>
          <w:kern w:val="2"/>
          <w:sz w:val="18"/>
        </w:rPr>
      </w:pPr>
      <w:r w:rsidRPr="00FC5566">
        <w:rPr>
          <w:rFonts w:eastAsia="Calibri"/>
          <w:kern w:val="2"/>
          <w:sz w:val="18"/>
        </w:rPr>
        <w:t>HISTORICAL NOTE:</w:t>
      </w:r>
      <w:r w:rsidRPr="00FC5566">
        <w:rPr>
          <w:rFonts w:eastAsia="Calibri"/>
          <w:kern w:val="2"/>
          <w:sz w:val="18"/>
        </w:rPr>
        <w:tab/>
        <w:t>Promulgated by the Department of Health, Bureau of Health Services Financing, LR 52:</w:t>
      </w:r>
    </w:p>
    <w:p w14:paraId="304263D3"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Implementation of the provisions of this Rule may be contingent upon the approval of the U.S. Department of Health and Human Services, Centers for Medicare and Medicaid Services (CMS), if it is determined that submission to CMS for review and approval is required.</w:t>
      </w:r>
    </w:p>
    <w:p w14:paraId="7DFC7316" w14:textId="77777777" w:rsidR="00FC5566" w:rsidRPr="00FC5566" w:rsidRDefault="00FC5566" w:rsidP="00FC5566">
      <w:pPr>
        <w:keepNext/>
        <w:jc w:val="center"/>
        <w:rPr>
          <w:rFonts w:eastAsia="Calibri"/>
          <w:b/>
          <w:kern w:val="28"/>
        </w:rPr>
      </w:pPr>
      <w:r w:rsidRPr="00FC5566">
        <w:rPr>
          <w:rFonts w:eastAsia="Calibri"/>
          <w:b/>
          <w:kern w:val="28"/>
        </w:rPr>
        <w:t>Family Impact Statement</w:t>
      </w:r>
    </w:p>
    <w:p w14:paraId="58D8003D"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In compliance with Act 1183 of the 1999 Regular Session of the Louisiana Legislature, the impact of this proposed Rule on the family has been considered. It is anticipated that this proposed Rule will have a positive impact on family functioning, stability and autonomy as described in R.S. 49:972, since it establishes new services under Medicaid that may lead to improved health outcomes.</w:t>
      </w:r>
    </w:p>
    <w:p w14:paraId="718DF7B4" w14:textId="77777777" w:rsidR="00FC5566" w:rsidRPr="00FC5566" w:rsidRDefault="00FC5566" w:rsidP="00FC5566">
      <w:pPr>
        <w:keepNext/>
        <w:jc w:val="center"/>
        <w:rPr>
          <w:rFonts w:eastAsia="Calibri"/>
          <w:b/>
          <w:kern w:val="28"/>
        </w:rPr>
      </w:pPr>
      <w:r w:rsidRPr="00FC5566">
        <w:rPr>
          <w:rFonts w:eastAsia="Calibri"/>
          <w:b/>
          <w:kern w:val="28"/>
        </w:rPr>
        <w:lastRenderedPageBreak/>
        <w:t>Poverty Impact Statement</w:t>
      </w:r>
    </w:p>
    <w:p w14:paraId="6E64A288"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In compliance with Act 854 of the 2012 Regular Session of the Louisiana Legislature, the poverty impact of this proposed Rule has been considered. It is anticipated that this proposed Rule will have a positive impact on child, individual, or family poverty in relation to individual or community asset development as described in R.S. 49:973, since it improves access to postnatal care for mothers and newborns.</w:t>
      </w:r>
    </w:p>
    <w:p w14:paraId="25BC3C36" w14:textId="77777777" w:rsidR="00FC5566" w:rsidRPr="00FC5566" w:rsidRDefault="00FC5566" w:rsidP="00FC5566">
      <w:pPr>
        <w:keepNext/>
        <w:jc w:val="center"/>
        <w:rPr>
          <w:rFonts w:eastAsia="Calibri"/>
          <w:b/>
          <w:kern w:val="28"/>
        </w:rPr>
      </w:pPr>
      <w:r w:rsidRPr="00FC5566">
        <w:rPr>
          <w:rFonts w:eastAsia="Calibri"/>
          <w:b/>
          <w:kern w:val="28"/>
        </w:rPr>
        <w:t>Small Business Analysis</w:t>
      </w:r>
    </w:p>
    <w:p w14:paraId="415EA062"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In compliance with the Small Business Protection Act, the economic impact of this proposed Rule on small businesses has been considered. It is anticipated that this proposed Rule will have no impact on small businesses.</w:t>
      </w:r>
    </w:p>
    <w:p w14:paraId="663BB55A" w14:textId="77777777" w:rsidR="00FC5566" w:rsidRPr="00FC5566" w:rsidRDefault="00FC5566" w:rsidP="00FC5566">
      <w:pPr>
        <w:keepNext/>
        <w:jc w:val="center"/>
        <w:rPr>
          <w:rFonts w:eastAsia="Calibri"/>
          <w:b/>
          <w:kern w:val="28"/>
        </w:rPr>
      </w:pPr>
      <w:r w:rsidRPr="00FC5566">
        <w:rPr>
          <w:rFonts w:eastAsia="Calibri"/>
          <w:b/>
          <w:kern w:val="28"/>
        </w:rPr>
        <w:t>Provider Impact Statement</w:t>
      </w:r>
    </w:p>
    <w:p w14:paraId="1BA9312A"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In compliance with House Concurrent Resolution (HCR) 170 of the 2014 Regular Session of the Louisiana Legislature, the provider impact of this proposed Rule has been considered. It is anticipated that this proposed Rule will have a positive impact on providers as it establishes reimbursement for new services. This will not impact staffing level requirements or qualifications or the total direct and indirect cost to the provider to provide the same level of service as described in HCR 170.</w:t>
      </w:r>
    </w:p>
    <w:p w14:paraId="44CFC836" w14:textId="77777777" w:rsidR="00FC5566" w:rsidRPr="00FC5566" w:rsidRDefault="00FC5566" w:rsidP="00FC5566">
      <w:pPr>
        <w:keepNext/>
        <w:jc w:val="center"/>
        <w:rPr>
          <w:rFonts w:eastAsia="Calibri"/>
          <w:b/>
          <w:kern w:val="28"/>
        </w:rPr>
      </w:pPr>
      <w:r w:rsidRPr="00FC5566">
        <w:rPr>
          <w:rFonts w:eastAsia="Calibri"/>
          <w:b/>
          <w:kern w:val="28"/>
        </w:rPr>
        <w:t>Public Comments</w:t>
      </w:r>
    </w:p>
    <w:p w14:paraId="7240A30B"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Interested persons may submit written comments to Tangela Womack, Bureau of Health Services Financing, P.O. Box 91030, Baton Rouge, LA 70821-9030. Ms. Womack is responsible for responding to inquiries regarding this proposed Rule. The deadline for submitting written comments is September 21, 2026.</w:t>
      </w:r>
    </w:p>
    <w:p w14:paraId="34BBDEA0" w14:textId="77777777" w:rsidR="00FC5566" w:rsidRPr="00FC5566" w:rsidRDefault="00FC5566" w:rsidP="00FC5566">
      <w:pPr>
        <w:keepNext/>
        <w:jc w:val="center"/>
        <w:rPr>
          <w:rFonts w:eastAsia="Calibri"/>
          <w:b/>
          <w:kern w:val="28"/>
        </w:rPr>
      </w:pPr>
      <w:r w:rsidRPr="00FC5566">
        <w:rPr>
          <w:rFonts w:eastAsia="Calibri"/>
          <w:b/>
          <w:kern w:val="28"/>
        </w:rPr>
        <w:t>Public Hearing</w:t>
      </w:r>
    </w:p>
    <w:p w14:paraId="26585CE5"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Interested persons may submit a written request to conduct a public hearing by U.S. mail to the Office of the Secretary ATTN: LDH Rulemaking Coordinator, Post Office Box 629, Baton Rouge, LA 70821-0629; however, such request must be received no later than 4:30 p.m. on September 9, 2026. If the criteria set forth in R.S. 49:961(B)(1) are satisfied, LDH will conduct a public hearing at 9:30 a.m. on September 24, 2026, in Room 118 of the Bienville Building, which is located at 628 North Fourth Street, Baton Rouge, LA. To confirm whether a public hearing will be held, interested persons should first call Allen Enger at (225) 342-1342 after September 9, 2026. If a public hearing is to be held, all interested persons are invited to attend and present data, views, comments, or arguments, orally or in writing.</w:t>
      </w:r>
    </w:p>
    <w:p w14:paraId="26F07C95"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p>
    <w:p w14:paraId="72E82D3A" w14:textId="77777777" w:rsidR="00FC5566" w:rsidRPr="00FC5566" w:rsidRDefault="00FC5566" w:rsidP="00FC5566">
      <w:pPr>
        <w:keepNext/>
        <w:ind w:left="2160"/>
        <w:jc w:val="both"/>
        <w:rPr>
          <w:rFonts w:eastAsia="Calibri"/>
        </w:rPr>
      </w:pPr>
      <w:r w:rsidRPr="00FC5566">
        <w:rPr>
          <w:rFonts w:eastAsia="Calibri"/>
        </w:rPr>
        <w:t>Bruce D. Greenstein</w:t>
      </w:r>
    </w:p>
    <w:p w14:paraId="501C06C0" w14:textId="77777777" w:rsidR="00FC5566" w:rsidRPr="00FC5566" w:rsidRDefault="00FC5566" w:rsidP="00FC5566">
      <w:pPr>
        <w:keepNext/>
        <w:ind w:left="2160"/>
        <w:jc w:val="both"/>
        <w:rPr>
          <w:rFonts w:eastAsia="Calibri"/>
        </w:rPr>
      </w:pPr>
      <w:r w:rsidRPr="00FC5566">
        <w:rPr>
          <w:rFonts w:eastAsia="Calibri"/>
        </w:rPr>
        <w:t>Secretary</w:t>
      </w:r>
    </w:p>
    <w:p w14:paraId="5E3BD72E" w14:textId="77777777" w:rsidR="00FC5566" w:rsidRPr="00FC5566" w:rsidRDefault="00FC5566" w:rsidP="00FC5566">
      <w:pPr>
        <w:keepNext/>
        <w:jc w:val="center"/>
        <w:rPr>
          <w:b/>
        </w:rPr>
      </w:pPr>
    </w:p>
    <w:p w14:paraId="38BADAF9" w14:textId="77777777" w:rsidR="00FC5566" w:rsidRPr="00FC5566" w:rsidRDefault="00FC5566" w:rsidP="00FC5566">
      <w:pPr>
        <w:keepNext/>
        <w:jc w:val="center"/>
        <w:rPr>
          <w:b/>
        </w:rPr>
      </w:pPr>
      <w:r w:rsidRPr="00FC5566">
        <w:rPr>
          <w:b/>
        </w:rPr>
        <w:t>FISCAL AND ECONOMIC IMPACT STATEMENT FOR ADMINISTRATIVE RULES</w:t>
      </w:r>
    </w:p>
    <w:p w14:paraId="736F656F" w14:textId="77777777" w:rsidR="00FC5566" w:rsidRPr="00FC5566" w:rsidRDefault="00FC5566" w:rsidP="00FC5566">
      <w:pPr>
        <w:keepNext/>
        <w:jc w:val="center"/>
        <w:rPr>
          <w:b/>
          <w:noProof/>
        </w:rPr>
      </w:pPr>
      <w:r w:rsidRPr="00FC5566">
        <w:rPr>
          <w:b/>
          <w:noProof/>
        </w:rPr>
        <w:t xml:space="preserve">RULE TITLE:  </w:t>
      </w:r>
      <w:r w:rsidRPr="00FC5566">
        <w:rPr>
          <w:rFonts w:eastAsia="Calibri"/>
          <w:b/>
          <w:noProof/>
        </w:rPr>
        <w:t>Hospital Services—Postpartum Nurse Home Visits</w:t>
      </w:r>
    </w:p>
    <w:p w14:paraId="13935182"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15AA9736" w14:textId="77777777" w:rsidR="00FC5566" w:rsidRPr="00FC5566" w:rsidRDefault="00FC5566" w:rsidP="00FC5566">
      <w:pPr>
        <w:ind w:left="288" w:hanging="288"/>
        <w:jc w:val="both"/>
        <w:rPr>
          <w:spacing w:val="-10"/>
          <w:sz w:val="18"/>
        </w:rPr>
      </w:pPr>
      <w:r w:rsidRPr="00FC5566">
        <w:rPr>
          <w:spacing w:val="-10"/>
          <w:sz w:val="18"/>
        </w:rPr>
        <w:t>I.</w:t>
      </w:r>
      <w:r w:rsidRPr="00FC5566">
        <w:rPr>
          <w:spacing w:val="-10"/>
          <w:sz w:val="18"/>
        </w:rPr>
        <w:tab/>
        <w:t>ESTIMATED IMPLEMENTATION COSTS (SAVINGS) TO STATE OR LOCAL GOVERNMENT UNITS (Summary)</w:t>
      </w:r>
    </w:p>
    <w:p w14:paraId="4C77A1D2" w14:textId="77777777" w:rsidR="00FC5566" w:rsidRPr="00FC5566" w:rsidRDefault="00FC5566" w:rsidP="00FC5566">
      <w:pPr>
        <w:ind w:left="288" w:firstLine="288"/>
        <w:jc w:val="both"/>
        <w:rPr>
          <w:noProof/>
          <w:sz w:val="18"/>
        </w:rPr>
      </w:pPr>
      <w:r w:rsidRPr="00FC5566">
        <w:rPr>
          <w:noProof/>
          <w:sz w:val="18"/>
        </w:rPr>
        <w:t>It is anticipated that implementation of this proposed rule will result in costs to the state of $1,200,391 for FY 26-27 (includes $391 for the administrative expense of promulgation of the proposed rule and final rule), $700,000 for FY 27-28, and $700,00 for FY 28-29.</w:t>
      </w:r>
    </w:p>
    <w:p w14:paraId="2487DFC4" w14:textId="77777777" w:rsidR="00FC5566" w:rsidRPr="00FC5566" w:rsidRDefault="00FC5566" w:rsidP="00FC5566">
      <w:pPr>
        <w:ind w:left="288" w:firstLine="288"/>
        <w:jc w:val="both"/>
        <w:rPr>
          <w:sz w:val="18"/>
        </w:rPr>
      </w:pPr>
      <w:r w:rsidRPr="00FC5566">
        <w:rPr>
          <w:sz w:val="18"/>
        </w:rPr>
        <w:t>This proposed rule adopts provisions for a new service. It establishes Medicaid reimbursement for nurse home visits to Medicaid-eligible mothers and newborns, 0 to 6 months of age.</w:t>
      </w:r>
    </w:p>
    <w:p w14:paraId="0BA019F4" w14:textId="77777777" w:rsidR="00FC5566" w:rsidRPr="00FC5566" w:rsidRDefault="00FC5566" w:rsidP="00FC5566">
      <w:pPr>
        <w:ind w:left="288" w:hanging="288"/>
        <w:jc w:val="both"/>
        <w:rPr>
          <w:spacing w:val="-10"/>
          <w:sz w:val="18"/>
        </w:rPr>
      </w:pPr>
      <w:r w:rsidRPr="00FC5566">
        <w:rPr>
          <w:spacing w:val="-10"/>
          <w:sz w:val="18"/>
        </w:rPr>
        <w:t>II.</w:t>
      </w:r>
      <w:r w:rsidRPr="00FC5566">
        <w:rPr>
          <w:spacing w:val="-10"/>
          <w:sz w:val="18"/>
        </w:rPr>
        <w:tab/>
        <w:t>ESTIMATED EFFECT ON REVENUE COLLECTIONS OF STATE OR LOCAL GOVERNMENTAL UNITS (Summary)</w:t>
      </w:r>
    </w:p>
    <w:p w14:paraId="18105E84" w14:textId="77777777" w:rsidR="00FC5566" w:rsidRPr="00FC5566" w:rsidRDefault="00FC5566" w:rsidP="00FC5566">
      <w:pPr>
        <w:ind w:left="288" w:firstLine="288"/>
        <w:jc w:val="both"/>
        <w:rPr>
          <w:sz w:val="18"/>
        </w:rPr>
      </w:pPr>
      <w:r w:rsidRPr="00FC5566">
        <w:rPr>
          <w:sz w:val="18"/>
        </w:rPr>
        <w:t>It is anticipated that implementation of this proposed rule will result in increased federal revenue collection of $3,900,390 for FY 26-27 (includes $390 for the administrative expense of promulgation of the proposed rule and final rule), $3,700,000 for FY 27-28, and $3,700,00 for FY 28-29.</w:t>
      </w:r>
    </w:p>
    <w:p w14:paraId="47069C42" w14:textId="77777777" w:rsidR="00FC5566" w:rsidRPr="00FC5566" w:rsidRDefault="00FC5566" w:rsidP="00FC5566">
      <w:pPr>
        <w:ind w:left="288" w:hanging="288"/>
        <w:jc w:val="both"/>
        <w:rPr>
          <w:spacing w:val="-10"/>
          <w:sz w:val="18"/>
        </w:rPr>
      </w:pPr>
      <w:r w:rsidRPr="00FC5566">
        <w:rPr>
          <w:spacing w:val="-10"/>
          <w:sz w:val="18"/>
        </w:rPr>
        <w:t>III.</w:t>
      </w:r>
      <w:r w:rsidRPr="00FC5566">
        <w:rPr>
          <w:spacing w:val="-10"/>
          <w:sz w:val="18"/>
        </w:rPr>
        <w:tab/>
        <w:t>ESTIMATED COSTS AND/OR ECONOMIC BENEFITS TO DIRECTLY AFFECTED PERSONS, SMALL BUSINESSES, OR NONGOVERNMENTAL GROUPS (Summary)</w:t>
      </w:r>
    </w:p>
    <w:p w14:paraId="63A5738E" w14:textId="77777777" w:rsidR="00FC5566" w:rsidRPr="00FC5566" w:rsidRDefault="00FC5566" w:rsidP="00FC5566">
      <w:pPr>
        <w:ind w:left="288" w:firstLine="288"/>
        <w:jc w:val="both"/>
        <w:rPr>
          <w:sz w:val="18"/>
        </w:rPr>
      </w:pPr>
      <w:r w:rsidRPr="00FC5566">
        <w:rPr>
          <w:sz w:val="18"/>
        </w:rPr>
        <w:t>It is anticipated that this proposed rule will have a positive impact on Medicaid mothers and newborns by increasing access to postpartum healthcare services. The proposed rule is also expected to have a positive impact on providers by providing Medicaid reimbursement for these services. The estimated total reimbursement is $5,100,000 for FY 26-27, $4,400,000 for FY 27-28, and $4,400,000 for FY 28-29.</w:t>
      </w:r>
    </w:p>
    <w:p w14:paraId="5D4EF7C9" w14:textId="77777777" w:rsidR="00FC5566" w:rsidRPr="00FC5566" w:rsidRDefault="00FC5566" w:rsidP="00FC5566">
      <w:pPr>
        <w:ind w:left="288" w:hanging="288"/>
        <w:jc w:val="both"/>
        <w:rPr>
          <w:spacing w:val="-10"/>
          <w:sz w:val="18"/>
        </w:rPr>
      </w:pPr>
      <w:r w:rsidRPr="00FC5566">
        <w:rPr>
          <w:spacing w:val="-10"/>
          <w:sz w:val="18"/>
        </w:rPr>
        <w:t>IV.</w:t>
      </w:r>
      <w:r w:rsidRPr="00FC5566">
        <w:rPr>
          <w:spacing w:val="-10"/>
          <w:sz w:val="18"/>
        </w:rPr>
        <w:tab/>
        <w:t>ESTIMATED EFFECT ON COMPETITION AND EMPLOYMENT (Summary)</w:t>
      </w:r>
    </w:p>
    <w:p w14:paraId="3984B4C2" w14:textId="77777777" w:rsidR="00FC5566" w:rsidRPr="00FC5566" w:rsidRDefault="00FC5566" w:rsidP="00FC5566">
      <w:pPr>
        <w:ind w:left="288" w:firstLine="288"/>
        <w:jc w:val="both"/>
        <w:rPr>
          <w:sz w:val="18"/>
        </w:rPr>
      </w:pPr>
      <w:r w:rsidRPr="00FC5566">
        <w:rPr>
          <w:sz w:val="18"/>
        </w:rPr>
        <w:t>This proposed rule has no known effect on competition and employment.</w:t>
      </w:r>
    </w:p>
    <w:p w14:paraId="33174F0B" w14:textId="77777777" w:rsidR="00FC5566" w:rsidRPr="00FC5566" w:rsidRDefault="00FC5566" w:rsidP="00FC5566">
      <w:pPr>
        <w:ind w:left="288" w:firstLine="288"/>
        <w:jc w:val="both"/>
        <w:rPr>
          <w:sz w:val="18"/>
        </w:rPr>
      </w:pPr>
    </w:p>
    <w:p w14:paraId="2040274C" w14:textId="77777777" w:rsidR="00FC5566" w:rsidRPr="00FC5566" w:rsidRDefault="00FC5566" w:rsidP="00FC5566">
      <w:pPr>
        <w:tabs>
          <w:tab w:val="left" w:pos="2880"/>
          <w:tab w:val="decimal" w:pos="2988"/>
        </w:tabs>
        <w:outlineLvl w:val="8"/>
        <w:rPr>
          <w:kern w:val="2"/>
          <w:sz w:val="18"/>
        </w:rPr>
      </w:pPr>
      <w:r w:rsidRPr="00FC5566">
        <w:rPr>
          <w:kern w:val="2"/>
          <w:sz w:val="18"/>
        </w:rPr>
        <w:t>Seth Gold</w:t>
      </w:r>
      <w:r w:rsidRPr="00FC5566">
        <w:rPr>
          <w:kern w:val="2"/>
          <w:sz w:val="18"/>
        </w:rPr>
        <w:tab/>
        <w:t>Alan M. Boxberger</w:t>
      </w:r>
    </w:p>
    <w:p w14:paraId="58306154" w14:textId="77777777" w:rsidR="00FC5566" w:rsidRPr="00FC5566" w:rsidRDefault="00FC5566" w:rsidP="00FC5566">
      <w:pPr>
        <w:tabs>
          <w:tab w:val="left" w:pos="2880"/>
          <w:tab w:val="decimal" w:pos="2988"/>
        </w:tabs>
        <w:outlineLvl w:val="8"/>
        <w:rPr>
          <w:kern w:val="2"/>
          <w:sz w:val="18"/>
        </w:rPr>
      </w:pPr>
      <w:r w:rsidRPr="00FC5566">
        <w:rPr>
          <w:kern w:val="2"/>
          <w:sz w:val="18"/>
        </w:rPr>
        <w:t>Medicaid Executive Director</w:t>
      </w:r>
      <w:r w:rsidRPr="00FC5566">
        <w:rPr>
          <w:kern w:val="2"/>
          <w:sz w:val="18"/>
        </w:rPr>
        <w:tab/>
        <w:t>Legislative Fiscal Officer</w:t>
      </w:r>
    </w:p>
    <w:p w14:paraId="5312C1BC" w14:textId="77777777" w:rsidR="00FC5566" w:rsidRPr="00FC5566" w:rsidRDefault="00FC5566" w:rsidP="00FC5566">
      <w:pPr>
        <w:tabs>
          <w:tab w:val="left" w:pos="2880"/>
          <w:tab w:val="decimal" w:pos="2988"/>
        </w:tabs>
        <w:outlineLvl w:val="8"/>
        <w:rPr>
          <w:kern w:val="2"/>
          <w:sz w:val="18"/>
        </w:rPr>
      </w:pPr>
      <w:r w:rsidRPr="00FC5566">
        <w:rPr>
          <w:noProof/>
          <w:sz w:val="16"/>
        </w:rPr>
        <w:t>2608#040</w:t>
      </w:r>
      <w:r w:rsidRPr="00FC5566">
        <w:rPr>
          <w:kern w:val="2"/>
        </w:rPr>
        <w:tab/>
      </w:r>
      <w:r w:rsidRPr="00FC5566">
        <w:rPr>
          <w:kern w:val="2"/>
          <w:sz w:val="18"/>
        </w:rPr>
        <w:t>Legislative Fiscal Office</w:t>
      </w:r>
    </w:p>
    <w:p w14:paraId="119F2A8F" w14:textId="77777777" w:rsidR="00FC5566" w:rsidRPr="00FC5566" w:rsidRDefault="00FC5566" w:rsidP="00FC5566"/>
    <w:p w14:paraId="22305A96" w14:textId="77777777" w:rsidR="00FC5566" w:rsidRPr="00FC5566" w:rsidRDefault="00FC5566" w:rsidP="00FC5566">
      <w:pPr>
        <w:keepNext/>
        <w:tabs>
          <w:tab w:val="left" w:pos="-1440"/>
        </w:tabs>
        <w:spacing w:after="120"/>
        <w:jc w:val="center"/>
        <w:rPr>
          <w:b/>
          <w:noProof/>
        </w:rPr>
      </w:pPr>
      <w:bookmarkStart w:id="751" w:name="_Toc222489706"/>
      <w:r w:rsidRPr="00FC5566">
        <w:rPr>
          <w:b/>
          <w:noProof/>
        </w:rPr>
        <w:t>NOTICE OF INTENT</w:t>
      </w:r>
    </w:p>
    <w:p w14:paraId="340FED88" w14:textId="77777777" w:rsidR="00FC5566" w:rsidRPr="00FC5566" w:rsidRDefault="00FC5566" w:rsidP="00FC5566">
      <w:pPr>
        <w:keepNext/>
        <w:jc w:val="center"/>
        <w:rPr>
          <w:b/>
          <w:noProof/>
        </w:rPr>
      </w:pPr>
      <w:r w:rsidRPr="00FC5566">
        <w:rPr>
          <w:b/>
          <w:noProof/>
        </w:rPr>
        <w:t>Department of Public Safety and Corrections</w:t>
      </w:r>
    </w:p>
    <w:p w14:paraId="6218475B" w14:textId="77777777" w:rsidR="00FC5566" w:rsidRPr="00FC5566" w:rsidRDefault="00FC5566" w:rsidP="00FC5566">
      <w:pPr>
        <w:keepNext/>
        <w:jc w:val="center"/>
        <w:rPr>
          <w:b/>
          <w:noProof/>
        </w:rPr>
      </w:pPr>
      <w:r w:rsidRPr="00FC5566">
        <w:rPr>
          <w:b/>
          <w:noProof/>
        </w:rPr>
        <w:t>Board of Private Security Examiners</w:t>
      </w:r>
    </w:p>
    <w:p w14:paraId="58765CCD" w14:textId="77777777" w:rsidR="00FC5566" w:rsidRPr="00FC5566" w:rsidRDefault="00FC5566" w:rsidP="00FC5566">
      <w:pPr>
        <w:keepNext/>
        <w:spacing w:before="240" w:after="240"/>
        <w:jc w:val="center"/>
        <w:rPr>
          <w:noProof/>
        </w:rPr>
      </w:pPr>
      <w:r w:rsidRPr="00FC5566">
        <w:rPr>
          <w:noProof/>
        </w:rPr>
        <w:t>Private Security Examiners</w:t>
      </w:r>
      <w:r w:rsidRPr="00FC5566">
        <w:rPr>
          <w:noProof/>
        </w:rPr>
        <w:br/>
        <w:t>(LAC 46:LIX.301, 505, and 603)</w:t>
      </w:r>
    </w:p>
    <w:p w14:paraId="4FD3102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 xml:space="preserve">In accordance with R.S 49:961 et seq, and pursuant to the authority in R.S. 37:3270 et. seq., the Board of Private Security Examiners proposes to amend §301 and §505, and to repeal §603, to address changes that were not included in the Notice of Intent published in the July 2026 </w:t>
      </w:r>
      <w:r w:rsidRPr="00FC5566">
        <w:rPr>
          <w:i/>
          <w:iCs/>
          <w:kern w:val="2"/>
        </w:rPr>
        <w:t>Louisiana Register</w:t>
      </w:r>
      <w:r w:rsidRPr="00FC5566">
        <w:rPr>
          <w:kern w:val="2"/>
        </w:rPr>
        <w:t xml:space="preserve">. These rules will become effective upon the publication of the permanent rule in the </w:t>
      </w:r>
      <w:r w:rsidRPr="00FC5566">
        <w:rPr>
          <w:i/>
          <w:iCs/>
          <w:kern w:val="2"/>
        </w:rPr>
        <w:t>Louisiana Register</w:t>
      </w:r>
      <w:r w:rsidRPr="00FC5566">
        <w:rPr>
          <w:kern w:val="2"/>
        </w:rPr>
        <w:t xml:space="preserve">. </w:t>
      </w:r>
    </w:p>
    <w:p w14:paraId="6F1F35F4" w14:textId="77777777" w:rsidR="00FC5566" w:rsidRPr="00FC5566" w:rsidRDefault="00FC5566" w:rsidP="00FC5566">
      <w:pPr>
        <w:keepNext/>
        <w:jc w:val="center"/>
        <w:rPr>
          <w:b/>
          <w:kern w:val="28"/>
        </w:rPr>
      </w:pPr>
      <w:r w:rsidRPr="00FC5566">
        <w:rPr>
          <w:b/>
          <w:kern w:val="28"/>
        </w:rPr>
        <w:t>Title 46</w:t>
      </w:r>
    </w:p>
    <w:p w14:paraId="1B65BBAB" w14:textId="77777777" w:rsidR="00FC5566" w:rsidRPr="00FC5566" w:rsidRDefault="00FC5566" w:rsidP="00FC5566">
      <w:pPr>
        <w:keepNext/>
        <w:jc w:val="center"/>
        <w:rPr>
          <w:b/>
          <w:kern w:val="28"/>
        </w:rPr>
      </w:pPr>
      <w:r w:rsidRPr="00FC5566">
        <w:rPr>
          <w:b/>
          <w:kern w:val="28"/>
        </w:rPr>
        <w:t>PROFESSIONAL AND OCCUPATIONAL STANDARDS</w:t>
      </w:r>
    </w:p>
    <w:p w14:paraId="28DD437F" w14:textId="77777777" w:rsidR="00FC5566" w:rsidRPr="00FC5566" w:rsidRDefault="00FC5566" w:rsidP="00FC5566">
      <w:pPr>
        <w:keepNext/>
        <w:jc w:val="center"/>
        <w:rPr>
          <w:b/>
          <w:bCs/>
        </w:rPr>
      </w:pPr>
      <w:r w:rsidRPr="00FC5566">
        <w:rPr>
          <w:b/>
          <w:kern w:val="28"/>
        </w:rPr>
        <w:t>Part LIX.  Private Security Examiners</w:t>
      </w:r>
    </w:p>
    <w:p w14:paraId="4B7337B4"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rFonts w:eastAsia="Aptos"/>
          <w:b/>
          <w:kern w:val="2"/>
        </w:rPr>
      </w:pPr>
      <w:bookmarkStart w:id="752" w:name="TOC_Chap5"/>
      <w:bookmarkStart w:id="753" w:name="_Toc222489671"/>
      <w:bookmarkEnd w:id="751"/>
      <w:r w:rsidRPr="00FC5566">
        <w:rPr>
          <w:rFonts w:eastAsia="Aptos"/>
          <w:b/>
          <w:kern w:val="2"/>
        </w:rPr>
        <w:t>Chapter 3.</w:t>
      </w:r>
      <w:bookmarkEnd w:id="752"/>
      <w:r w:rsidRPr="00FC5566">
        <w:rPr>
          <w:rFonts w:eastAsia="Aptos"/>
          <w:b/>
          <w:kern w:val="2"/>
        </w:rPr>
        <w:tab/>
        <w:t>Security Officer Registration</w:t>
      </w:r>
      <w:bookmarkEnd w:id="753"/>
    </w:p>
    <w:p w14:paraId="1E2CC2B1"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rFonts w:eastAsia="Aptos"/>
          <w:b/>
          <w:kern w:val="2"/>
        </w:rPr>
      </w:pPr>
      <w:bookmarkStart w:id="754" w:name="_Toc222489672"/>
      <w:r w:rsidRPr="00FC5566">
        <w:rPr>
          <w:rFonts w:eastAsia="Aptos"/>
          <w:b/>
          <w:kern w:val="2"/>
        </w:rPr>
        <w:t>§301.</w:t>
      </w:r>
      <w:r w:rsidRPr="00FC5566">
        <w:rPr>
          <w:rFonts w:eastAsia="Aptos"/>
          <w:b/>
          <w:kern w:val="2"/>
        </w:rPr>
        <w:tab/>
        <w:t>Qualifications and Requirements for Security Officer Registration</w:t>
      </w:r>
      <w:bookmarkEnd w:id="754"/>
    </w:p>
    <w:p w14:paraId="3635D306"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Aptos"/>
          <w:kern w:val="2"/>
        </w:rPr>
      </w:pPr>
      <w:r w:rsidRPr="00FC5566">
        <w:rPr>
          <w:rFonts w:eastAsia="Aptos"/>
          <w:kern w:val="2"/>
        </w:rPr>
        <w:t>A.</w:t>
      </w:r>
      <w:r w:rsidRPr="00FC5566">
        <w:rPr>
          <w:rFonts w:eastAsia="Aptos"/>
          <w:kern w:val="2"/>
        </w:rPr>
        <w:tab/>
        <w:t>Authority</w:t>
      </w:r>
    </w:p>
    <w:p w14:paraId="49ED5509" w14:textId="77777777" w:rsidR="00FC5566" w:rsidRPr="00FC5566" w:rsidRDefault="00FC5566" w:rsidP="00FC5566">
      <w:pPr>
        <w:tabs>
          <w:tab w:val="left" w:pos="720"/>
          <w:tab w:val="left" w:pos="979"/>
          <w:tab w:val="left" w:pos="1152"/>
        </w:tabs>
        <w:ind w:firstLine="360"/>
        <w:jc w:val="both"/>
        <w:outlineLvl w:val="4"/>
        <w:rPr>
          <w:rFonts w:eastAsia="Aptos"/>
          <w:strike/>
          <w:kern w:val="2"/>
        </w:rPr>
      </w:pPr>
      <w:r w:rsidRPr="00FC5566">
        <w:rPr>
          <w:rFonts w:eastAsia="Aptos"/>
          <w:kern w:val="2"/>
        </w:rPr>
        <w:t>1.</w:t>
      </w:r>
      <w:r w:rsidRPr="00FC5566">
        <w:rPr>
          <w:rFonts w:eastAsia="Aptos"/>
          <w:kern w:val="2"/>
        </w:rPr>
        <w:tab/>
        <w:t>In accordance with R.S. 37:3270 et seq., the board shall regulate the registration of private security officers in Louisiana.</w:t>
      </w:r>
    </w:p>
    <w:p w14:paraId="30E41B87"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Aptos"/>
          <w:kern w:val="2"/>
        </w:rPr>
      </w:pPr>
      <w:r w:rsidRPr="00FC5566">
        <w:rPr>
          <w:rFonts w:eastAsia="Aptos"/>
          <w:kern w:val="2"/>
        </w:rPr>
        <w:t>B.</w:t>
      </w:r>
      <w:r w:rsidRPr="00FC5566">
        <w:rPr>
          <w:rFonts w:eastAsia="Aptos"/>
          <w:kern w:val="2"/>
        </w:rPr>
        <w:tab/>
        <w:t>Application Eligibility</w:t>
      </w:r>
    </w:p>
    <w:p w14:paraId="3A00DB0B" w14:textId="77777777" w:rsidR="00FC5566" w:rsidRPr="00FC5566" w:rsidRDefault="00FC5566" w:rsidP="00FC5566">
      <w:pPr>
        <w:tabs>
          <w:tab w:val="left" w:pos="720"/>
          <w:tab w:val="left" w:pos="979"/>
          <w:tab w:val="left" w:pos="1152"/>
        </w:tabs>
        <w:ind w:firstLine="360"/>
        <w:jc w:val="both"/>
        <w:outlineLvl w:val="4"/>
        <w:rPr>
          <w:rFonts w:eastAsia="Aptos"/>
          <w:kern w:val="2"/>
        </w:rPr>
      </w:pPr>
      <w:r w:rsidRPr="00FC5566">
        <w:rPr>
          <w:rFonts w:eastAsia="Aptos"/>
          <w:kern w:val="2"/>
        </w:rPr>
        <w:t>1.</w:t>
      </w:r>
      <w:r w:rsidRPr="00FC5566">
        <w:rPr>
          <w:rFonts w:eastAsia="Aptos"/>
          <w:kern w:val="2"/>
        </w:rPr>
        <w:tab/>
        <w:t>An applicant for security officer registration shall meet all of the qualifications and requirements specified in R.S. 37:3283 in addition to the rules herein.</w:t>
      </w:r>
    </w:p>
    <w:p w14:paraId="4DDFF609" w14:textId="77777777" w:rsidR="00FC5566" w:rsidRPr="00FC5566" w:rsidRDefault="00FC5566" w:rsidP="00FC5566">
      <w:pPr>
        <w:tabs>
          <w:tab w:val="left" w:pos="720"/>
          <w:tab w:val="left" w:pos="979"/>
          <w:tab w:val="left" w:pos="1152"/>
        </w:tabs>
        <w:ind w:firstLine="360"/>
        <w:jc w:val="both"/>
        <w:outlineLvl w:val="4"/>
        <w:rPr>
          <w:rFonts w:eastAsia="Aptos"/>
          <w:kern w:val="2"/>
        </w:rPr>
      </w:pPr>
      <w:r w:rsidRPr="00FC5566">
        <w:rPr>
          <w:rFonts w:eastAsia="Aptos"/>
          <w:kern w:val="2"/>
        </w:rPr>
        <w:t>2.</w:t>
      </w:r>
      <w:r w:rsidRPr="00FC5566">
        <w:rPr>
          <w:rFonts w:eastAsia="Aptos"/>
          <w:kern w:val="2"/>
        </w:rPr>
        <w:tab/>
        <w:t>An applicant for security officer registration shall meet all of the qualifications defined in R.S. 37:3276, except:</w:t>
      </w:r>
    </w:p>
    <w:p w14:paraId="23EE8439" w14:textId="77777777" w:rsidR="00FC5566" w:rsidRPr="00FC5566" w:rsidRDefault="00FC5566" w:rsidP="00FC5566">
      <w:pPr>
        <w:tabs>
          <w:tab w:val="left" w:pos="907"/>
        </w:tabs>
        <w:ind w:firstLine="547"/>
        <w:jc w:val="both"/>
        <w:outlineLvl w:val="5"/>
        <w:rPr>
          <w:rFonts w:eastAsia="Aptos"/>
          <w:kern w:val="2"/>
        </w:rPr>
      </w:pPr>
      <w:r w:rsidRPr="00FC5566">
        <w:rPr>
          <w:rFonts w:eastAsia="Aptos"/>
          <w:kern w:val="2"/>
        </w:rPr>
        <w:t>a.</w:t>
      </w:r>
      <w:r w:rsidRPr="00FC5566">
        <w:rPr>
          <w:rFonts w:eastAsia="Aptos"/>
          <w:kern w:val="2"/>
        </w:rPr>
        <w:tab/>
        <w:t>the applicant may be a resident alien;</w:t>
      </w:r>
    </w:p>
    <w:p w14:paraId="10534717" w14:textId="77777777" w:rsidR="00FC5566" w:rsidRPr="00FC5566" w:rsidRDefault="00FC5566" w:rsidP="00FC5566">
      <w:pPr>
        <w:tabs>
          <w:tab w:val="left" w:pos="907"/>
        </w:tabs>
        <w:ind w:firstLine="547"/>
        <w:jc w:val="both"/>
        <w:outlineLvl w:val="5"/>
        <w:rPr>
          <w:rFonts w:eastAsia="Aptos"/>
          <w:kern w:val="2"/>
        </w:rPr>
      </w:pPr>
      <w:r w:rsidRPr="00FC5566">
        <w:rPr>
          <w:rFonts w:eastAsia="Aptos"/>
          <w:kern w:val="2"/>
        </w:rPr>
        <w:br w:type="page"/>
      </w:r>
    </w:p>
    <w:p w14:paraId="65DB02AA" w14:textId="77777777" w:rsidR="00FC5566" w:rsidRPr="00FC5566" w:rsidRDefault="00FC5566" w:rsidP="00FC5566">
      <w:pPr>
        <w:tabs>
          <w:tab w:val="left" w:pos="907"/>
        </w:tabs>
        <w:ind w:firstLine="547"/>
        <w:jc w:val="both"/>
        <w:outlineLvl w:val="5"/>
        <w:rPr>
          <w:rFonts w:eastAsia="Aptos"/>
          <w:kern w:val="2"/>
        </w:rPr>
      </w:pPr>
      <w:r w:rsidRPr="00FC5566">
        <w:rPr>
          <w:rFonts w:eastAsia="Aptos"/>
          <w:kern w:val="2"/>
        </w:rPr>
        <w:lastRenderedPageBreak/>
        <w:t>b.</w:t>
      </w:r>
      <w:r w:rsidRPr="00FC5566">
        <w:rPr>
          <w:rFonts w:eastAsia="Aptos"/>
          <w:kern w:val="2"/>
        </w:rPr>
        <w:tab/>
        <w:t>the applicant must be at least 18 years of age if registered unarmed; and</w:t>
      </w:r>
    </w:p>
    <w:p w14:paraId="1E020E46" w14:textId="77777777" w:rsidR="00FC5566" w:rsidRPr="00FC5566" w:rsidRDefault="00FC5566" w:rsidP="00FC5566">
      <w:pPr>
        <w:tabs>
          <w:tab w:val="left" w:pos="907"/>
        </w:tabs>
        <w:ind w:firstLine="547"/>
        <w:jc w:val="both"/>
        <w:outlineLvl w:val="5"/>
        <w:rPr>
          <w:rFonts w:eastAsia="Aptos"/>
          <w:kern w:val="2"/>
        </w:rPr>
      </w:pPr>
      <w:r w:rsidRPr="00FC5566">
        <w:rPr>
          <w:rFonts w:eastAsia="Aptos"/>
          <w:kern w:val="2"/>
        </w:rPr>
        <w:t>c.</w:t>
      </w:r>
      <w:r w:rsidRPr="00FC5566">
        <w:rPr>
          <w:rFonts w:eastAsia="Aptos"/>
          <w:kern w:val="2"/>
        </w:rPr>
        <w:tab/>
        <w:t>the applicant must be at least 21 years of age if registered armed.</w:t>
      </w:r>
    </w:p>
    <w:p w14:paraId="4FEA5717"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C.</w:t>
      </w:r>
      <w:r w:rsidRPr="00FC5566">
        <w:rPr>
          <w:rFonts w:eastAsia="Calibri"/>
          <w:kern w:val="2"/>
        </w:rPr>
        <w:tab/>
        <w:t>Application Request</w:t>
      </w:r>
    </w:p>
    <w:p w14:paraId="6C1BE804"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1.</w:t>
      </w:r>
      <w:r w:rsidRPr="00FC5566">
        <w:rPr>
          <w:rFonts w:eastAsia="Calibri"/>
          <w:kern w:val="2"/>
        </w:rPr>
        <w:tab/>
        <w:t>Any person who performs the functions and duties of a security officer shall complete a security officer registration application through the Louisiana State Board of Private Security Examiners online licensing portal and submit applicable fees.</w:t>
      </w:r>
    </w:p>
    <w:p w14:paraId="05A0D96B"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2.</w:t>
      </w:r>
      <w:r w:rsidRPr="00FC5566">
        <w:rPr>
          <w:rFonts w:eastAsia="Calibri"/>
          <w:kern w:val="2"/>
        </w:rPr>
        <w:tab/>
        <w:t>In addition to the completed application, the following documentation on the applicant shall be submitted to the board:</w:t>
      </w:r>
    </w:p>
    <w:p w14:paraId="06C18A02"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a.</w:t>
      </w:r>
      <w:r w:rsidRPr="00FC5566">
        <w:rPr>
          <w:rFonts w:eastAsia="Calibri"/>
          <w:kern w:val="2"/>
        </w:rPr>
        <w:tab/>
        <w:t>fingerprints shall be submitted electronically via the Louisiana Applicant Processing System (LAPS) or two classifiable sets of prints on FBI fingerprint cards;</w:t>
      </w:r>
    </w:p>
    <w:p w14:paraId="49D821AD"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b.</w:t>
      </w:r>
      <w:r w:rsidRPr="00FC5566">
        <w:rPr>
          <w:rFonts w:eastAsia="Calibri"/>
          <w:kern w:val="2"/>
        </w:rPr>
        <w:tab/>
        <w:t>social security number;</w:t>
      </w:r>
    </w:p>
    <w:p w14:paraId="0390D779"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c.</w:t>
      </w:r>
      <w:r w:rsidRPr="00FC5566">
        <w:rPr>
          <w:rFonts w:eastAsia="Calibri"/>
          <w:kern w:val="2"/>
        </w:rPr>
        <w:tab/>
        <w:t>copy of state-issued driver’s license or identification;</w:t>
      </w:r>
    </w:p>
    <w:p w14:paraId="66A6E677"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d.</w:t>
      </w:r>
      <w:r w:rsidRPr="00FC5566">
        <w:rPr>
          <w:rFonts w:eastAsia="Calibri"/>
          <w:kern w:val="2"/>
        </w:rPr>
        <w:tab/>
        <w:t>one recent digital passport quality photo;</w:t>
      </w:r>
    </w:p>
    <w:p w14:paraId="2BE45533"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e.</w:t>
      </w:r>
      <w:r w:rsidRPr="00FC5566">
        <w:rPr>
          <w:rFonts w:eastAsia="Calibri"/>
          <w:kern w:val="2"/>
        </w:rPr>
        <w:tab/>
        <w:t xml:space="preserve">if a U.S. citizen, copy of completed Employment Eligibility Verification (Form I-9) together with identification documents submitted therewith; </w:t>
      </w:r>
    </w:p>
    <w:p w14:paraId="71A54391"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f.</w:t>
      </w:r>
      <w:r w:rsidRPr="00FC5566">
        <w:rPr>
          <w:rFonts w:eastAsia="Calibri"/>
          <w:kern w:val="2"/>
        </w:rPr>
        <w:tab/>
        <w:t>if a resident alien, copies of INS registration papers and completed Employment Eligibility Verification (Form I-9) together with identification documents submitted therewith; and</w:t>
      </w:r>
    </w:p>
    <w:p w14:paraId="6C1DFACC"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g.</w:t>
      </w:r>
      <w:r w:rsidRPr="00FC5566">
        <w:rPr>
          <w:rFonts w:eastAsia="Calibri"/>
          <w:kern w:val="2"/>
        </w:rPr>
        <w:tab/>
        <w:t>copy of DD-214 military discharge papers showing type of discharge, if applicable.</w:t>
      </w:r>
    </w:p>
    <w:p w14:paraId="552B5E51"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3.</w:t>
      </w:r>
      <w:r w:rsidRPr="00FC5566">
        <w:rPr>
          <w:rFonts w:eastAsia="Calibri"/>
          <w:kern w:val="2"/>
        </w:rPr>
        <w:tab/>
        <w:t xml:space="preserve">Upon submission of the completed application, the company licensee shall review the application to ensure it is complete and properly executed by the applicant. </w:t>
      </w:r>
    </w:p>
    <w:p w14:paraId="7BCE2D27"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4.</w:t>
      </w:r>
      <w:r w:rsidRPr="00FC5566">
        <w:rPr>
          <w:rFonts w:eastAsia="Calibri"/>
          <w:kern w:val="2"/>
        </w:rPr>
        <w:tab/>
        <w:t xml:space="preserve">The company licensee shall acknowledge the application and confirm the applicant will be registered under the company’s license for the type of work they will perform. The company licensee shall also confirm that the applicant will receive the required training prior to their first work assignment. </w:t>
      </w:r>
    </w:p>
    <w:p w14:paraId="2FA7284E"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5.</w:t>
      </w:r>
      <w:r w:rsidRPr="00FC5566">
        <w:rPr>
          <w:rFonts w:eastAsia="Calibri"/>
          <w:kern w:val="2"/>
        </w:rPr>
        <w:tab/>
        <w:t>Each applicant seeking registration as a security officer shall satisfy all basic training requirements prescribed by these rules, unless the applicant is eligible for alternative training requirements as authorized herein.</w:t>
      </w:r>
    </w:p>
    <w:p w14:paraId="3AC20AFC"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6.</w:t>
      </w:r>
      <w:r w:rsidRPr="00FC5566">
        <w:rPr>
          <w:rFonts w:eastAsia="Calibri"/>
          <w:kern w:val="2"/>
        </w:rPr>
        <w:tab/>
        <w:t>The board may require documented evidence verifying that an applicant meets all requirements for registration with the board. The board may also require such documentation after issuance of a registration card to verify that the registrant continues to meet all registration requirements.</w:t>
      </w:r>
    </w:p>
    <w:p w14:paraId="412C266F"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Aptos"/>
          <w:kern w:val="2"/>
        </w:rPr>
      </w:pPr>
      <w:r w:rsidRPr="00FC5566">
        <w:rPr>
          <w:rFonts w:eastAsia="Aptos"/>
          <w:kern w:val="2"/>
        </w:rPr>
        <w:t>D.</w:t>
      </w:r>
      <w:r w:rsidRPr="00FC5566">
        <w:rPr>
          <w:rFonts w:eastAsia="Aptos"/>
          <w:kern w:val="2"/>
        </w:rPr>
        <w:tab/>
        <w:t>Registration Card</w:t>
      </w:r>
    </w:p>
    <w:p w14:paraId="55CB55B4" w14:textId="77777777" w:rsidR="00FC5566" w:rsidRPr="00FC5566" w:rsidRDefault="00FC5566" w:rsidP="00FC5566">
      <w:pPr>
        <w:tabs>
          <w:tab w:val="left" w:pos="720"/>
          <w:tab w:val="left" w:pos="979"/>
          <w:tab w:val="left" w:pos="1152"/>
        </w:tabs>
        <w:ind w:firstLine="360"/>
        <w:jc w:val="both"/>
        <w:outlineLvl w:val="4"/>
        <w:rPr>
          <w:rFonts w:eastAsia="Aptos"/>
          <w:kern w:val="2"/>
        </w:rPr>
      </w:pPr>
      <w:r w:rsidRPr="00FC5566">
        <w:rPr>
          <w:rFonts w:eastAsia="Aptos"/>
          <w:kern w:val="2"/>
        </w:rPr>
        <w:t>1.</w:t>
      </w:r>
      <w:r w:rsidRPr="00FC5566">
        <w:rPr>
          <w:rFonts w:eastAsia="Aptos"/>
          <w:kern w:val="2"/>
        </w:rPr>
        <w:tab/>
        <w:t>A registration card may be issued upon receipt of a completed application, payment of application fees, review of fingerprint background check response, and completion of required training.</w:t>
      </w:r>
    </w:p>
    <w:p w14:paraId="74A3AB03" w14:textId="77777777" w:rsidR="00FC5566" w:rsidRPr="00FC5566" w:rsidRDefault="00FC5566" w:rsidP="00FC5566">
      <w:pPr>
        <w:tabs>
          <w:tab w:val="left" w:pos="720"/>
          <w:tab w:val="left" w:pos="979"/>
          <w:tab w:val="left" w:pos="1152"/>
        </w:tabs>
        <w:ind w:firstLine="360"/>
        <w:jc w:val="both"/>
        <w:outlineLvl w:val="4"/>
        <w:rPr>
          <w:rFonts w:eastAsia="Aptos"/>
          <w:kern w:val="2"/>
        </w:rPr>
      </w:pPr>
      <w:r w:rsidRPr="00FC5566">
        <w:rPr>
          <w:rFonts w:eastAsia="Aptos"/>
          <w:kern w:val="2"/>
        </w:rPr>
        <w:t>2.</w:t>
      </w:r>
      <w:r w:rsidRPr="00FC5566">
        <w:rPr>
          <w:rFonts w:eastAsia="Aptos"/>
          <w:kern w:val="2"/>
        </w:rPr>
        <w:tab/>
        <w:t>A registration card under the company licensee for whom a security officer is employed is valid from the date of issuance by the board through March 31 of the second year.</w:t>
      </w:r>
    </w:p>
    <w:p w14:paraId="45E47D03" w14:textId="77777777" w:rsidR="00FC5566" w:rsidRPr="00FC5566" w:rsidRDefault="00FC5566" w:rsidP="00FC5566">
      <w:pPr>
        <w:tabs>
          <w:tab w:val="left" w:pos="720"/>
          <w:tab w:val="left" w:pos="979"/>
          <w:tab w:val="left" w:pos="1152"/>
        </w:tabs>
        <w:ind w:firstLine="360"/>
        <w:jc w:val="both"/>
        <w:outlineLvl w:val="4"/>
        <w:rPr>
          <w:rFonts w:eastAsia="Aptos"/>
          <w:kern w:val="2"/>
        </w:rPr>
      </w:pPr>
      <w:r w:rsidRPr="00FC5566">
        <w:rPr>
          <w:rFonts w:eastAsia="Aptos"/>
          <w:kern w:val="2"/>
        </w:rPr>
        <w:t>3.</w:t>
      </w:r>
      <w:r w:rsidRPr="00FC5566">
        <w:rPr>
          <w:rFonts w:eastAsia="Aptos"/>
          <w:kern w:val="2"/>
        </w:rPr>
        <w:tab/>
        <w:t>A registration card is the property of the Louisiana State Board of Private Security Examiners and must be surrendered to the board upon request.</w:t>
      </w:r>
    </w:p>
    <w:p w14:paraId="699CBDB8" w14:textId="77777777" w:rsidR="00FC5566" w:rsidRPr="00FC5566" w:rsidRDefault="00FC5566" w:rsidP="00FC5566">
      <w:pPr>
        <w:tabs>
          <w:tab w:val="left" w:pos="720"/>
          <w:tab w:val="left" w:pos="979"/>
          <w:tab w:val="left" w:pos="1152"/>
        </w:tabs>
        <w:ind w:firstLine="360"/>
        <w:jc w:val="both"/>
        <w:outlineLvl w:val="4"/>
        <w:rPr>
          <w:rFonts w:eastAsia="Aptos"/>
          <w:kern w:val="2"/>
        </w:rPr>
      </w:pPr>
      <w:r w:rsidRPr="00FC5566">
        <w:rPr>
          <w:rFonts w:eastAsia="Aptos"/>
          <w:kern w:val="2"/>
        </w:rPr>
        <w:br w:type="column"/>
      </w:r>
      <w:r w:rsidRPr="00FC5566">
        <w:rPr>
          <w:rFonts w:eastAsia="Aptos"/>
          <w:kern w:val="2"/>
        </w:rPr>
        <w:t>4.</w:t>
      </w:r>
      <w:r w:rsidRPr="00FC5566">
        <w:rPr>
          <w:rFonts w:eastAsia="Aptos"/>
          <w:kern w:val="2"/>
        </w:rPr>
        <w:tab/>
        <w:t>Registration levels are as follows:</w:t>
      </w:r>
    </w:p>
    <w:p w14:paraId="3D272FAF" w14:textId="77777777" w:rsidR="00FC5566" w:rsidRPr="00FC5566" w:rsidRDefault="00FC5566" w:rsidP="00FC5566">
      <w:pPr>
        <w:tabs>
          <w:tab w:val="left" w:pos="907"/>
        </w:tabs>
        <w:ind w:firstLine="547"/>
        <w:jc w:val="both"/>
        <w:outlineLvl w:val="5"/>
        <w:rPr>
          <w:rFonts w:eastAsia="Aptos"/>
          <w:kern w:val="2"/>
        </w:rPr>
      </w:pPr>
      <w:r w:rsidRPr="00FC5566">
        <w:rPr>
          <w:rFonts w:eastAsia="Aptos"/>
          <w:kern w:val="2"/>
        </w:rPr>
        <w:t>a.</w:t>
      </w:r>
      <w:r w:rsidRPr="00FC5566">
        <w:rPr>
          <w:rFonts w:eastAsia="Aptos"/>
          <w:kern w:val="2"/>
        </w:rPr>
        <w:tab/>
        <w:t>unarmed;</w:t>
      </w:r>
    </w:p>
    <w:p w14:paraId="235D1F5F" w14:textId="77777777" w:rsidR="00FC5566" w:rsidRPr="00FC5566" w:rsidRDefault="00FC5566" w:rsidP="00FC5566">
      <w:pPr>
        <w:tabs>
          <w:tab w:val="left" w:pos="907"/>
        </w:tabs>
        <w:ind w:firstLine="547"/>
        <w:jc w:val="both"/>
        <w:outlineLvl w:val="5"/>
        <w:rPr>
          <w:rFonts w:eastAsia="Aptos"/>
          <w:kern w:val="2"/>
        </w:rPr>
      </w:pPr>
      <w:r w:rsidRPr="00FC5566">
        <w:rPr>
          <w:rFonts w:eastAsia="Aptos"/>
          <w:kern w:val="2"/>
        </w:rPr>
        <w:t>b.</w:t>
      </w:r>
      <w:r w:rsidRPr="00FC5566">
        <w:rPr>
          <w:rFonts w:eastAsia="Aptos"/>
          <w:kern w:val="2"/>
        </w:rPr>
        <w:tab/>
        <w:t>unarmed only;</w:t>
      </w:r>
    </w:p>
    <w:p w14:paraId="46894E56" w14:textId="77777777" w:rsidR="00FC5566" w:rsidRPr="00FC5566" w:rsidRDefault="00FC5566" w:rsidP="00FC5566">
      <w:pPr>
        <w:tabs>
          <w:tab w:val="left" w:pos="907"/>
        </w:tabs>
        <w:ind w:firstLine="547"/>
        <w:jc w:val="both"/>
        <w:outlineLvl w:val="5"/>
        <w:rPr>
          <w:rFonts w:eastAsia="Aptos"/>
          <w:kern w:val="2"/>
        </w:rPr>
      </w:pPr>
      <w:r w:rsidRPr="00FC5566">
        <w:rPr>
          <w:rFonts w:eastAsia="Aptos"/>
          <w:kern w:val="2"/>
        </w:rPr>
        <w:t>c.</w:t>
      </w:r>
      <w:r w:rsidRPr="00FC5566">
        <w:rPr>
          <w:rFonts w:eastAsia="Aptos"/>
          <w:kern w:val="2"/>
        </w:rPr>
        <w:tab/>
        <w:t>armed;</w:t>
      </w:r>
    </w:p>
    <w:p w14:paraId="1C8F1661" w14:textId="77777777" w:rsidR="00FC5566" w:rsidRPr="00FC5566" w:rsidRDefault="00FC5566" w:rsidP="00FC5566">
      <w:pPr>
        <w:tabs>
          <w:tab w:val="left" w:pos="907"/>
        </w:tabs>
        <w:ind w:firstLine="547"/>
        <w:jc w:val="both"/>
        <w:outlineLvl w:val="5"/>
        <w:rPr>
          <w:rFonts w:eastAsia="Aptos"/>
          <w:kern w:val="2"/>
        </w:rPr>
      </w:pPr>
      <w:r w:rsidRPr="00FC5566">
        <w:rPr>
          <w:rFonts w:eastAsia="Aptos"/>
          <w:kern w:val="2"/>
        </w:rPr>
        <w:t>d.</w:t>
      </w:r>
      <w:r w:rsidRPr="00FC5566">
        <w:rPr>
          <w:rFonts w:eastAsia="Aptos"/>
          <w:kern w:val="2"/>
        </w:rPr>
        <w:tab/>
        <w:t>Provisional unarmed.</w:t>
      </w:r>
    </w:p>
    <w:p w14:paraId="385A589C" w14:textId="77777777" w:rsidR="00FC5566" w:rsidRPr="00FC5566" w:rsidRDefault="00FC5566" w:rsidP="00FC5566">
      <w:pPr>
        <w:tabs>
          <w:tab w:val="left" w:pos="720"/>
          <w:tab w:val="left" w:pos="979"/>
          <w:tab w:val="left" w:pos="1152"/>
        </w:tabs>
        <w:ind w:firstLine="360"/>
        <w:jc w:val="both"/>
        <w:outlineLvl w:val="4"/>
        <w:rPr>
          <w:rFonts w:eastAsia="Aptos"/>
          <w:kern w:val="2"/>
        </w:rPr>
      </w:pPr>
      <w:r w:rsidRPr="00FC5566">
        <w:rPr>
          <w:rFonts w:eastAsia="Aptos"/>
          <w:kern w:val="2"/>
        </w:rPr>
        <w:t>5.</w:t>
      </w:r>
      <w:r w:rsidRPr="00FC5566">
        <w:rPr>
          <w:rFonts w:eastAsia="Aptos"/>
          <w:kern w:val="2"/>
        </w:rPr>
        <w:tab/>
        <w:t>The registration card will reflect the registration level, classification, and eligibility of the security officer, including the company licensee under which the security officer is employed.</w:t>
      </w:r>
    </w:p>
    <w:p w14:paraId="7D063C8C" w14:textId="77777777" w:rsidR="00FC5566" w:rsidRPr="00FC5566" w:rsidRDefault="00FC5566" w:rsidP="00FC5566">
      <w:pPr>
        <w:tabs>
          <w:tab w:val="left" w:pos="720"/>
          <w:tab w:val="left" w:pos="979"/>
          <w:tab w:val="left" w:pos="1152"/>
        </w:tabs>
        <w:ind w:firstLine="360"/>
        <w:jc w:val="both"/>
        <w:outlineLvl w:val="4"/>
        <w:rPr>
          <w:rFonts w:eastAsia="Aptos"/>
          <w:kern w:val="2"/>
        </w:rPr>
      </w:pPr>
      <w:r w:rsidRPr="00FC5566">
        <w:rPr>
          <w:rFonts w:eastAsia="Aptos"/>
          <w:kern w:val="2"/>
        </w:rPr>
        <w:t>6.</w:t>
      </w:r>
      <w:r w:rsidRPr="00FC5566">
        <w:rPr>
          <w:rFonts w:eastAsia="Aptos"/>
          <w:kern w:val="2"/>
        </w:rPr>
        <w:tab/>
        <w:t>A security officer may be issued an unarmed only registration card in the following circumstances:</w:t>
      </w:r>
    </w:p>
    <w:p w14:paraId="734DCBEE" w14:textId="77777777" w:rsidR="00FC5566" w:rsidRPr="00FC5566" w:rsidRDefault="00FC5566" w:rsidP="00FC5566">
      <w:pPr>
        <w:tabs>
          <w:tab w:val="left" w:pos="907"/>
        </w:tabs>
        <w:ind w:firstLine="547"/>
        <w:jc w:val="both"/>
        <w:outlineLvl w:val="5"/>
        <w:rPr>
          <w:rFonts w:eastAsia="Aptos"/>
          <w:kern w:val="2"/>
        </w:rPr>
      </w:pPr>
      <w:r w:rsidRPr="00FC5566">
        <w:rPr>
          <w:rFonts w:eastAsia="Aptos"/>
          <w:kern w:val="2"/>
        </w:rPr>
        <w:t>a.</w:t>
      </w:r>
      <w:r w:rsidRPr="00FC5566">
        <w:rPr>
          <w:rFonts w:eastAsia="Aptos"/>
          <w:kern w:val="2"/>
        </w:rPr>
        <w:tab/>
        <w:t xml:space="preserve">An applicant possesses an arrest record as issued by the Louisiana State Police, Bureau of Identification, without the disposition thereof. </w:t>
      </w:r>
    </w:p>
    <w:p w14:paraId="0A955A15"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w:t>
      </w:r>
      <w:r w:rsidRPr="00FC5566">
        <w:rPr>
          <w:kern w:val="2"/>
        </w:rPr>
        <w:tab/>
        <w:t>It shall be incumbent upon the applicant, within 30 days, to provide the written disposition of his arrest from the district attorney's office or the criminal clerk of court's office from the judicial district in which the arrest occurred.</w:t>
      </w:r>
    </w:p>
    <w:p w14:paraId="1EAD8B68" w14:textId="77777777" w:rsidR="00FC5566" w:rsidRPr="00FC5566" w:rsidRDefault="00FC5566" w:rsidP="00FC5566">
      <w:pPr>
        <w:tabs>
          <w:tab w:val="left" w:pos="907"/>
        </w:tabs>
        <w:ind w:firstLine="547"/>
        <w:jc w:val="both"/>
        <w:outlineLvl w:val="5"/>
        <w:rPr>
          <w:rFonts w:eastAsia="Aptos"/>
          <w:kern w:val="2"/>
        </w:rPr>
      </w:pPr>
      <w:r w:rsidRPr="00FC5566">
        <w:rPr>
          <w:rFonts w:eastAsia="Aptos"/>
          <w:kern w:val="2"/>
        </w:rPr>
        <w:t>b.</w:t>
      </w:r>
      <w:r w:rsidRPr="00FC5566">
        <w:rPr>
          <w:rFonts w:eastAsia="Aptos"/>
          <w:kern w:val="2"/>
        </w:rPr>
        <w:tab/>
        <w:t>An applicant has been convicted of any offense which prohibits them from possessing a firearm in accordance with the law.</w:t>
      </w:r>
    </w:p>
    <w:p w14:paraId="02C9DBF8"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Aptos"/>
          <w:kern w:val="2"/>
        </w:rPr>
      </w:pPr>
      <w:r w:rsidRPr="00FC5566">
        <w:rPr>
          <w:rFonts w:eastAsia="Aptos"/>
          <w:kern w:val="2"/>
        </w:rPr>
        <w:t>E.</w:t>
      </w:r>
      <w:r w:rsidRPr="00FC5566">
        <w:rPr>
          <w:rFonts w:eastAsia="Aptos"/>
          <w:kern w:val="2"/>
        </w:rPr>
        <w:tab/>
        <w:t>Renewal</w:t>
      </w:r>
    </w:p>
    <w:p w14:paraId="15085BA3" w14:textId="77777777" w:rsidR="00FC5566" w:rsidRPr="00FC5566" w:rsidRDefault="00FC5566" w:rsidP="00FC5566">
      <w:pPr>
        <w:tabs>
          <w:tab w:val="left" w:pos="720"/>
          <w:tab w:val="left" w:pos="979"/>
          <w:tab w:val="left" w:pos="1152"/>
        </w:tabs>
        <w:ind w:firstLine="360"/>
        <w:jc w:val="both"/>
        <w:outlineLvl w:val="4"/>
        <w:rPr>
          <w:rFonts w:eastAsia="Aptos"/>
          <w:kern w:val="2"/>
        </w:rPr>
      </w:pPr>
      <w:r w:rsidRPr="00FC5566">
        <w:rPr>
          <w:rFonts w:eastAsia="Aptos"/>
          <w:kern w:val="2"/>
        </w:rPr>
        <w:t>1.</w:t>
      </w:r>
      <w:r w:rsidRPr="00FC5566">
        <w:rPr>
          <w:rFonts w:eastAsia="Aptos"/>
          <w:kern w:val="2"/>
        </w:rPr>
        <w:tab/>
        <w:t>The board will notify the company licensee 60 days prior to the expiration date of the registration card of each registrant in their employ.</w:t>
      </w:r>
    </w:p>
    <w:p w14:paraId="7CB04BF0" w14:textId="77777777" w:rsidR="00FC5566" w:rsidRPr="00FC5566" w:rsidRDefault="00FC5566" w:rsidP="00FC5566">
      <w:pPr>
        <w:tabs>
          <w:tab w:val="left" w:pos="720"/>
          <w:tab w:val="left" w:pos="979"/>
          <w:tab w:val="left" w:pos="1152"/>
        </w:tabs>
        <w:ind w:firstLine="360"/>
        <w:jc w:val="both"/>
        <w:outlineLvl w:val="4"/>
        <w:rPr>
          <w:rFonts w:eastAsia="Aptos"/>
          <w:kern w:val="2"/>
        </w:rPr>
      </w:pPr>
      <w:r w:rsidRPr="00FC5566">
        <w:rPr>
          <w:rFonts w:eastAsia="Aptos"/>
          <w:kern w:val="2"/>
        </w:rPr>
        <w:t>2.</w:t>
      </w:r>
      <w:r w:rsidRPr="00FC5566">
        <w:rPr>
          <w:rFonts w:eastAsia="Aptos"/>
          <w:kern w:val="2"/>
        </w:rPr>
        <w:tab/>
        <w:t>A renewal application and required renewal fee must be submitted to the board prior to the expiration date of the registration card.</w:t>
      </w:r>
    </w:p>
    <w:p w14:paraId="125E3139" w14:textId="77777777" w:rsidR="00FC5566" w:rsidRPr="00FC5566" w:rsidRDefault="00FC5566" w:rsidP="00FC5566">
      <w:pPr>
        <w:tabs>
          <w:tab w:val="left" w:pos="907"/>
        </w:tabs>
        <w:ind w:firstLine="547"/>
        <w:jc w:val="both"/>
        <w:outlineLvl w:val="5"/>
        <w:rPr>
          <w:rFonts w:eastAsia="Aptos"/>
          <w:kern w:val="2"/>
        </w:rPr>
      </w:pPr>
      <w:r w:rsidRPr="00FC5566">
        <w:rPr>
          <w:rFonts w:eastAsia="Aptos"/>
          <w:kern w:val="2"/>
        </w:rPr>
        <w:t>a.</w:t>
      </w:r>
      <w:r w:rsidRPr="00FC5566">
        <w:rPr>
          <w:rFonts w:eastAsia="Aptos"/>
          <w:kern w:val="2"/>
        </w:rPr>
        <w:tab/>
        <w:t>It shall be the sole responsibility of the registrant to ensure their registration is renewed every two years on or before March 31.</w:t>
      </w:r>
    </w:p>
    <w:p w14:paraId="42931513" w14:textId="77777777" w:rsidR="00FC5566" w:rsidRPr="00FC5566" w:rsidRDefault="00FC5566" w:rsidP="00FC5566">
      <w:pPr>
        <w:tabs>
          <w:tab w:val="left" w:pos="907"/>
        </w:tabs>
        <w:ind w:firstLine="547"/>
        <w:jc w:val="both"/>
        <w:outlineLvl w:val="5"/>
        <w:rPr>
          <w:rFonts w:eastAsia="Aptos"/>
          <w:kern w:val="2"/>
        </w:rPr>
      </w:pPr>
      <w:r w:rsidRPr="00FC5566">
        <w:rPr>
          <w:rFonts w:eastAsia="Aptos"/>
          <w:kern w:val="2"/>
        </w:rPr>
        <w:t>b.</w:t>
      </w:r>
      <w:r w:rsidRPr="00FC5566">
        <w:rPr>
          <w:rFonts w:eastAsia="Aptos"/>
          <w:kern w:val="2"/>
        </w:rPr>
        <w:tab/>
        <w:t>If a security officer has not renewed their registration by March 31, their registration profile will be locked in the Louisiana State Board of Private Security Examiners online licensing portal, and they will be prohibited from working as a security officer.</w:t>
      </w:r>
    </w:p>
    <w:p w14:paraId="1F9C4AAD" w14:textId="77777777" w:rsidR="00FC5566" w:rsidRPr="00FC5566" w:rsidRDefault="00FC5566" w:rsidP="00FC5566">
      <w:pPr>
        <w:tabs>
          <w:tab w:val="left" w:pos="907"/>
        </w:tabs>
        <w:ind w:firstLine="547"/>
        <w:jc w:val="both"/>
        <w:outlineLvl w:val="5"/>
        <w:rPr>
          <w:rFonts w:eastAsia="Aptos"/>
          <w:kern w:val="2"/>
        </w:rPr>
      </w:pPr>
      <w:r w:rsidRPr="00FC5566">
        <w:rPr>
          <w:rFonts w:eastAsia="Aptos"/>
          <w:kern w:val="2"/>
        </w:rPr>
        <w:t>c.</w:t>
      </w:r>
      <w:r w:rsidRPr="00FC5566">
        <w:rPr>
          <w:rFonts w:eastAsia="Aptos"/>
          <w:kern w:val="2"/>
        </w:rPr>
        <w:tab/>
        <w:t>Any security officer renewing their registration after March 31 shall be required to pay an increased renewal fee of one and a half times the standard renewal fee.</w:t>
      </w:r>
    </w:p>
    <w:p w14:paraId="49E9A158" w14:textId="77777777" w:rsidR="00FC5566" w:rsidRPr="00FC5566" w:rsidRDefault="00FC5566" w:rsidP="00FC5566">
      <w:pPr>
        <w:tabs>
          <w:tab w:val="left" w:pos="907"/>
        </w:tabs>
        <w:ind w:firstLine="547"/>
        <w:jc w:val="both"/>
        <w:outlineLvl w:val="5"/>
        <w:rPr>
          <w:rFonts w:eastAsia="Aptos"/>
          <w:kern w:val="2"/>
        </w:rPr>
      </w:pPr>
      <w:r w:rsidRPr="00FC5566">
        <w:rPr>
          <w:rFonts w:eastAsia="Aptos"/>
          <w:kern w:val="2"/>
        </w:rPr>
        <w:t>d.</w:t>
      </w:r>
      <w:r w:rsidRPr="00FC5566">
        <w:rPr>
          <w:rFonts w:eastAsia="Aptos"/>
          <w:kern w:val="2"/>
        </w:rPr>
        <w:tab/>
        <w:t>If a security officer fails to renew their registration by June 1, they shall be required to submit a new initial application along with applicable fees and fingerprints submitted electronically via the Louisiana Applicant Processing System (LAPS) or two classifiable sets of prints on FBI fingerprint cards.</w:t>
      </w:r>
    </w:p>
    <w:p w14:paraId="22DF8649"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Aptos"/>
          <w:kern w:val="2"/>
        </w:rPr>
      </w:pPr>
      <w:r w:rsidRPr="00FC5566">
        <w:rPr>
          <w:rFonts w:eastAsia="Aptos"/>
          <w:kern w:val="2"/>
        </w:rPr>
        <w:t>F.</w:t>
      </w:r>
      <w:r w:rsidRPr="00FC5566">
        <w:rPr>
          <w:rFonts w:eastAsia="Aptos"/>
          <w:kern w:val="2"/>
        </w:rPr>
        <w:tab/>
        <w:t>Armed Security Officers</w:t>
      </w:r>
    </w:p>
    <w:p w14:paraId="742F65C6" w14:textId="77777777" w:rsidR="00FC5566" w:rsidRPr="00FC5566" w:rsidRDefault="00FC5566" w:rsidP="00FC5566">
      <w:pPr>
        <w:tabs>
          <w:tab w:val="left" w:pos="720"/>
          <w:tab w:val="left" w:pos="979"/>
          <w:tab w:val="left" w:pos="1152"/>
        </w:tabs>
        <w:ind w:firstLine="360"/>
        <w:jc w:val="both"/>
        <w:outlineLvl w:val="4"/>
        <w:rPr>
          <w:rFonts w:eastAsia="Aptos"/>
          <w:kern w:val="2"/>
        </w:rPr>
      </w:pPr>
      <w:r w:rsidRPr="00FC5566">
        <w:rPr>
          <w:rFonts w:eastAsia="Aptos"/>
          <w:kern w:val="2"/>
        </w:rPr>
        <w:t>1.</w:t>
      </w:r>
      <w:r w:rsidRPr="00FC5566">
        <w:rPr>
          <w:rFonts w:eastAsia="Aptos"/>
          <w:kern w:val="2"/>
        </w:rPr>
        <w:tab/>
        <w:t>Application</w:t>
      </w:r>
    </w:p>
    <w:p w14:paraId="5960532A" w14:textId="77777777" w:rsidR="00FC5566" w:rsidRPr="00FC5566" w:rsidRDefault="00FC5566" w:rsidP="00FC5566">
      <w:pPr>
        <w:tabs>
          <w:tab w:val="left" w:pos="907"/>
        </w:tabs>
        <w:ind w:firstLine="547"/>
        <w:jc w:val="both"/>
        <w:outlineLvl w:val="5"/>
        <w:rPr>
          <w:rFonts w:eastAsia="Aptos"/>
          <w:kern w:val="2"/>
        </w:rPr>
      </w:pPr>
      <w:r w:rsidRPr="00FC5566">
        <w:rPr>
          <w:rFonts w:eastAsia="Aptos"/>
          <w:kern w:val="2"/>
        </w:rPr>
        <w:t>a.</w:t>
      </w:r>
      <w:r w:rsidRPr="00FC5566">
        <w:rPr>
          <w:rFonts w:eastAsia="Aptos"/>
          <w:kern w:val="2"/>
        </w:rPr>
        <w:tab/>
        <w:t>A company may select to register a security officer as armed upon an initial application.</w:t>
      </w:r>
    </w:p>
    <w:p w14:paraId="5F63645F" w14:textId="77777777" w:rsidR="00FC5566" w:rsidRPr="00FC5566" w:rsidRDefault="00FC5566" w:rsidP="00FC5566">
      <w:pPr>
        <w:tabs>
          <w:tab w:val="left" w:pos="907"/>
        </w:tabs>
        <w:ind w:firstLine="547"/>
        <w:jc w:val="both"/>
        <w:outlineLvl w:val="5"/>
        <w:rPr>
          <w:rFonts w:eastAsia="Aptos"/>
          <w:kern w:val="2"/>
        </w:rPr>
      </w:pPr>
      <w:r w:rsidRPr="00FC5566">
        <w:rPr>
          <w:rFonts w:eastAsia="Aptos"/>
          <w:kern w:val="2"/>
        </w:rPr>
        <w:t>b.</w:t>
      </w:r>
      <w:r w:rsidRPr="00FC5566">
        <w:rPr>
          <w:rFonts w:eastAsia="Aptos"/>
          <w:kern w:val="2"/>
        </w:rPr>
        <w:tab/>
        <w:t>In addition to the requirements for an initial unarmed security officer application as stated in this chapter, training for the specified authorized weapon must be successfully completed and verified by the board.</w:t>
      </w:r>
    </w:p>
    <w:p w14:paraId="030E82DB" w14:textId="77777777" w:rsidR="00FC5566" w:rsidRPr="00FC5566" w:rsidRDefault="00FC5566" w:rsidP="00FC5566">
      <w:pPr>
        <w:tabs>
          <w:tab w:val="left" w:pos="720"/>
          <w:tab w:val="left" w:pos="979"/>
          <w:tab w:val="left" w:pos="1152"/>
        </w:tabs>
        <w:ind w:firstLine="360"/>
        <w:jc w:val="both"/>
        <w:outlineLvl w:val="4"/>
        <w:rPr>
          <w:rFonts w:eastAsia="Aptos"/>
          <w:kern w:val="2"/>
        </w:rPr>
      </w:pPr>
      <w:r w:rsidRPr="00FC5566">
        <w:rPr>
          <w:rFonts w:eastAsia="Aptos"/>
          <w:kern w:val="2"/>
        </w:rPr>
        <w:t>2.</w:t>
      </w:r>
      <w:r w:rsidRPr="00FC5566">
        <w:rPr>
          <w:rFonts w:eastAsia="Aptos"/>
          <w:kern w:val="2"/>
        </w:rPr>
        <w:tab/>
        <w:t>Requirements</w:t>
      </w:r>
    </w:p>
    <w:p w14:paraId="5EBEC613" w14:textId="77777777" w:rsidR="00FC5566" w:rsidRPr="00FC5566" w:rsidRDefault="00FC5566" w:rsidP="00FC5566">
      <w:pPr>
        <w:tabs>
          <w:tab w:val="left" w:pos="907"/>
        </w:tabs>
        <w:ind w:firstLine="547"/>
        <w:jc w:val="both"/>
        <w:outlineLvl w:val="5"/>
        <w:rPr>
          <w:rFonts w:eastAsia="Aptos"/>
          <w:kern w:val="2"/>
        </w:rPr>
      </w:pPr>
      <w:r w:rsidRPr="00FC5566">
        <w:rPr>
          <w:rFonts w:eastAsia="Aptos"/>
          <w:kern w:val="2"/>
        </w:rPr>
        <w:t>a.</w:t>
      </w:r>
      <w:r w:rsidRPr="00FC5566">
        <w:rPr>
          <w:rFonts w:eastAsia="Aptos"/>
          <w:kern w:val="2"/>
        </w:rPr>
        <w:tab/>
        <w:t>An applicant who will be registered to carry a weapon must be trained in that weapon prior to carrying such weapon on a work assignment.</w:t>
      </w:r>
    </w:p>
    <w:p w14:paraId="57C1C1C9"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Aptos"/>
          <w:kern w:val="2"/>
        </w:rPr>
      </w:pPr>
      <w:r w:rsidRPr="00FC5566">
        <w:rPr>
          <w:rFonts w:eastAsia="Aptos"/>
          <w:kern w:val="2"/>
        </w:rPr>
        <w:br w:type="page"/>
      </w:r>
    </w:p>
    <w:p w14:paraId="3F3428AA"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Aptos"/>
          <w:kern w:val="2"/>
        </w:rPr>
      </w:pPr>
      <w:r w:rsidRPr="00FC5566">
        <w:rPr>
          <w:rFonts w:eastAsia="Aptos"/>
          <w:kern w:val="2"/>
        </w:rPr>
        <w:lastRenderedPageBreak/>
        <w:t>G.</w:t>
      </w:r>
      <w:r w:rsidRPr="00FC5566">
        <w:rPr>
          <w:rFonts w:eastAsia="Aptos"/>
          <w:kern w:val="2"/>
        </w:rPr>
        <w:tab/>
        <w:t>Change of Registration Level/Status Change</w:t>
      </w:r>
    </w:p>
    <w:p w14:paraId="4F08EA22" w14:textId="77777777" w:rsidR="00FC5566" w:rsidRPr="00FC5566" w:rsidRDefault="00FC5566" w:rsidP="00FC5566">
      <w:pPr>
        <w:tabs>
          <w:tab w:val="left" w:pos="720"/>
          <w:tab w:val="left" w:pos="979"/>
          <w:tab w:val="left" w:pos="1152"/>
        </w:tabs>
        <w:ind w:firstLine="360"/>
        <w:jc w:val="both"/>
        <w:outlineLvl w:val="4"/>
        <w:rPr>
          <w:rFonts w:eastAsia="Aptos"/>
          <w:kern w:val="2"/>
        </w:rPr>
      </w:pPr>
      <w:r w:rsidRPr="00FC5566">
        <w:rPr>
          <w:rFonts w:eastAsia="Aptos"/>
          <w:kern w:val="2"/>
        </w:rPr>
        <w:t>1.</w:t>
      </w:r>
      <w:r w:rsidRPr="00FC5566">
        <w:rPr>
          <w:rFonts w:eastAsia="Aptos"/>
          <w:kern w:val="2"/>
        </w:rPr>
        <w:tab/>
        <w:t>A security officer’s registration level under a company license may be changed from unarmed to armed, or vice versa, by submitting a change of registration request along with the status change fee prescribed by law, if applicable.</w:t>
      </w:r>
    </w:p>
    <w:p w14:paraId="240AF52B" w14:textId="77777777" w:rsidR="00FC5566" w:rsidRPr="00FC5566" w:rsidRDefault="00FC5566" w:rsidP="00FC5566">
      <w:pPr>
        <w:tabs>
          <w:tab w:val="left" w:pos="720"/>
          <w:tab w:val="left" w:pos="979"/>
          <w:tab w:val="left" w:pos="1152"/>
        </w:tabs>
        <w:ind w:firstLine="360"/>
        <w:jc w:val="both"/>
        <w:outlineLvl w:val="4"/>
        <w:rPr>
          <w:rFonts w:eastAsia="Aptos"/>
          <w:kern w:val="2"/>
        </w:rPr>
      </w:pPr>
      <w:r w:rsidRPr="00FC5566">
        <w:rPr>
          <w:rFonts w:eastAsia="Aptos"/>
          <w:kern w:val="2"/>
        </w:rPr>
        <w:t>2.</w:t>
      </w:r>
      <w:r w:rsidRPr="00FC5566">
        <w:rPr>
          <w:rFonts w:eastAsia="Aptos"/>
          <w:kern w:val="2"/>
        </w:rPr>
        <w:tab/>
        <w:t>Firearms training verification must be completed and verified by the board before the security officer's registration level can be changed to armed.</w:t>
      </w:r>
    </w:p>
    <w:p w14:paraId="536C2BCA" w14:textId="77777777" w:rsidR="00FC5566" w:rsidRPr="00FC5566" w:rsidRDefault="00FC5566" w:rsidP="00FC5566">
      <w:pPr>
        <w:tabs>
          <w:tab w:val="left" w:pos="720"/>
          <w:tab w:val="left" w:pos="979"/>
          <w:tab w:val="left" w:pos="1152"/>
        </w:tabs>
        <w:ind w:firstLine="360"/>
        <w:jc w:val="both"/>
        <w:outlineLvl w:val="4"/>
        <w:rPr>
          <w:rFonts w:eastAsia="Aptos"/>
          <w:kern w:val="2"/>
        </w:rPr>
      </w:pPr>
      <w:r w:rsidRPr="00FC5566">
        <w:rPr>
          <w:rFonts w:eastAsia="Aptos"/>
          <w:kern w:val="2"/>
        </w:rPr>
        <w:t>3.</w:t>
      </w:r>
      <w:r w:rsidRPr="00FC5566">
        <w:rPr>
          <w:rFonts w:eastAsia="Aptos"/>
          <w:kern w:val="2"/>
        </w:rPr>
        <w:tab/>
        <w:t>The status change fee is applicable when the change of registration request is received 30 days after the initial application submission.</w:t>
      </w:r>
    </w:p>
    <w:p w14:paraId="77D8D4EC" w14:textId="77777777" w:rsidR="00FC5566" w:rsidRPr="00FC5566" w:rsidRDefault="00FC5566" w:rsidP="00FC5566">
      <w:pPr>
        <w:tabs>
          <w:tab w:val="left" w:pos="720"/>
          <w:tab w:val="left" w:pos="979"/>
          <w:tab w:val="left" w:pos="1152"/>
        </w:tabs>
        <w:ind w:firstLine="360"/>
        <w:jc w:val="both"/>
        <w:outlineLvl w:val="4"/>
        <w:rPr>
          <w:rFonts w:eastAsia="Aptos"/>
          <w:kern w:val="2"/>
        </w:rPr>
      </w:pPr>
      <w:r w:rsidRPr="00FC5566">
        <w:rPr>
          <w:rFonts w:eastAsia="Aptos"/>
          <w:kern w:val="2"/>
        </w:rPr>
        <w:t>4.</w:t>
      </w:r>
      <w:r w:rsidRPr="00FC5566">
        <w:rPr>
          <w:rFonts w:eastAsia="Aptos"/>
          <w:kern w:val="2"/>
        </w:rPr>
        <w:tab/>
        <w:t>The registrant shall notify the board, in writing, within 10 calendar days of any change in name, address, email address, or phone number.</w:t>
      </w:r>
    </w:p>
    <w:p w14:paraId="546D5B31" w14:textId="77777777" w:rsidR="00FC5566" w:rsidRPr="00FC5566" w:rsidRDefault="00FC5566" w:rsidP="00FC5566">
      <w:pPr>
        <w:tabs>
          <w:tab w:val="left" w:pos="720"/>
          <w:tab w:val="left" w:pos="979"/>
          <w:tab w:val="left" w:pos="1152"/>
        </w:tabs>
        <w:ind w:firstLine="360"/>
        <w:jc w:val="both"/>
        <w:outlineLvl w:val="4"/>
        <w:rPr>
          <w:rFonts w:eastAsia="Aptos"/>
          <w:kern w:val="2"/>
        </w:rPr>
      </w:pPr>
      <w:r w:rsidRPr="00FC5566">
        <w:rPr>
          <w:rFonts w:eastAsia="Aptos"/>
          <w:kern w:val="2"/>
        </w:rPr>
        <w:t>5.</w:t>
      </w:r>
      <w:r w:rsidRPr="00FC5566">
        <w:rPr>
          <w:rFonts w:eastAsia="Aptos"/>
          <w:kern w:val="2"/>
        </w:rPr>
        <w:tab/>
        <w:t>The company licensee shall notify the board, in writing, within 10 calendar days of any change in a security officer’s status, registration level, classification, or eligibility.</w:t>
      </w:r>
    </w:p>
    <w:p w14:paraId="02505194"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Aptos"/>
          <w:kern w:val="2"/>
        </w:rPr>
      </w:pPr>
      <w:r w:rsidRPr="00FC5566">
        <w:rPr>
          <w:rFonts w:eastAsia="Aptos"/>
          <w:kern w:val="2"/>
        </w:rPr>
        <w:t>H.</w:t>
      </w:r>
      <w:r w:rsidRPr="00FC5566">
        <w:rPr>
          <w:rFonts w:eastAsia="Aptos"/>
          <w:kern w:val="2"/>
        </w:rPr>
        <w:tab/>
        <w:t>Multiple Company Registration</w:t>
      </w:r>
    </w:p>
    <w:p w14:paraId="5E564805" w14:textId="77777777" w:rsidR="00FC5566" w:rsidRPr="00FC5566" w:rsidRDefault="00FC5566" w:rsidP="00FC5566">
      <w:pPr>
        <w:tabs>
          <w:tab w:val="left" w:pos="720"/>
          <w:tab w:val="left" w:pos="979"/>
          <w:tab w:val="left" w:pos="1152"/>
        </w:tabs>
        <w:ind w:firstLine="360"/>
        <w:jc w:val="both"/>
        <w:outlineLvl w:val="4"/>
        <w:rPr>
          <w:rFonts w:eastAsia="Aptos"/>
          <w:kern w:val="2"/>
        </w:rPr>
      </w:pPr>
      <w:r w:rsidRPr="00FC5566">
        <w:rPr>
          <w:rFonts w:eastAsia="Aptos"/>
          <w:kern w:val="2"/>
        </w:rPr>
        <w:t>1.</w:t>
      </w:r>
      <w:r w:rsidRPr="00FC5566">
        <w:rPr>
          <w:rFonts w:eastAsia="Aptos"/>
          <w:kern w:val="2"/>
        </w:rPr>
        <w:tab/>
        <w:t>A security officer employed by multiple licensed security companies shall maintain a separate registration with the board for each company licensee with which they are employed.</w:t>
      </w:r>
    </w:p>
    <w:p w14:paraId="2F15DCEF" w14:textId="77777777" w:rsidR="00FC5566" w:rsidRPr="00FC5566" w:rsidRDefault="00FC5566" w:rsidP="00FC5566">
      <w:pPr>
        <w:tabs>
          <w:tab w:val="left" w:pos="720"/>
          <w:tab w:val="left" w:pos="979"/>
          <w:tab w:val="left" w:pos="1152"/>
        </w:tabs>
        <w:ind w:firstLine="360"/>
        <w:jc w:val="both"/>
        <w:outlineLvl w:val="4"/>
        <w:rPr>
          <w:rFonts w:eastAsia="Aptos"/>
          <w:strike/>
          <w:kern w:val="2"/>
        </w:rPr>
      </w:pPr>
      <w:r w:rsidRPr="00FC5566">
        <w:rPr>
          <w:rFonts w:eastAsia="Aptos"/>
          <w:kern w:val="2"/>
        </w:rPr>
        <w:t>2.</w:t>
      </w:r>
      <w:r w:rsidRPr="00FC5566">
        <w:rPr>
          <w:rFonts w:eastAsia="Aptos"/>
          <w:kern w:val="2"/>
        </w:rPr>
        <w:tab/>
        <w:t>Each licensed security company employing a security officer shall be responsible for ensuring the officer has completed all training required by law and these rules prior to their first work assignment for the level of security work the officer will perform, including armed or unarmed assignments.</w:t>
      </w:r>
    </w:p>
    <w:p w14:paraId="74C983A1"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I.</w:t>
      </w:r>
      <w:r w:rsidRPr="00FC5566">
        <w:rPr>
          <w:rFonts w:eastAsia="Calibri"/>
          <w:kern w:val="2"/>
        </w:rPr>
        <w:tab/>
        <w:t>Reinstatement</w:t>
      </w:r>
    </w:p>
    <w:p w14:paraId="71CBAA47"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1.</w:t>
      </w:r>
      <w:r w:rsidRPr="00FC5566">
        <w:rPr>
          <w:rFonts w:eastAsia="Calibri"/>
          <w:kern w:val="2"/>
        </w:rPr>
        <w:tab/>
        <w:t>A registrant who terminates employment with a company licensee and is rehired by the same licensee within 60 calendar days may be reinstated upon the company licensee’s submission of a written request for reinstatement, accompanied by the reinstatement fee prescribed by law.</w:t>
      </w:r>
    </w:p>
    <w:p w14:paraId="2D504A20"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2.</w:t>
      </w:r>
      <w:r w:rsidRPr="00FC5566">
        <w:rPr>
          <w:rFonts w:eastAsia="Calibri"/>
          <w:kern w:val="2"/>
        </w:rPr>
        <w:tab/>
        <w:t>Written request must provide the security officer's name, social security number, date of termination, and date of reinstatement.</w:t>
      </w:r>
    </w:p>
    <w:p w14:paraId="7C38697D"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Aptos"/>
          <w:kern w:val="2"/>
        </w:rPr>
      </w:pPr>
      <w:r w:rsidRPr="00FC5566">
        <w:rPr>
          <w:rFonts w:eastAsia="Aptos"/>
          <w:kern w:val="2"/>
        </w:rPr>
        <w:t>J.</w:t>
      </w:r>
      <w:r w:rsidRPr="00FC5566">
        <w:rPr>
          <w:rFonts w:eastAsia="Aptos"/>
          <w:kern w:val="2"/>
        </w:rPr>
        <w:tab/>
        <w:t>Change of Employment</w:t>
      </w:r>
    </w:p>
    <w:p w14:paraId="1B33E5A3" w14:textId="77777777" w:rsidR="00FC5566" w:rsidRPr="00FC5566" w:rsidRDefault="00FC5566" w:rsidP="00FC5566">
      <w:pPr>
        <w:tabs>
          <w:tab w:val="left" w:pos="720"/>
          <w:tab w:val="left" w:pos="979"/>
          <w:tab w:val="left" w:pos="1152"/>
        </w:tabs>
        <w:ind w:firstLine="360"/>
        <w:jc w:val="both"/>
        <w:outlineLvl w:val="4"/>
        <w:rPr>
          <w:rFonts w:eastAsia="Aptos"/>
          <w:kern w:val="2"/>
        </w:rPr>
      </w:pPr>
      <w:r w:rsidRPr="00FC5566">
        <w:rPr>
          <w:rFonts w:eastAsia="Aptos"/>
          <w:kern w:val="2"/>
        </w:rPr>
        <w:t>1.</w:t>
      </w:r>
      <w:r w:rsidRPr="00FC5566">
        <w:rPr>
          <w:rFonts w:eastAsia="Aptos"/>
          <w:kern w:val="2"/>
        </w:rPr>
        <w:tab/>
        <w:t xml:space="preserve">The new employer is responsible for ensuring a registration application is complete and submitted to the board along with applicable fees. The new employer is also responsible for verifying training </w:t>
      </w:r>
      <w:bookmarkStart w:id="755" w:name="_Hlk229947450"/>
      <w:r w:rsidRPr="00FC5566">
        <w:rPr>
          <w:rFonts w:eastAsia="Aptos"/>
          <w:kern w:val="2"/>
        </w:rPr>
        <w:t>requirements for the level of security work the officer will perform, including armed or unarmed assignments, have been met prior to their first work assignment.</w:t>
      </w:r>
      <w:bookmarkEnd w:id="755"/>
    </w:p>
    <w:p w14:paraId="30FD5031" w14:textId="77777777" w:rsidR="00FC5566" w:rsidRPr="00FC5566" w:rsidRDefault="00FC5566" w:rsidP="00FC5566">
      <w:pPr>
        <w:tabs>
          <w:tab w:val="left" w:pos="720"/>
          <w:tab w:val="left" w:pos="979"/>
          <w:tab w:val="left" w:pos="1152"/>
        </w:tabs>
        <w:ind w:firstLine="360"/>
        <w:jc w:val="both"/>
        <w:outlineLvl w:val="4"/>
        <w:rPr>
          <w:rFonts w:eastAsia="Aptos"/>
          <w:kern w:val="2"/>
        </w:rPr>
      </w:pPr>
      <w:r w:rsidRPr="00FC5566">
        <w:rPr>
          <w:rFonts w:eastAsia="Aptos"/>
          <w:kern w:val="2"/>
        </w:rPr>
        <w:t>2.</w:t>
      </w:r>
      <w:r w:rsidRPr="00FC5566">
        <w:rPr>
          <w:rFonts w:eastAsia="Aptos"/>
          <w:kern w:val="2"/>
        </w:rPr>
        <w:tab/>
        <w:t>If a registrant has been separated from a company more than 60 days, the new employer is responsible for submitting fingerprints electronically via the Louisiana Applicant Processing System (LAPS) or two classifiable sets of prints on FBI fingerprint cards. The board shall then issue a new registration card reflecting the name or license number of the new employer.</w:t>
      </w:r>
    </w:p>
    <w:p w14:paraId="00FA4790"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Aptos"/>
          <w:kern w:val="2"/>
        </w:rPr>
      </w:pPr>
      <w:r w:rsidRPr="00FC5566">
        <w:rPr>
          <w:rFonts w:eastAsia="Aptos"/>
          <w:kern w:val="2"/>
        </w:rPr>
        <w:t>K.</w:t>
      </w:r>
      <w:r w:rsidRPr="00FC5566">
        <w:rPr>
          <w:rFonts w:eastAsia="Aptos"/>
          <w:kern w:val="2"/>
        </w:rPr>
        <w:tab/>
        <w:t>Security Officer Registration for Active and Retired Law Enforcement</w:t>
      </w:r>
    </w:p>
    <w:p w14:paraId="1C981809" w14:textId="77777777" w:rsidR="00FC5566" w:rsidRPr="00FC5566" w:rsidRDefault="00FC5566" w:rsidP="00FC5566">
      <w:pPr>
        <w:tabs>
          <w:tab w:val="left" w:pos="720"/>
          <w:tab w:val="left" w:pos="979"/>
          <w:tab w:val="left" w:pos="1152"/>
        </w:tabs>
        <w:ind w:firstLine="360"/>
        <w:jc w:val="both"/>
        <w:outlineLvl w:val="4"/>
        <w:rPr>
          <w:rFonts w:eastAsia="Aptos"/>
          <w:kern w:val="2"/>
        </w:rPr>
      </w:pPr>
      <w:r w:rsidRPr="00FC5566">
        <w:rPr>
          <w:rFonts w:eastAsia="Aptos"/>
          <w:kern w:val="2"/>
        </w:rPr>
        <w:t>1.</w:t>
      </w:r>
      <w:r w:rsidRPr="00FC5566">
        <w:rPr>
          <w:rFonts w:eastAsia="Aptos"/>
          <w:kern w:val="2"/>
        </w:rPr>
        <w:tab/>
        <w:t>Active law enforcement officers do not need to be registered when the officer is operating within their jurisdiction as an independent contractor.</w:t>
      </w:r>
    </w:p>
    <w:p w14:paraId="11DED802" w14:textId="77777777" w:rsidR="00FC5566" w:rsidRPr="00FC5566" w:rsidRDefault="00FC5566" w:rsidP="00FC5566">
      <w:pPr>
        <w:tabs>
          <w:tab w:val="left" w:pos="720"/>
          <w:tab w:val="left" w:pos="979"/>
          <w:tab w:val="left" w:pos="1152"/>
        </w:tabs>
        <w:ind w:firstLine="360"/>
        <w:jc w:val="both"/>
        <w:outlineLvl w:val="4"/>
        <w:rPr>
          <w:rFonts w:eastAsia="Aptos"/>
          <w:kern w:val="2"/>
        </w:rPr>
      </w:pPr>
      <w:r w:rsidRPr="00FC5566">
        <w:rPr>
          <w:rFonts w:eastAsia="Aptos"/>
          <w:kern w:val="2"/>
        </w:rPr>
        <w:t>2.</w:t>
      </w:r>
      <w:r w:rsidRPr="00FC5566">
        <w:rPr>
          <w:rFonts w:eastAsia="Aptos"/>
          <w:kern w:val="2"/>
        </w:rPr>
        <w:tab/>
        <w:t xml:space="preserve">Active law enforcement officers need to be registered when the security officer is operating within their jurisdiction as an employee of the security company and wearing the security company uniform (Background checks </w:t>
      </w:r>
      <w:r w:rsidRPr="00FC5566">
        <w:rPr>
          <w:rFonts w:eastAsia="Aptos"/>
          <w:kern w:val="2"/>
        </w:rPr>
        <w:t>are not required, however all relevant training including POST certificates, POST firearms cards, and commissioned cards must be uploaded to their profile).</w:t>
      </w:r>
    </w:p>
    <w:p w14:paraId="2D116F53" w14:textId="77777777" w:rsidR="00FC5566" w:rsidRPr="00FC5566" w:rsidRDefault="00FC5566" w:rsidP="00FC5566">
      <w:pPr>
        <w:tabs>
          <w:tab w:val="left" w:pos="720"/>
          <w:tab w:val="left" w:pos="979"/>
          <w:tab w:val="left" w:pos="1152"/>
        </w:tabs>
        <w:ind w:firstLine="360"/>
        <w:jc w:val="both"/>
        <w:outlineLvl w:val="4"/>
        <w:rPr>
          <w:rFonts w:eastAsia="Aptos"/>
          <w:kern w:val="2"/>
        </w:rPr>
      </w:pPr>
      <w:r w:rsidRPr="00FC5566">
        <w:rPr>
          <w:rFonts w:eastAsia="Aptos"/>
          <w:kern w:val="2"/>
        </w:rPr>
        <w:t>3.</w:t>
      </w:r>
      <w:r w:rsidRPr="00FC5566">
        <w:rPr>
          <w:rFonts w:eastAsia="Aptos"/>
          <w:kern w:val="2"/>
        </w:rPr>
        <w:tab/>
        <w:t>Active law enforcement officers need to be registered when the security officer is operating outside their jurisdiction as an employee of the security company and wearing the security company uniform (Background checks are not required, however all relevant training including POST certificates, POST firearms cards, and commissioned cards must be uploaded to their profile).</w:t>
      </w:r>
    </w:p>
    <w:p w14:paraId="10E893E4" w14:textId="77777777" w:rsidR="00FC5566" w:rsidRPr="00FC5566" w:rsidRDefault="00FC5566" w:rsidP="00FC5566">
      <w:pPr>
        <w:tabs>
          <w:tab w:val="left" w:pos="720"/>
          <w:tab w:val="left" w:pos="979"/>
          <w:tab w:val="left" w:pos="1152"/>
        </w:tabs>
        <w:ind w:firstLine="360"/>
        <w:jc w:val="both"/>
        <w:outlineLvl w:val="4"/>
        <w:rPr>
          <w:rFonts w:eastAsia="Aptos"/>
          <w:kern w:val="2"/>
        </w:rPr>
      </w:pPr>
      <w:r w:rsidRPr="00FC5566">
        <w:rPr>
          <w:rFonts w:eastAsia="Aptos"/>
          <w:kern w:val="2"/>
        </w:rPr>
        <w:t>4.</w:t>
      </w:r>
      <w:r w:rsidRPr="00FC5566">
        <w:rPr>
          <w:rFonts w:eastAsia="Aptos"/>
          <w:kern w:val="2"/>
        </w:rPr>
        <w:tab/>
        <w:t>Retired law enforcement officers must be registered. If the applicant retired within the last five (5) years, they must complete a background check; however, all relevant training documentation, including POST certificates, current POST firearms cards, and retired commissioned cards, must be uploaded to their profile. The 4-hour Security Officer Standards and Training (S.O.S.T.) 1401 course is not required but is strongly recommended.</w:t>
      </w:r>
    </w:p>
    <w:p w14:paraId="457E4DA9" w14:textId="77777777" w:rsidR="00FC5566" w:rsidRPr="00FC5566" w:rsidRDefault="00FC5566" w:rsidP="00FC5566">
      <w:pPr>
        <w:tabs>
          <w:tab w:val="left" w:pos="720"/>
          <w:tab w:val="left" w:pos="979"/>
          <w:tab w:val="left" w:pos="1152"/>
        </w:tabs>
        <w:ind w:firstLine="360"/>
        <w:jc w:val="both"/>
        <w:outlineLvl w:val="4"/>
        <w:rPr>
          <w:rFonts w:eastAsia="Aptos"/>
          <w:strike/>
          <w:kern w:val="2"/>
        </w:rPr>
      </w:pPr>
      <w:r w:rsidRPr="00FC5566">
        <w:rPr>
          <w:rFonts w:eastAsia="Aptos"/>
          <w:kern w:val="2"/>
        </w:rPr>
        <w:t>5.</w:t>
      </w:r>
      <w:r w:rsidRPr="00FC5566">
        <w:rPr>
          <w:rFonts w:eastAsia="Aptos"/>
          <w:kern w:val="2"/>
        </w:rPr>
        <w:tab/>
        <w:t>Retired law enforcement officers must be registered. If the applicant has been retired five (5) years or longer, they must complete a background check; however, all relevant training, including POST certificates, current POST firearms cards, and retired commissioned cards, must be uploaded to their profile. Additionally, they must complete the 4-hour Security Officer Standards and Training (S.O.S.T.) 1401 course and pass the exam.</w:t>
      </w:r>
    </w:p>
    <w:p w14:paraId="19761497"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Aptos"/>
          <w:kern w:val="2"/>
        </w:rPr>
      </w:pPr>
      <w:r w:rsidRPr="00FC5566">
        <w:rPr>
          <w:rFonts w:eastAsia="Aptos"/>
          <w:kern w:val="2"/>
        </w:rPr>
        <w:t>L.</w:t>
      </w:r>
      <w:r w:rsidRPr="00FC5566">
        <w:rPr>
          <w:rFonts w:eastAsia="Aptos"/>
          <w:kern w:val="2"/>
        </w:rPr>
        <w:tab/>
        <w:t>Out-of-State Security Officers</w:t>
      </w:r>
    </w:p>
    <w:p w14:paraId="6200ABE3" w14:textId="77777777" w:rsidR="00FC5566" w:rsidRPr="00FC5566" w:rsidRDefault="00FC5566" w:rsidP="00FC5566">
      <w:pPr>
        <w:tabs>
          <w:tab w:val="left" w:pos="720"/>
          <w:tab w:val="left" w:pos="979"/>
          <w:tab w:val="left" w:pos="1152"/>
        </w:tabs>
        <w:ind w:firstLine="360"/>
        <w:jc w:val="both"/>
        <w:outlineLvl w:val="4"/>
        <w:rPr>
          <w:rFonts w:eastAsia="Aptos"/>
          <w:kern w:val="2"/>
        </w:rPr>
      </w:pPr>
      <w:r w:rsidRPr="00FC5566">
        <w:rPr>
          <w:rFonts w:eastAsia="Aptos"/>
          <w:kern w:val="2"/>
        </w:rPr>
        <w:t>1.</w:t>
      </w:r>
      <w:r w:rsidRPr="00FC5566">
        <w:rPr>
          <w:rFonts w:eastAsia="Aptos"/>
          <w:kern w:val="2"/>
        </w:rPr>
        <w:tab/>
        <w:t>Security officers who have been registered in other states who have licensing requirements similar to Louisiana may be employed by a licensed company in the state of Louisiana upon submission of the following:</w:t>
      </w:r>
    </w:p>
    <w:p w14:paraId="4ECF04CC" w14:textId="77777777" w:rsidR="00FC5566" w:rsidRPr="00FC5566" w:rsidRDefault="00FC5566" w:rsidP="00FC5566">
      <w:pPr>
        <w:tabs>
          <w:tab w:val="left" w:pos="907"/>
        </w:tabs>
        <w:ind w:firstLine="547"/>
        <w:jc w:val="both"/>
        <w:outlineLvl w:val="5"/>
        <w:rPr>
          <w:rFonts w:eastAsia="Aptos"/>
          <w:kern w:val="2"/>
        </w:rPr>
      </w:pPr>
      <w:r w:rsidRPr="00FC5566">
        <w:rPr>
          <w:rFonts w:eastAsia="Aptos"/>
          <w:kern w:val="2"/>
        </w:rPr>
        <w:t>a.</w:t>
      </w:r>
      <w:r w:rsidRPr="00FC5566">
        <w:rPr>
          <w:rFonts w:eastAsia="Aptos"/>
          <w:kern w:val="2"/>
        </w:rPr>
        <w:tab/>
        <w:t>an application through the Louisiana State Board of Private Security Examiners online licensing portal and submission of applicable fees.</w:t>
      </w:r>
    </w:p>
    <w:p w14:paraId="76F7DE12" w14:textId="77777777" w:rsidR="00FC5566" w:rsidRPr="00FC5566" w:rsidRDefault="00FC5566" w:rsidP="00FC5566">
      <w:pPr>
        <w:tabs>
          <w:tab w:val="left" w:pos="907"/>
        </w:tabs>
        <w:ind w:firstLine="547"/>
        <w:jc w:val="both"/>
        <w:outlineLvl w:val="5"/>
        <w:rPr>
          <w:rFonts w:eastAsia="Aptos"/>
          <w:kern w:val="2"/>
        </w:rPr>
      </w:pPr>
      <w:r w:rsidRPr="00FC5566">
        <w:rPr>
          <w:rFonts w:eastAsia="Aptos"/>
          <w:kern w:val="2"/>
        </w:rPr>
        <w:t>b.</w:t>
      </w:r>
      <w:r w:rsidRPr="00FC5566">
        <w:rPr>
          <w:rFonts w:eastAsia="Aptos"/>
          <w:kern w:val="2"/>
        </w:rPr>
        <w:tab/>
        <w:t>in addition to the completed application, the following documentation on the applicant shall be submitted to the board:</w:t>
      </w:r>
    </w:p>
    <w:p w14:paraId="1E0F622F"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rFonts w:eastAsia="Aptos"/>
          <w:kern w:val="2"/>
        </w:rPr>
      </w:pPr>
      <w:r w:rsidRPr="00FC5566">
        <w:rPr>
          <w:rFonts w:eastAsia="Aptos"/>
          <w:kern w:val="2"/>
        </w:rPr>
        <w:tab/>
        <w:t>i.</w:t>
      </w:r>
      <w:r w:rsidRPr="00FC5566">
        <w:rPr>
          <w:rFonts w:eastAsia="Aptos"/>
          <w:kern w:val="2"/>
        </w:rPr>
        <w:tab/>
        <w:t>fingerprints shall be submitted electronically via the Louisiana Applicant Processing System (LAPS) or two classifiable sets of prints on FBI fingerprint cards;</w:t>
      </w:r>
    </w:p>
    <w:p w14:paraId="4F367279"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rFonts w:eastAsia="Aptos"/>
          <w:kern w:val="2"/>
        </w:rPr>
      </w:pPr>
      <w:r w:rsidRPr="00FC5566">
        <w:rPr>
          <w:rFonts w:eastAsia="Aptos"/>
          <w:kern w:val="2"/>
        </w:rPr>
        <w:tab/>
        <w:t>ii.</w:t>
      </w:r>
      <w:r w:rsidRPr="00FC5566">
        <w:rPr>
          <w:rFonts w:eastAsia="Aptos"/>
          <w:kern w:val="2"/>
        </w:rPr>
        <w:tab/>
        <w:t>social security number;</w:t>
      </w:r>
    </w:p>
    <w:p w14:paraId="76D27E25"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rFonts w:eastAsia="Aptos"/>
          <w:kern w:val="2"/>
        </w:rPr>
      </w:pPr>
      <w:r w:rsidRPr="00FC5566">
        <w:rPr>
          <w:rFonts w:eastAsia="Aptos"/>
          <w:kern w:val="2"/>
        </w:rPr>
        <w:tab/>
        <w:t>iii.</w:t>
      </w:r>
      <w:r w:rsidRPr="00FC5566">
        <w:rPr>
          <w:rFonts w:eastAsia="Aptos"/>
          <w:kern w:val="2"/>
        </w:rPr>
        <w:tab/>
        <w:t>copy of state-issued driver’s license or identification;</w:t>
      </w:r>
    </w:p>
    <w:p w14:paraId="043E4AC1"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rFonts w:eastAsia="Aptos"/>
          <w:kern w:val="2"/>
        </w:rPr>
      </w:pPr>
      <w:r w:rsidRPr="00FC5566">
        <w:rPr>
          <w:rFonts w:eastAsia="Aptos"/>
          <w:kern w:val="2"/>
        </w:rPr>
        <w:tab/>
        <w:t>iv.</w:t>
      </w:r>
      <w:r w:rsidRPr="00FC5566">
        <w:rPr>
          <w:rFonts w:eastAsia="Aptos"/>
          <w:kern w:val="2"/>
        </w:rPr>
        <w:tab/>
        <w:t>one recent digital passport quality photo;</w:t>
      </w:r>
    </w:p>
    <w:p w14:paraId="64C68496"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rFonts w:eastAsia="Aptos"/>
          <w:kern w:val="2"/>
        </w:rPr>
      </w:pPr>
      <w:r w:rsidRPr="00FC5566">
        <w:rPr>
          <w:rFonts w:eastAsia="Aptos"/>
          <w:kern w:val="2"/>
        </w:rPr>
        <w:tab/>
        <w:t>v.</w:t>
      </w:r>
      <w:r w:rsidRPr="00FC5566">
        <w:rPr>
          <w:rFonts w:eastAsia="Aptos"/>
          <w:kern w:val="2"/>
        </w:rPr>
        <w:tab/>
        <w:t xml:space="preserve">if a U.S. citizen, copy of completed Employment Eligibility Verification (Form I-9) together with identification documents submitted therewith; </w:t>
      </w:r>
    </w:p>
    <w:p w14:paraId="2ED94A5B"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rFonts w:eastAsia="Aptos"/>
          <w:kern w:val="2"/>
        </w:rPr>
      </w:pPr>
      <w:r w:rsidRPr="00FC5566">
        <w:rPr>
          <w:rFonts w:eastAsia="Aptos"/>
          <w:kern w:val="2"/>
        </w:rPr>
        <w:tab/>
        <w:t>vi.</w:t>
      </w:r>
      <w:r w:rsidRPr="00FC5566">
        <w:rPr>
          <w:rFonts w:eastAsia="Aptos"/>
          <w:kern w:val="2"/>
        </w:rPr>
        <w:tab/>
        <w:t xml:space="preserve">if a resident alien, copies of INS registration papers and completed Employment Eligibility Verification (Form I-9) together with identification documents submitted therewith; </w:t>
      </w:r>
    </w:p>
    <w:p w14:paraId="6106530F"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rFonts w:eastAsia="Aptos"/>
          <w:kern w:val="2"/>
        </w:rPr>
      </w:pPr>
      <w:r w:rsidRPr="00FC5566">
        <w:rPr>
          <w:rFonts w:eastAsia="Aptos"/>
          <w:kern w:val="2"/>
        </w:rPr>
        <w:tab/>
        <w:t>vii.</w:t>
      </w:r>
      <w:r w:rsidRPr="00FC5566">
        <w:rPr>
          <w:rFonts w:eastAsia="Aptos"/>
          <w:kern w:val="2"/>
        </w:rPr>
        <w:tab/>
        <w:t>copy of DD-214 military discharge papers showing type of discharge, if applicable;</w:t>
      </w:r>
    </w:p>
    <w:p w14:paraId="4AAD43A9"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rFonts w:eastAsia="Aptos"/>
          <w:kern w:val="2"/>
        </w:rPr>
      </w:pPr>
      <w:r w:rsidRPr="00FC5566">
        <w:rPr>
          <w:rFonts w:eastAsia="Aptos"/>
          <w:kern w:val="2"/>
        </w:rPr>
        <w:tab/>
        <w:t>viii.</w:t>
      </w:r>
      <w:r w:rsidRPr="00FC5566">
        <w:rPr>
          <w:rFonts w:eastAsia="Aptos"/>
          <w:kern w:val="2"/>
        </w:rPr>
        <w:tab/>
        <w:t>copy of current state security officer credentials.</w:t>
      </w:r>
    </w:p>
    <w:p w14:paraId="740982BB" w14:textId="77777777" w:rsidR="00FC5566" w:rsidRPr="00FC5566" w:rsidRDefault="00FC5566" w:rsidP="00FC5566">
      <w:pPr>
        <w:tabs>
          <w:tab w:val="left" w:pos="720"/>
          <w:tab w:val="left" w:pos="979"/>
          <w:tab w:val="left" w:pos="1152"/>
        </w:tabs>
        <w:ind w:firstLine="360"/>
        <w:jc w:val="both"/>
        <w:outlineLvl w:val="4"/>
        <w:rPr>
          <w:rFonts w:eastAsia="Aptos"/>
          <w:kern w:val="2"/>
        </w:rPr>
      </w:pPr>
      <w:r w:rsidRPr="00FC5566">
        <w:rPr>
          <w:rFonts w:eastAsia="Aptos"/>
          <w:kern w:val="2"/>
        </w:rPr>
        <w:t>2.</w:t>
      </w:r>
      <w:r w:rsidRPr="00FC5566">
        <w:rPr>
          <w:rFonts w:eastAsia="Aptos"/>
          <w:kern w:val="2"/>
        </w:rPr>
        <w:tab/>
        <w:t>Eligible out-of-state security officers may qualify for alternative training requirements as authorized herein.</w:t>
      </w:r>
    </w:p>
    <w:p w14:paraId="2BE9460F"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bookmarkStart w:id="756" w:name="_Hlk227847659"/>
      <w:r w:rsidRPr="00FC5566">
        <w:rPr>
          <w:rFonts w:eastAsia="Aptos"/>
          <w:kern w:val="2"/>
        </w:rPr>
        <w:t>M.</w:t>
      </w:r>
      <w:r w:rsidRPr="00FC5566">
        <w:rPr>
          <w:rFonts w:eastAsia="Aptos"/>
          <w:kern w:val="2"/>
        </w:rPr>
        <w:tab/>
        <w:t>Security Officer Registration for Canine Handlers and Canine Teams</w:t>
      </w:r>
    </w:p>
    <w:p w14:paraId="2F316652" w14:textId="77777777" w:rsidR="00FC5566" w:rsidRPr="00FC5566" w:rsidRDefault="00FC5566" w:rsidP="00FC5566">
      <w:pPr>
        <w:tabs>
          <w:tab w:val="left" w:pos="720"/>
          <w:tab w:val="left" w:pos="979"/>
          <w:tab w:val="left" w:pos="1152"/>
        </w:tabs>
        <w:ind w:firstLine="360"/>
        <w:jc w:val="both"/>
        <w:outlineLvl w:val="4"/>
        <w:rPr>
          <w:rFonts w:eastAsia="Aptos"/>
          <w:kern w:val="2"/>
        </w:rPr>
      </w:pPr>
      <w:r w:rsidRPr="00FC5566">
        <w:rPr>
          <w:rFonts w:eastAsia="Calibri"/>
          <w:kern w:val="2"/>
        </w:rPr>
        <w:t>1.</w:t>
      </w:r>
      <w:r w:rsidRPr="00FC5566">
        <w:rPr>
          <w:rFonts w:eastAsia="Calibri"/>
          <w:kern w:val="2"/>
        </w:rPr>
        <w:tab/>
        <w:t xml:space="preserve">Any security officer performing the duties of a canine handler or canine team shall be registered with the Louisiana State Board of Private Security </w:t>
      </w:r>
      <w:r w:rsidRPr="00FC5566">
        <w:rPr>
          <w:rFonts w:eastAsia="Aptos"/>
          <w:kern w:val="2"/>
        </w:rPr>
        <w:t>Examiners</w:t>
      </w:r>
      <w:r w:rsidRPr="00FC5566">
        <w:rPr>
          <w:rFonts w:eastAsia="Calibri"/>
          <w:kern w:val="2"/>
        </w:rPr>
        <w:t xml:space="preserve"> under an LSBPSE company license prior to their first work assignment.</w:t>
      </w:r>
    </w:p>
    <w:bookmarkEnd w:id="756"/>
    <w:p w14:paraId="152F2C7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rFonts w:eastAsia="Aptos"/>
          <w:kern w:val="2"/>
          <w:sz w:val="18"/>
        </w:rPr>
      </w:pPr>
      <w:r w:rsidRPr="00FC5566">
        <w:rPr>
          <w:rFonts w:eastAsia="Aptos"/>
          <w:kern w:val="2"/>
          <w:sz w:val="18"/>
        </w:rPr>
        <w:lastRenderedPageBreak/>
        <w:t>AUTHORITY NOTE:</w:t>
      </w:r>
      <w:r w:rsidRPr="00FC5566">
        <w:rPr>
          <w:rFonts w:eastAsia="Aptos"/>
          <w:kern w:val="2"/>
          <w:sz w:val="18"/>
        </w:rPr>
        <w:tab/>
        <w:t>Promulgated in accordance with R.S. 37:3270 et seq.</w:t>
      </w:r>
    </w:p>
    <w:p w14:paraId="4DC96815"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rFonts w:eastAsia="Aptos"/>
          <w:kern w:val="2"/>
          <w:sz w:val="18"/>
        </w:rPr>
        <w:t>HISTORICAL NOTE:</w:t>
      </w:r>
      <w:r w:rsidRPr="00FC5566">
        <w:rPr>
          <w:rFonts w:eastAsia="Aptos"/>
          <w:kern w:val="2"/>
          <w:sz w:val="18"/>
        </w:rPr>
        <w:tab/>
        <w:t>Promulgated by Department of Public Safety and Corrections, Board of Private Security Examiners, LR 13:753 (December 1987), amended LR 15:12 (January 1989), LR 15:848 (October 1989), LR 18:191 (February 1992), LR 23:588 (May 1997), LR 26:1072 (May 2000), LR 27:1241 (August 2001), LR 28:2204 (October 2002), LR 31:1599 (July 2005), LR 34:667 (April 2008), LR 35:2815 (December 2009), LR 37:3275 (November 2011), LR 52:</w:t>
      </w:r>
    </w:p>
    <w:p w14:paraId="42AAD6D4"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757" w:name="_Toc222489679"/>
      <w:bookmarkStart w:id="758" w:name="_Toc182996748"/>
      <w:bookmarkStart w:id="759" w:name="_Toc191549551"/>
      <w:r w:rsidRPr="00FC5566">
        <w:rPr>
          <w:b/>
          <w:kern w:val="2"/>
        </w:rPr>
        <w:t>Chapter 5.</w:t>
      </w:r>
      <w:r w:rsidRPr="00FC5566">
        <w:rPr>
          <w:b/>
          <w:kern w:val="2"/>
        </w:rPr>
        <w:tab/>
        <w:t>Training</w:t>
      </w:r>
      <w:bookmarkEnd w:id="757"/>
    </w:p>
    <w:p w14:paraId="2F005DC1"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rFonts w:eastAsia="Aptos"/>
          <w:b/>
          <w:bCs/>
          <w:kern w:val="2"/>
        </w:rPr>
      </w:pPr>
      <w:bookmarkStart w:id="760" w:name="_Toc222489682"/>
      <w:bookmarkEnd w:id="758"/>
      <w:bookmarkEnd w:id="759"/>
      <w:r w:rsidRPr="00FC5566">
        <w:rPr>
          <w:b/>
          <w:kern w:val="2"/>
        </w:rPr>
        <w:t>§505.</w:t>
      </w:r>
      <w:r w:rsidRPr="00FC5566">
        <w:rPr>
          <w:b/>
          <w:kern w:val="2"/>
        </w:rPr>
        <w:tab/>
        <w:t>Firearms Qualifications and Requirements</w:t>
      </w:r>
      <w:bookmarkEnd w:id="760"/>
      <w:r w:rsidRPr="00FC5566">
        <w:rPr>
          <w:b/>
          <w:kern w:val="2"/>
        </w:rPr>
        <w:br/>
        <w:t>[Formerly §405]</w:t>
      </w:r>
      <w:bookmarkStart w:id="761" w:name="_Hlk237271258"/>
    </w:p>
    <w:p w14:paraId="3C198DAE"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Aptos"/>
          <w:kern w:val="2"/>
        </w:rPr>
      </w:pPr>
      <w:r w:rsidRPr="00FC5566">
        <w:rPr>
          <w:rFonts w:eastAsia="Aptos"/>
          <w:kern w:val="2"/>
        </w:rPr>
        <w:t>A.</w:t>
      </w:r>
      <w:r w:rsidRPr="00FC5566">
        <w:rPr>
          <w:rFonts w:eastAsia="Aptos"/>
          <w:kern w:val="2"/>
        </w:rPr>
        <w:tab/>
        <w:t>Basic Requirements</w:t>
      </w:r>
    </w:p>
    <w:p w14:paraId="3B5D1A83" w14:textId="77777777" w:rsidR="00FC5566" w:rsidRPr="00FC5566" w:rsidRDefault="00FC5566" w:rsidP="00FC5566">
      <w:pPr>
        <w:tabs>
          <w:tab w:val="left" w:pos="720"/>
          <w:tab w:val="left" w:pos="979"/>
          <w:tab w:val="left" w:pos="1152"/>
        </w:tabs>
        <w:ind w:firstLine="360"/>
        <w:jc w:val="both"/>
        <w:outlineLvl w:val="4"/>
        <w:rPr>
          <w:rFonts w:eastAsia="Aptos"/>
          <w:kern w:val="2"/>
        </w:rPr>
      </w:pPr>
      <w:r w:rsidRPr="00FC5566">
        <w:rPr>
          <w:rFonts w:eastAsia="Aptos"/>
          <w:kern w:val="2"/>
        </w:rPr>
        <w:t>1.</w:t>
      </w:r>
      <w:r w:rsidRPr="00FC5566">
        <w:rPr>
          <w:rFonts w:eastAsia="Aptos"/>
          <w:kern w:val="2"/>
        </w:rPr>
        <w:tab/>
        <w:t>A security officer must successfully complete all classroom training, examinations, and proficiency courses for their specified authorized weapon prior to working an armed assignment.</w:t>
      </w:r>
    </w:p>
    <w:p w14:paraId="7DCEE64F" w14:textId="77777777" w:rsidR="00FC5566" w:rsidRPr="00FC5566" w:rsidRDefault="00FC5566" w:rsidP="00FC5566">
      <w:pPr>
        <w:tabs>
          <w:tab w:val="left" w:pos="720"/>
          <w:tab w:val="left" w:pos="979"/>
          <w:tab w:val="left" w:pos="1152"/>
        </w:tabs>
        <w:ind w:firstLine="360"/>
        <w:jc w:val="both"/>
        <w:outlineLvl w:val="4"/>
        <w:rPr>
          <w:rFonts w:eastAsia="Aptos"/>
          <w:kern w:val="2"/>
        </w:rPr>
      </w:pPr>
      <w:r w:rsidRPr="00FC5566">
        <w:rPr>
          <w:rFonts w:eastAsia="Aptos"/>
          <w:kern w:val="2"/>
        </w:rPr>
        <w:t>2.</w:t>
      </w:r>
      <w:r w:rsidRPr="00FC5566">
        <w:rPr>
          <w:rFonts w:eastAsia="Aptos"/>
          <w:kern w:val="2"/>
        </w:rPr>
        <w:tab/>
        <w:t>Classroom Training</w:t>
      </w:r>
    </w:p>
    <w:p w14:paraId="056652EC" w14:textId="77777777" w:rsidR="00FC5566" w:rsidRPr="00FC5566" w:rsidRDefault="00FC5566" w:rsidP="00FC5566">
      <w:pPr>
        <w:tabs>
          <w:tab w:val="left" w:pos="907"/>
        </w:tabs>
        <w:ind w:firstLine="547"/>
        <w:jc w:val="both"/>
        <w:outlineLvl w:val="5"/>
        <w:rPr>
          <w:rFonts w:eastAsia="Aptos"/>
          <w:kern w:val="2"/>
        </w:rPr>
      </w:pPr>
      <w:r w:rsidRPr="00FC5566">
        <w:rPr>
          <w:rFonts w:eastAsia="Aptos"/>
          <w:kern w:val="2"/>
        </w:rPr>
        <w:t>a.</w:t>
      </w:r>
      <w:r w:rsidRPr="00FC5566">
        <w:rPr>
          <w:rFonts w:eastAsia="Aptos"/>
          <w:kern w:val="2"/>
        </w:rPr>
        <w:tab/>
        <w:t>Armed security officers shall complete classroom firearms training by a board-licensed firearms instructor.</w:t>
      </w:r>
    </w:p>
    <w:p w14:paraId="4187E2B4" w14:textId="77777777" w:rsidR="00FC5566" w:rsidRPr="00FC5566" w:rsidRDefault="00FC5566" w:rsidP="00FC5566">
      <w:pPr>
        <w:tabs>
          <w:tab w:val="left" w:pos="720"/>
          <w:tab w:val="left" w:pos="979"/>
          <w:tab w:val="left" w:pos="1152"/>
        </w:tabs>
        <w:ind w:firstLine="360"/>
        <w:jc w:val="both"/>
        <w:outlineLvl w:val="4"/>
        <w:rPr>
          <w:rFonts w:eastAsia="Aptos"/>
          <w:kern w:val="2"/>
        </w:rPr>
      </w:pPr>
      <w:r w:rsidRPr="00FC5566">
        <w:rPr>
          <w:rFonts w:eastAsia="Aptos"/>
          <w:kern w:val="2"/>
        </w:rPr>
        <w:t>3.</w:t>
      </w:r>
      <w:r w:rsidRPr="00FC5566">
        <w:rPr>
          <w:rFonts w:eastAsia="Aptos"/>
          <w:kern w:val="2"/>
        </w:rPr>
        <w:tab/>
        <w:t>Examination</w:t>
      </w:r>
    </w:p>
    <w:p w14:paraId="1510EB5C" w14:textId="77777777" w:rsidR="00FC5566" w:rsidRPr="00FC5566" w:rsidRDefault="00FC5566" w:rsidP="00FC5566">
      <w:pPr>
        <w:tabs>
          <w:tab w:val="left" w:pos="907"/>
        </w:tabs>
        <w:ind w:firstLine="547"/>
        <w:jc w:val="both"/>
        <w:outlineLvl w:val="5"/>
        <w:rPr>
          <w:rFonts w:eastAsia="Aptos"/>
          <w:kern w:val="2"/>
        </w:rPr>
      </w:pPr>
      <w:r w:rsidRPr="00FC5566">
        <w:rPr>
          <w:rFonts w:eastAsia="Aptos"/>
          <w:kern w:val="2"/>
        </w:rPr>
        <w:t>a.</w:t>
      </w:r>
      <w:r w:rsidRPr="00FC5566">
        <w:rPr>
          <w:rFonts w:eastAsia="Aptos"/>
          <w:kern w:val="2"/>
        </w:rPr>
        <w:tab/>
        <w:t xml:space="preserve">Upon completion of the prescribed firearms training, a written examination will be given to each security officer by a board-licensed firearms instructor. </w:t>
      </w:r>
    </w:p>
    <w:p w14:paraId="4521E557" w14:textId="77777777" w:rsidR="00FC5566" w:rsidRPr="00FC5566" w:rsidRDefault="00FC5566" w:rsidP="00FC5566">
      <w:pPr>
        <w:tabs>
          <w:tab w:val="left" w:pos="907"/>
        </w:tabs>
        <w:ind w:firstLine="547"/>
        <w:jc w:val="both"/>
        <w:outlineLvl w:val="5"/>
        <w:rPr>
          <w:rFonts w:eastAsia="Aptos"/>
          <w:kern w:val="2"/>
        </w:rPr>
      </w:pPr>
      <w:r w:rsidRPr="00FC5566">
        <w:rPr>
          <w:rFonts w:eastAsia="Aptos"/>
          <w:kern w:val="2"/>
        </w:rPr>
        <w:t>b.</w:t>
      </w:r>
      <w:r w:rsidRPr="00FC5566">
        <w:rPr>
          <w:rFonts w:eastAsia="Aptos"/>
          <w:kern w:val="2"/>
        </w:rPr>
        <w:tab/>
        <w:t>All exams must be approved by the board prior to being administered by a board-licensed instructor.</w:t>
      </w:r>
    </w:p>
    <w:p w14:paraId="406807EF" w14:textId="77777777" w:rsidR="00FC5566" w:rsidRPr="00FC5566" w:rsidRDefault="00FC5566" w:rsidP="00FC5566">
      <w:pPr>
        <w:tabs>
          <w:tab w:val="left" w:pos="907"/>
        </w:tabs>
        <w:ind w:firstLine="547"/>
        <w:jc w:val="both"/>
        <w:outlineLvl w:val="5"/>
        <w:rPr>
          <w:rFonts w:eastAsia="Aptos"/>
          <w:kern w:val="2"/>
        </w:rPr>
      </w:pPr>
      <w:r w:rsidRPr="00FC5566">
        <w:rPr>
          <w:rFonts w:eastAsia="Aptos"/>
          <w:kern w:val="2"/>
        </w:rPr>
        <w:t>c.</w:t>
      </w:r>
      <w:r w:rsidRPr="00FC5566">
        <w:rPr>
          <w:rFonts w:eastAsia="Aptos"/>
          <w:kern w:val="2"/>
        </w:rPr>
        <w:tab/>
        <w:t>The minimum passing score of each exam shall be 70 percent.</w:t>
      </w:r>
    </w:p>
    <w:p w14:paraId="720520AE" w14:textId="77777777" w:rsidR="00FC5566" w:rsidRPr="00FC5566" w:rsidRDefault="00FC5566" w:rsidP="00FC5566">
      <w:pPr>
        <w:tabs>
          <w:tab w:val="left" w:pos="907"/>
        </w:tabs>
        <w:ind w:firstLine="547"/>
        <w:jc w:val="both"/>
        <w:outlineLvl w:val="5"/>
        <w:rPr>
          <w:rFonts w:eastAsia="Aptos"/>
          <w:kern w:val="2"/>
        </w:rPr>
      </w:pPr>
      <w:r w:rsidRPr="00FC5566">
        <w:rPr>
          <w:rFonts w:eastAsia="Aptos"/>
          <w:kern w:val="2"/>
        </w:rPr>
        <w:t>d.</w:t>
      </w:r>
      <w:r w:rsidRPr="00FC5566">
        <w:rPr>
          <w:rFonts w:eastAsia="Aptos"/>
          <w:kern w:val="2"/>
        </w:rPr>
        <w:tab/>
        <w:t>All scores of such examinations must be recorded and submitted to the board by the board-licensed instructor on its prescribed training verification form signed by the board-licensed instructor within 15 calendar days from completion of training.</w:t>
      </w:r>
    </w:p>
    <w:p w14:paraId="49C3B0A4" w14:textId="77777777" w:rsidR="00FC5566" w:rsidRPr="00FC5566" w:rsidRDefault="00FC5566" w:rsidP="00FC5566">
      <w:pPr>
        <w:tabs>
          <w:tab w:val="left" w:pos="720"/>
          <w:tab w:val="left" w:pos="979"/>
          <w:tab w:val="left" w:pos="1152"/>
        </w:tabs>
        <w:ind w:firstLine="360"/>
        <w:jc w:val="both"/>
        <w:outlineLvl w:val="4"/>
        <w:rPr>
          <w:rFonts w:eastAsia="Aptos"/>
          <w:kern w:val="2"/>
        </w:rPr>
      </w:pPr>
      <w:r w:rsidRPr="00FC5566">
        <w:rPr>
          <w:rFonts w:eastAsia="Aptos"/>
          <w:kern w:val="2"/>
        </w:rPr>
        <w:t>4.</w:t>
      </w:r>
      <w:r w:rsidRPr="00FC5566">
        <w:rPr>
          <w:rFonts w:eastAsia="Aptos"/>
          <w:kern w:val="2"/>
        </w:rPr>
        <w:tab/>
        <w:t>Proficiency Course</w:t>
      </w:r>
    </w:p>
    <w:p w14:paraId="735C601D" w14:textId="77777777" w:rsidR="00FC5566" w:rsidRPr="00FC5566" w:rsidRDefault="00FC5566" w:rsidP="00FC5566">
      <w:pPr>
        <w:tabs>
          <w:tab w:val="left" w:pos="907"/>
        </w:tabs>
        <w:ind w:firstLine="547"/>
        <w:jc w:val="both"/>
        <w:outlineLvl w:val="5"/>
        <w:rPr>
          <w:rFonts w:eastAsia="Aptos"/>
          <w:kern w:val="2"/>
        </w:rPr>
      </w:pPr>
      <w:r w:rsidRPr="00FC5566">
        <w:rPr>
          <w:rFonts w:eastAsia="Aptos"/>
          <w:kern w:val="2"/>
        </w:rPr>
        <w:t>a.</w:t>
      </w:r>
      <w:r w:rsidRPr="00FC5566">
        <w:rPr>
          <w:rFonts w:eastAsia="Aptos"/>
          <w:kern w:val="2"/>
        </w:rPr>
        <w:tab/>
        <w:t>Successful completion of firearms training also includes the security officer passing a board-required firearms proficiency course in their specified authorized weapon.</w:t>
      </w:r>
    </w:p>
    <w:p w14:paraId="39E01EE3" w14:textId="77777777" w:rsidR="00FC5566" w:rsidRPr="00FC5566" w:rsidRDefault="00FC5566" w:rsidP="00FC5566">
      <w:pPr>
        <w:tabs>
          <w:tab w:val="left" w:pos="907"/>
        </w:tabs>
        <w:ind w:firstLine="547"/>
        <w:jc w:val="both"/>
        <w:outlineLvl w:val="5"/>
        <w:rPr>
          <w:rFonts w:eastAsia="Aptos"/>
          <w:kern w:val="2"/>
        </w:rPr>
      </w:pPr>
      <w:r w:rsidRPr="00FC5566">
        <w:rPr>
          <w:rFonts w:eastAsia="Aptos"/>
          <w:kern w:val="2"/>
        </w:rPr>
        <w:t>b.</w:t>
      </w:r>
      <w:r w:rsidRPr="00FC5566">
        <w:rPr>
          <w:rFonts w:eastAsia="Aptos"/>
          <w:kern w:val="2"/>
        </w:rPr>
        <w:tab/>
        <w:t>The firearms proficiency course used by the firearms instructor must be certified by the National Rifle Association (NRA) Law Enforcement Certification, Department of Defense, Department of Energy, or P.O.S.T., and proof of such certification shall be submitted to the board for approval and verification.</w:t>
      </w:r>
    </w:p>
    <w:p w14:paraId="660DC919"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Aptos"/>
          <w:kern w:val="2"/>
        </w:rPr>
      </w:pPr>
      <w:r w:rsidRPr="00FC5566">
        <w:rPr>
          <w:rFonts w:eastAsia="Aptos"/>
          <w:kern w:val="2"/>
        </w:rPr>
        <w:t>B.</w:t>
      </w:r>
      <w:r w:rsidRPr="00FC5566">
        <w:rPr>
          <w:rFonts w:eastAsia="Aptos"/>
          <w:kern w:val="2"/>
        </w:rPr>
        <w:tab/>
        <w:t>Firearms Refresher</w:t>
      </w:r>
    </w:p>
    <w:p w14:paraId="39E8ADBB" w14:textId="77777777" w:rsidR="00FC5566" w:rsidRPr="00FC5566" w:rsidRDefault="00FC5566" w:rsidP="00FC5566">
      <w:pPr>
        <w:tabs>
          <w:tab w:val="left" w:pos="720"/>
          <w:tab w:val="left" w:pos="979"/>
          <w:tab w:val="left" w:pos="1152"/>
        </w:tabs>
        <w:ind w:firstLine="360"/>
        <w:jc w:val="both"/>
        <w:outlineLvl w:val="4"/>
        <w:rPr>
          <w:rFonts w:eastAsia="Aptos"/>
          <w:kern w:val="2"/>
        </w:rPr>
      </w:pPr>
      <w:bookmarkStart w:id="762" w:name="_Hlk229951271"/>
      <w:r w:rsidRPr="00FC5566">
        <w:rPr>
          <w:rFonts w:eastAsia="Aptos"/>
          <w:kern w:val="2"/>
        </w:rPr>
        <w:t>1.</w:t>
      </w:r>
      <w:r w:rsidRPr="00FC5566">
        <w:rPr>
          <w:rFonts w:eastAsia="Aptos"/>
          <w:kern w:val="2"/>
        </w:rPr>
        <w:tab/>
        <w:t xml:space="preserve">An armed security officer must successfully complete an annual refresher firearms training prior to expiration. </w:t>
      </w:r>
    </w:p>
    <w:p w14:paraId="2E5DBD1F" w14:textId="77777777" w:rsidR="00FC5566" w:rsidRPr="00FC5566" w:rsidRDefault="00FC5566" w:rsidP="00FC5566">
      <w:pPr>
        <w:tabs>
          <w:tab w:val="left" w:pos="720"/>
          <w:tab w:val="left" w:pos="979"/>
          <w:tab w:val="left" w:pos="1152"/>
        </w:tabs>
        <w:ind w:firstLine="360"/>
        <w:jc w:val="both"/>
        <w:outlineLvl w:val="4"/>
        <w:rPr>
          <w:rFonts w:eastAsia="Aptos"/>
          <w:kern w:val="2"/>
        </w:rPr>
      </w:pPr>
      <w:r w:rsidRPr="00FC5566">
        <w:rPr>
          <w:rFonts w:eastAsia="Aptos"/>
          <w:kern w:val="2"/>
        </w:rPr>
        <w:t>2.</w:t>
      </w:r>
      <w:r w:rsidRPr="00FC5566">
        <w:rPr>
          <w:rFonts w:eastAsia="Aptos"/>
          <w:kern w:val="2"/>
        </w:rPr>
        <w:tab/>
        <w:t xml:space="preserve">Firearms training expires one calendar year from the date of last completed firearms training. </w:t>
      </w:r>
      <w:bookmarkEnd w:id="762"/>
    </w:p>
    <w:p w14:paraId="5D2D0E19"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Aptos"/>
          <w:kern w:val="2"/>
        </w:rPr>
      </w:pPr>
      <w:r w:rsidRPr="00FC5566">
        <w:rPr>
          <w:rFonts w:eastAsia="Aptos"/>
          <w:kern w:val="2"/>
        </w:rPr>
        <w:t>C.</w:t>
      </w:r>
      <w:r w:rsidRPr="00FC5566">
        <w:rPr>
          <w:rFonts w:eastAsia="Aptos"/>
          <w:kern w:val="2"/>
        </w:rPr>
        <w:tab/>
        <w:t xml:space="preserve">Authorized Firearms and Ammunition </w:t>
      </w:r>
    </w:p>
    <w:p w14:paraId="2482CBFF" w14:textId="77777777" w:rsidR="00FC5566" w:rsidRPr="00FC5566" w:rsidRDefault="00FC5566" w:rsidP="00FC5566">
      <w:pPr>
        <w:tabs>
          <w:tab w:val="left" w:pos="720"/>
          <w:tab w:val="left" w:pos="979"/>
          <w:tab w:val="left" w:pos="1152"/>
        </w:tabs>
        <w:ind w:firstLine="360"/>
        <w:jc w:val="both"/>
        <w:outlineLvl w:val="4"/>
        <w:rPr>
          <w:rFonts w:eastAsia="Aptos"/>
          <w:kern w:val="2"/>
        </w:rPr>
      </w:pPr>
      <w:r w:rsidRPr="00FC5566">
        <w:rPr>
          <w:rFonts w:eastAsia="Aptos"/>
          <w:kern w:val="2"/>
        </w:rPr>
        <w:t>1.</w:t>
      </w:r>
      <w:r w:rsidRPr="00FC5566">
        <w:rPr>
          <w:rFonts w:eastAsia="Aptos"/>
          <w:kern w:val="2"/>
        </w:rPr>
        <w:tab/>
        <w:t>The following weapons are the only firearms authorized and approved by the board:</w:t>
      </w:r>
    </w:p>
    <w:p w14:paraId="48D8B33A" w14:textId="77777777" w:rsidR="00FC5566" w:rsidRPr="00FC5566" w:rsidRDefault="00FC5566" w:rsidP="00FC5566">
      <w:pPr>
        <w:tabs>
          <w:tab w:val="left" w:pos="907"/>
        </w:tabs>
        <w:ind w:firstLine="547"/>
        <w:jc w:val="both"/>
        <w:outlineLvl w:val="5"/>
        <w:rPr>
          <w:rFonts w:eastAsia="Aptos"/>
          <w:kern w:val="2"/>
        </w:rPr>
      </w:pPr>
      <w:r w:rsidRPr="00FC5566">
        <w:rPr>
          <w:rFonts w:eastAsia="Aptos"/>
          <w:kern w:val="2"/>
        </w:rPr>
        <w:t>a.</w:t>
      </w:r>
      <w:r w:rsidRPr="00FC5566">
        <w:rPr>
          <w:rFonts w:eastAsia="Aptos"/>
          <w:kern w:val="2"/>
        </w:rPr>
        <w:tab/>
        <w:t>9 mm semiautomatic, minimum 4-inch barrel, double action;</w:t>
      </w:r>
    </w:p>
    <w:p w14:paraId="3C609DC0" w14:textId="77777777" w:rsidR="00FC5566" w:rsidRPr="00FC5566" w:rsidRDefault="00FC5566" w:rsidP="00FC5566">
      <w:pPr>
        <w:tabs>
          <w:tab w:val="left" w:pos="907"/>
        </w:tabs>
        <w:ind w:firstLine="547"/>
        <w:jc w:val="both"/>
        <w:outlineLvl w:val="5"/>
        <w:rPr>
          <w:rFonts w:eastAsia="Aptos"/>
          <w:kern w:val="2"/>
        </w:rPr>
      </w:pPr>
      <w:r w:rsidRPr="00FC5566">
        <w:rPr>
          <w:rFonts w:eastAsia="Aptos"/>
          <w:kern w:val="2"/>
        </w:rPr>
        <w:t>b.</w:t>
      </w:r>
      <w:r w:rsidRPr="00FC5566">
        <w:rPr>
          <w:rFonts w:eastAsia="Aptos"/>
          <w:kern w:val="2"/>
        </w:rPr>
        <w:tab/>
        <w:t>.357 caliber or .38mm revolver;</w:t>
      </w:r>
    </w:p>
    <w:p w14:paraId="619094E2" w14:textId="77777777" w:rsidR="00FC5566" w:rsidRPr="00FC5566" w:rsidRDefault="00FC5566" w:rsidP="00FC5566">
      <w:pPr>
        <w:tabs>
          <w:tab w:val="left" w:pos="907"/>
        </w:tabs>
        <w:ind w:firstLine="547"/>
        <w:jc w:val="both"/>
        <w:outlineLvl w:val="5"/>
        <w:rPr>
          <w:rFonts w:eastAsia="Aptos"/>
          <w:kern w:val="2"/>
        </w:rPr>
      </w:pPr>
      <w:r w:rsidRPr="00FC5566">
        <w:rPr>
          <w:rFonts w:eastAsia="Aptos"/>
          <w:kern w:val="2"/>
        </w:rPr>
        <w:t>c.</w:t>
      </w:r>
      <w:r w:rsidRPr="00FC5566">
        <w:rPr>
          <w:rFonts w:eastAsia="Aptos"/>
          <w:kern w:val="2"/>
        </w:rPr>
        <w:tab/>
        <w:t>.40 caliber semiautomatic, minimum 4-inch barrel;</w:t>
      </w:r>
    </w:p>
    <w:p w14:paraId="02AC7C8B" w14:textId="77777777" w:rsidR="00FC5566" w:rsidRPr="00FC5566" w:rsidRDefault="00FC5566" w:rsidP="00FC5566">
      <w:pPr>
        <w:tabs>
          <w:tab w:val="left" w:pos="907"/>
        </w:tabs>
        <w:ind w:firstLine="547"/>
        <w:jc w:val="both"/>
        <w:outlineLvl w:val="5"/>
        <w:rPr>
          <w:rFonts w:eastAsia="Aptos"/>
          <w:kern w:val="2"/>
        </w:rPr>
      </w:pPr>
      <w:r w:rsidRPr="00FC5566">
        <w:rPr>
          <w:rFonts w:eastAsia="Aptos"/>
          <w:kern w:val="2"/>
        </w:rPr>
        <w:t>d.</w:t>
      </w:r>
      <w:r w:rsidRPr="00FC5566">
        <w:rPr>
          <w:rFonts w:eastAsia="Aptos"/>
          <w:kern w:val="2"/>
        </w:rPr>
        <w:tab/>
        <w:t xml:space="preserve">.45 caliber semiautomatic weapon, minimum 4-inch barrel, double action; </w:t>
      </w:r>
    </w:p>
    <w:p w14:paraId="2E329D30" w14:textId="77777777" w:rsidR="00FC5566" w:rsidRPr="00FC5566" w:rsidRDefault="00FC5566" w:rsidP="00FC5566">
      <w:pPr>
        <w:tabs>
          <w:tab w:val="left" w:pos="907"/>
        </w:tabs>
        <w:ind w:firstLine="547"/>
        <w:jc w:val="both"/>
        <w:outlineLvl w:val="5"/>
        <w:rPr>
          <w:rFonts w:eastAsia="Aptos"/>
          <w:kern w:val="2"/>
        </w:rPr>
      </w:pPr>
      <w:r w:rsidRPr="00FC5566">
        <w:rPr>
          <w:rFonts w:eastAsia="Aptos"/>
          <w:kern w:val="2"/>
        </w:rPr>
        <w:t>e.</w:t>
      </w:r>
      <w:r w:rsidRPr="00FC5566">
        <w:rPr>
          <w:rFonts w:eastAsia="Aptos"/>
          <w:kern w:val="2"/>
        </w:rPr>
        <w:tab/>
        <w:t>shotgun;</w:t>
      </w:r>
    </w:p>
    <w:p w14:paraId="66C51939" w14:textId="77777777" w:rsidR="00FC5566" w:rsidRPr="00FC5566" w:rsidRDefault="00FC5566" w:rsidP="00FC5566">
      <w:pPr>
        <w:tabs>
          <w:tab w:val="left" w:pos="907"/>
        </w:tabs>
        <w:ind w:firstLine="547"/>
        <w:jc w:val="both"/>
        <w:outlineLvl w:val="5"/>
        <w:rPr>
          <w:rFonts w:eastAsia="Aptos"/>
          <w:kern w:val="2"/>
        </w:rPr>
      </w:pPr>
      <w:r w:rsidRPr="00FC5566">
        <w:rPr>
          <w:rFonts w:eastAsia="Aptos"/>
          <w:kern w:val="2"/>
        </w:rPr>
        <w:t>f.</w:t>
      </w:r>
      <w:r w:rsidRPr="00FC5566">
        <w:rPr>
          <w:rFonts w:eastAsia="Aptos"/>
          <w:kern w:val="2"/>
        </w:rPr>
        <w:tab/>
        <w:t>223 or 5.56 caliber rifle.</w:t>
      </w:r>
    </w:p>
    <w:p w14:paraId="326587EF"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2.All ammunition for handguns and rifles must be factory new, hollow-point rounds.</w:t>
      </w:r>
    </w:p>
    <w:p w14:paraId="7C1CA8B3"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3.All ammunition for shotguns must be 00 buckshot or slug rounds.</w:t>
      </w:r>
    </w:p>
    <w:p w14:paraId="7280C2CD" w14:textId="77777777" w:rsidR="00FC5566" w:rsidRPr="00FC5566" w:rsidRDefault="00FC5566" w:rsidP="00FC5566">
      <w:pPr>
        <w:tabs>
          <w:tab w:val="left" w:pos="720"/>
          <w:tab w:val="left" w:pos="979"/>
          <w:tab w:val="left" w:pos="1152"/>
        </w:tabs>
        <w:ind w:firstLine="360"/>
        <w:jc w:val="both"/>
        <w:outlineLvl w:val="4"/>
        <w:rPr>
          <w:rFonts w:eastAsia="Aptos"/>
          <w:kern w:val="2"/>
        </w:rPr>
      </w:pPr>
      <w:r w:rsidRPr="00FC5566">
        <w:rPr>
          <w:kern w:val="2"/>
        </w:rPr>
        <w:t>4.</w:t>
      </w:r>
      <w:r w:rsidRPr="00FC5566">
        <w:rPr>
          <w:kern w:val="2"/>
        </w:rPr>
        <w:tab/>
        <w:t>Armor-piercing ammunition and full metal jacket (FMJ) is specifically prohibited.</w:t>
      </w:r>
      <w:r w:rsidRPr="00FC5566">
        <w:rPr>
          <w:rFonts w:eastAsia="Aptos"/>
          <w:kern w:val="2"/>
        </w:rPr>
        <w:tab/>
      </w:r>
    </w:p>
    <w:bookmarkEnd w:id="761"/>
    <w:p w14:paraId="50BE2257"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37:3270 et seq.</w:t>
      </w:r>
    </w:p>
    <w:p w14:paraId="293844CA"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Department of Public Safety and Corrections, Board of Private Security Examiners, LR 13:755 (December 1987), amended LR 15:13 (January 1989), LR 15:850 (October 1989), LR 18:192 (February 1992), LR 23:588 (May 1997), LR 26:1073 (May 2000), LR 27:1241 (August 2001), LR 28:2204 (October 2002), LR 31:1600 (July 2005), LR 34:667 (April 2008), repromulgated LR 52:238 (February 2026), amended LR 52:</w:t>
      </w:r>
    </w:p>
    <w:p w14:paraId="6EB3C369"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763" w:name="_Toc222489684"/>
      <w:bookmarkStart w:id="764" w:name="_Toc182996780"/>
      <w:bookmarkStart w:id="765" w:name="_Toc191549583"/>
      <w:r w:rsidRPr="00FC5566">
        <w:rPr>
          <w:b/>
          <w:kern w:val="2"/>
        </w:rPr>
        <w:t>Chapter 6.</w:t>
      </w:r>
      <w:r w:rsidRPr="00FC5566">
        <w:rPr>
          <w:b/>
          <w:kern w:val="2"/>
        </w:rPr>
        <w:tab/>
        <w:t>Criminal Background Checks</w:t>
      </w:r>
      <w:bookmarkEnd w:id="763"/>
      <w:bookmarkEnd w:id="764"/>
      <w:bookmarkEnd w:id="765"/>
    </w:p>
    <w:p w14:paraId="015C7EAC"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766" w:name="_Toc222489686"/>
      <w:r w:rsidRPr="00FC5566">
        <w:rPr>
          <w:b/>
          <w:kern w:val="2"/>
        </w:rPr>
        <w:t>§603.</w:t>
      </w:r>
      <w:r w:rsidRPr="00FC5566">
        <w:rPr>
          <w:b/>
          <w:kern w:val="2"/>
        </w:rPr>
        <w:tab/>
        <w:t>Final Decision and Orders</w:t>
      </w:r>
      <w:bookmarkEnd w:id="766"/>
    </w:p>
    <w:p w14:paraId="547432C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both"/>
        <w:outlineLvl w:val="3"/>
        <w:rPr>
          <w:kern w:val="2"/>
        </w:rPr>
      </w:pPr>
      <w:r w:rsidRPr="00FC5566">
        <w:rPr>
          <w:kern w:val="2"/>
        </w:rPr>
        <w:t>Repealed.</w:t>
      </w:r>
    </w:p>
    <w:p w14:paraId="08CCA8CE"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37:3270, et seq.</w:t>
      </w:r>
    </w:p>
    <w:p w14:paraId="2E74A1BB"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Department of Public Safety and Corrections, Board of Private Security Examiners, 13:756 (December 1987), amended LR 18:195 (February 1992), repromulgated LR 26:1075 (May 2000), repealed LR 52:</w:t>
      </w:r>
    </w:p>
    <w:p w14:paraId="4B6D53EE" w14:textId="77777777" w:rsidR="00FC5566" w:rsidRPr="00FC5566" w:rsidRDefault="00FC5566" w:rsidP="00FC5566">
      <w:pPr>
        <w:keepNext/>
        <w:jc w:val="center"/>
        <w:rPr>
          <w:b/>
          <w:kern w:val="28"/>
        </w:rPr>
      </w:pPr>
      <w:r w:rsidRPr="00FC5566">
        <w:rPr>
          <w:b/>
          <w:kern w:val="28"/>
        </w:rPr>
        <w:t>Family Impact Statement</w:t>
      </w:r>
    </w:p>
    <w:p w14:paraId="3C39B8D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The proposed Rule should not have any known or foreseeable impact on family formation, stability, and autonomy. In particular, the proposed Rule has no known or foreseeable impact on:</w:t>
      </w:r>
    </w:p>
    <w:p w14:paraId="0D75C33D"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the stability of the family;</w:t>
      </w:r>
    </w:p>
    <w:p w14:paraId="79CFC38A"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the authority and rights of persons regarding the education and supervision of their children;</w:t>
      </w:r>
    </w:p>
    <w:p w14:paraId="328D70CE"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the functioning of the family;</w:t>
      </w:r>
    </w:p>
    <w:p w14:paraId="772D696C"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w:t>
      </w:r>
      <w:r w:rsidRPr="00FC5566">
        <w:rPr>
          <w:kern w:val="2"/>
        </w:rPr>
        <w:tab/>
        <w:t>family earnings and family budget;</w:t>
      </w:r>
    </w:p>
    <w:p w14:paraId="2432453A"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5.</w:t>
      </w:r>
      <w:r w:rsidRPr="00FC5566">
        <w:rPr>
          <w:kern w:val="2"/>
        </w:rPr>
        <w:tab/>
        <w:t>the behavior and personal responsibility of children;</w:t>
      </w:r>
    </w:p>
    <w:p w14:paraId="3796989D"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6.</w:t>
      </w:r>
      <w:r w:rsidRPr="00FC5566">
        <w:rPr>
          <w:kern w:val="2"/>
        </w:rPr>
        <w:tab/>
        <w:t>the ability of the family or a local government to perform the function as contained in the proposed Rule.</w:t>
      </w:r>
    </w:p>
    <w:p w14:paraId="27699102" w14:textId="77777777" w:rsidR="00FC5566" w:rsidRPr="00FC5566" w:rsidRDefault="00FC5566" w:rsidP="00FC5566">
      <w:pPr>
        <w:keepNext/>
        <w:jc w:val="center"/>
        <w:rPr>
          <w:b/>
          <w:kern w:val="28"/>
        </w:rPr>
      </w:pPr>
      <w:r w:rsidRPr="00FC5566">
        <w:rPr>
          <w:b/>
          <w:kern w:val="28"/>
        </w:rPr>
        <w:t>Poverty Impact Statement</w:t>
      </w:r>
    </w:p>
    <w:p w14:paraId="17ECC8A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The proposed Rule should not have any known or foreseeable impact on any child, individual or family as defined by R.S. 49:973(B). In particular, there should be no known or foreseeable effect on:</w:t>
      </w:r>
    </w:p>
    <w:p w14:paraId="71D9863A"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the effect on household income, assets, and financial security;</w:t>
      </w:r>
    </w:p>
    <w:p w14:paraId="40FF52AF"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the effect on early childhood development and preschool through postsecondary education development;</w:t>
      </w:r>
    </w:p>
    <w:p w14:paraId="1E13E7E8"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the effect on employment and workforce development;</w:t>
      </w:r>
    </w:p>
    <w:p w14:paraId="7CB46B12"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w:t>
      </w:r>
      <w:r w:rsidRPr="00FC5566">
        <w:rPr>
          <w:kern w:val="2"/>
        </w:rPr>
        <w:tab/>
        <w:t>the effect on taxes and tax credits;</w:t>
      </w:r>
    </w:p>
    <w:p w14:paraId="307C8FCB"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5.</w:t>
      </w:r>
      <w:r w:rsidRPr="00FC5566">
        <w:rPr>
          <w:kern w:val="2"/>
        </w:rPr>
        <w:tab/>
        <w:t>the effect on child and dependent care, housing, health care, nutrition, transportation, and utilities assistance.</w:t>
      </w:r>
    </w:p>
    <w:p w14:paraId="35A53B22" w14:textId="77777777" w:rsidR="00FC5566" w:rsidRPr="00FC5566" w:rsidRDefault="00FC5566" w:rsidP="00FC5566">
      <w:pPr>
        <w:keepNext/>
        <w:jc w:val="center"/>
        <w:rPr>
          <w:b/>
          <w:kern w:val="28"/>
        </w:rPr>
      </w:pPr>
      <w:r w:rsidRPr="00FC5566">
        <w:rPr>
          <w:b/>
          <w:kern w:val="28"/>
        </w:rPr>
        <w:t>Small Business Analysis</w:t>
      </w:r>
    </w:p>
    <w:p w14:paraId="1EDA5FC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The proposed Rule should have no adverse impact on small businesses as defined in the Regulatory Flexibility Act.</w:t>
      </w:r>
    </w:p>
    <w:p w14:paraId="3A98C8EE" w14:textId="77777777" w:rsidR="00FC5566" w:rsidRPr="00FC5566" w:rsidRDefault="00FC5566" w:rsidP="00FC5566">
      <w:pPr>
        <w:keepNext/>
        <w:jc w:val="center"/>
        <w:rPr>
          <w:b/>
          <w:kern w:val="28"/>
        </w:rPr>
      </w:pPr>
      <w:r w:rsidRPr="00FC5566">
        <w:rPr>
          <w:b/>
          <w:kern w:val="28"/>
        </w:rPr>
        <w:t>Provider Impact Statement</w:t>
      </w:r>
    </w:p>
    <w:p w14:paraId="12612D6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The proposed Rule should not have any known or foreseeable impact on providers as defined by HCR 170 of the 2014 Regular Legislative Session. In particular, there should be no known or foreseeable effect on:</w:t>
      </w:r>
    </w:p>
    <w:p w14:paraId="351875B5"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the effect on the staffing level requirements or qualifications required to provide the same level of service;</w:t>
      </w:r>
    </w:p>
    <w:p w14:paraId="066862B2"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br w:type="page"/>
      </w:r>
    </w:p>
    <w:p w14:paraId="6D9EF425"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lastRenderedPageBreak/>
        <w:t>2.</w:t>
      </w:r>
      <w:r w:rsidRPr="00FC5566">
        <w:rPr>
          <w:kern w:val="2"/>
        </w:rPr>
        <w:tab/>
        <w:t>the total direct and indirect effect on the cost to the providers to provide the same level of service; or</w:t>
      </w:r>
    </w:p>
    <w:p w14:paraId="0609131A"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the overall effect on the ability of the provider to provide the same level of service.</w:t>
      </w:r>
    </w:p>
    <w:p w14:paraId="252E700A" w14:textId="77777777" w:rsidR="00FC5566" w:rsidRPr="00FC5566" w:rsidRDefault="00FC5566" w:rsidP="00FC5566">
      <w:pPr>
        <w:keepNext/>
        <w:jc w:val="center"/>
        <w:rPr>
          <w:b/>
          <w:kern w:val="28"/>
        </w:rPr>
      </w:pPr>
      <w:r w:rsidRPr="00FC5566">
        <w:rPr>
          <w:b/>
          <w:kern w:val="28"/>
        </w:rPr>
        <w:t>Public Comments</w:t>
      </w:r>
    </w:p>
    <w:p w14:paraId="018CEDD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 xml:space="preserve">Interested parties may submit written comments to the Louisiana Board of Private Security Examiners, Attention: Stephen A Quidd, </w:t>
      </w:r>
      <w:r w:rsidRPr="00FC5566">
        <w:rPr>
          <w:rFonts w:eastAsia="Calibri"/>
          <w:kern w:val="2"/>
        </w:rPr>
        <w:t>15703 Old Hammond Highway</w:t>
      </w:r>
      <w:r w:rsidRPr="00FC5566">
        <w:rPr>
          <w:kern w:val="2"/>
        </w:rPr>
        <w:t>, Baton Roue LA 70816 or via e-mail to stephen.quidd3@la.gov or by hand delivery. Comments will be accepted through close of business on September 10, 2026. All written comments must be dated and must include the first and last name, email address, mailing address, and phone number of the person submitting the comments. If the person is submitting comments on behalf of a company or organization, then the email address, mailing address, and phone number of the company or organization shall also be included.</w:t>
      </w:r>
    </w:p>
    <w:p w14:paraId="168C885A" w14:textId="77777777" w:rsidR="00FC5566" w:rsidRPr="00FC5566" w:rsidRDefault="00FC5566" w:rsidP="00FC5566">
      <w:pPr>
        <w:keepNext/>
        <w:jc w:val="center"/>
        <w:rPr>
          <w:b/>
          <w:kern w:val="28"/>
        </w:rPr>
      </w:pPr>
      <w:r w:rsidRPr="00FC5566">
        <w:rPr>
          <w:b/>
          <w:kern w:val="28"/>
        </w:rPr>
        <w:t>Public Hearing</w:t>
      </w:r>
    </w:p>
    <w:p w14:paraId="2857B03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Interested parties may submit a written request to conduct a public hearing to the Louisiana Board of Private Security Examiners, Attention: Stephen Quidd, via U.S Mail at 15703 Old Hammond Highway, Baton Rouge, LA 70816 or by e-mail to Stephen.Quidd3@la.gov or by hand delivery; however, such request must be received by no later than the close of business September 10, 2026. If the requisite number of comments are received, the public hearing will be conducted (Monday), September 28, 2026, at 10:30 a.m. at 15703 Old Hammond Highway, Baton Rouge, LA 70816. To confirm whether a public hearing will be held, interested parties should contact the Board at (225) 272-2310 after September 10, 2026. If a public hearing is to be held, all interested parties are invited to attend and present data, views, comments, or arguments, orally or in writing. The public hearing, if conducted, will be at 15703 Old Hammond Highway, Baton Rouge, LA 70816.</w:t>
      </w:r>
    </w:p>
    <w:p w14:paraId="471063A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p w14:paraId="5ACB8679" w14:textId="77777777" w:rsidR="00FC5566" w:rsidRPr="00FC5566" w:rsidRDefault="00FC5566" w:rsidP="00FC5566">
      <w:pPr>
        <w:keepNext/>
        <w:ind w:left="2160"/>
        <w:jc w:val="both"/>
      </w:pPr>
      <w:r w:rsidRPr="00FC5566">
        <w:t>Carl Saizan</w:t>
      </w:r>
    </w:p>
    <w:p w14:paraId="4CF2A3BA" w14:textId="77777777" w:rsidR="00FC5566" w:rsidRPr="00FC5566" w:rsidRDefault="00FC5566" w:rsidP="00FC5566">
      <w:pPr>
        <w:keepNext/>
        <w:ind w:left="2160"/>
        <w:jc w:val="both"/>
      </w:pPr>
      <w:r w:rsidRPr="00FC5566">
        <w:t>Executive Director</w:t>
      </w:r>
    </w:p>
    <w:p w14:paraId="137FF342" w14:textId="77777777" w:rsidR="00FC5566" w:rsidRPr="00FC5566" w:rsidRDefault="00FC5566" w:rsidP="00FC5566">
      <w:pPr>
        <w:keepNext/>
        <w:jc w:val="center"/>
        <w:rPr>
          <w:b/>
        </w:rPr>
      </w:pPr>
    </w:p>
    <w:p w14:paraId="2EA3F8E7" w14:textId="77777777" w:rsidR="00FC5566" w:rsidRPr="00FC5566" w:rsidRDefault="00FC5566" w:rsidP="00FC5566">
      <w:pPr>
        <w:keepNext/>
        <w:jc w:val="center"/>
        <w:rPr>
          <w:b/>
        </w:rPr>
      </w:pPr>
      <w:r w:rsidRPr="00FC5566">
        <w:rPr>
          <w:b/>
        </w:rPr>
        <w:t>FISCAL AND ECONOMIC IMPACT STATEMENT FOR ADMINISTRATIVE RULES</w:t>
      </w:r>
    </w:p>
    <w:p w14:paraId="63908C29" w14:textId="77777777" w:rsidR="00FC5566" w:rsidRPr="00FC5566" w:rsidRDefault="00FC5566" w:rsidP="00FC5566">
      <w:pPr>
        <w:keepNext/>
        <w:jc w:val="center"/>
        <w:rPr>
          <w:b/>
          <w:noProof/>
        </w:rPr>
      </w:pPr>
      <w:r w:rsidRPr="00FC5566">
        <w:rPr>
          <w:b/>
          <w:noProof/>
        </w:rPr>
        <w:t>RULE TITLE:  Private Security Examiners</w:t>
      </w:r>
    </w:p>
    <w:p w14:paraId="3B5DDD5B"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1B01CB72" w14:textId="77777777" w:rsidR="00FC5566" w:rsidRPr="00FC5566" w:rsidRDefault="00FC5566" w:rsidP="00FC5566">
      <w:pPr>
        <w:ind w:left="288" w:hanging="288"/>
        <w:jc w:val="both"/>
        <w:rPr>
          <w:spacing w:val="-10"/>
          <w:sz w:val="18"/>
        </w:rPr>
      </w:pPr>
      <w:r w:rsidRPr="00FC5566">
        <w:rPr>
          <w:spacing w:val="-10"/>
          <w:sz w:val="18"/>
        </w:rPr>
        <w:t>I.</w:t>
      </w:r>
      <w:r w:rsidRPr="00FC5566">
        <w:rPr>
          <w:spacing w:val="-10"/>
          <w:sz w:val="18"/>
        </w:rPr>
        <w:tab/>
        <w:t>ESTIMATED IMPLEMENTATION COSTS (SAVINGS) TO STATE OR LOCAL GOVERNMENT UNITS (Summary)</w:t>
      </w:r>
    </w:p>
    <w:p w14:paraId="2EE690A8" w14:textId="77777777" w:rsidR="00FC5566" w:rsidRPr="00FC5566" w:rsidRDefault="00FC5566" w:rsidP="00FC5566">
      <w:pPr>
        <w:ind w:left="288" w:firstLine="288"/>
        <w:jc w:val="both"/>
        <w:rPr>
          <w:noProof/>
          <w:sz w:val="18"/>
        </w:rPr>
      </w:pPr>
      <w:r w:rsidRPr="00FC5566">
        <w:rPr>
          <w:noProof/>
          <w:sz w:val="18"/>
        </w:rPr>
        <w:t>It is not anticipated that state or local government units will incur any costs or savings as a result of this proposed rule.</w:t>
      </w:r>
    </w:p>
    <w:p w14:paraId="5E48585E" w14:textId="77777777" w:rsidR="00FC5566" w:rsidRPr="00FC5566" w:rsidRDefault="00FC5566" w:rsidP="00FC5566">
      <w:pPr>
        <w:ind w:left="288" w:firstLine="288"/>
        <w:jc w:val="both"/>
        <w:rPr>
          <w:noProof/>
          <w:sz w:val="18"/>
        </w:rPr>
      </w:pPr>
      <w:r w:rsidRPr="00FC5566">
        <w:rPr>
          <w:noProof/>
          <w:sz w:val="18"/>
        </w:rPr>
        <w:t xml:space="preserve">In compliance with Executive Order JML 25-38, the Louisiana Board of Private Security Examiners (Board) proposes to amend Sections 301 (Qualifications and Requirements for Security Officer Registration) and 505 (Firearm Qualifications and Requirements), and to repeal Section 603 (Final Decision and Orders) in Chapters 3 (Security Officer Registration), 5 (Training), and 6 (Criminal Background Checks) of Part LIX of Title 46 (Professional and Occupancy Standards) of the Louisiana Administrative Code. The proposed rule updates registration and firearm-related provisions by adding a provisional unarmed registration level, clarifying authorized ammunition requirements and prohibited ammunition types, and removing outdated procedural language regarding final decisions and orders of the board. Specifically, this rule: </w:t>
      </w:r>
    </w:p>
    <w:p w14:paraId="1872F81A" w14:textId="77777777" w:rsidR="00FC5566" w:rsidRPr="00FC5566" w:rsidRDefault="00FC5566" w:rsidP="00FC5566">
      <w:pPr>
        <w:numPr>
          <w:ilvl w:val="0"/>
          <w:numId w:val="31"/>
        </w:numPr>
        <w:ind w:left="720" w:hanging="450"/>
        <w:jc w:val="both"/>
        <w:rPr>
          <w:noProof/>
          <w:sz w:val="18"/>
        </w:rPr>
      </w:pPr>
      <w:r w:rsidRPr="00FC5566">
        <w:rPr>
          <w:noProof/>
          <w:sz w:val="18"/>
        </w:rPr>
        <w:t xml:space="preserve">Expands the list of registration levels to include "provisional unarmed" to distinguish temporary unarmed </w:t>
      </w:r>
      <w:r w:rsidRPr="00FC5566">
        <w:rPr>
          <w:noProof/>
          <w:sz w:val="18"/>
        </w:rPr>
        <w:t>registrations from standard unarmed and unarmed-only registrations.</w:t>
      </w:r>
    </w:p>
    <w:p w14:paraId="0DA4AAC8" w14:textId="77777777" w:rsidR="00FC5566" w:rsidRPr="00FC5566" w:rsidRDefault="00FC5566" w:rsidP="00FC5566">
      <w:pPr>
        <w:numPr>
          <w:ilvl w:val="0"/>
          <w:numId w:val="31"/>
        </w:numPr>
        <w:ind w:left="720" w:hanging="450"/>
        <w:jc w:val="both"/>
        <w:rPr>
          <w:noProof/>
          <w:sz w:val="18"/>
        </w:rPr>
      </w:pPr>
      <w:r w:rsidRPr="00FC5566">
        <w:rPr>
          <w:noProof/>
          <w:sz w:val="18"/>
        </w:rPr>
        <w:t>Clarifies all ammunition requirements by specifying that only factory-new, hollow-point ammunition may be used for handguns and rifles, that shotguns must be loaded with 00 buckshot or slug rounds, and that the use of armor-piercing or full metal jacket (FMJ) ammunition is prohibited.</w:t>
      </w:r>
    </w:p>
    <w:p w14:paraId="01386A04" w14:textId="77777777" w:rsidR="00FC5566" w:rsidRPr="00FC5566" w:rsidRDefault="00FC5566" w:rsidP="00FC5566">
      <w:pPr>
        <w:numPr>
          <w:ilvl w:val="0"/>
          <w:numId w:val="31"/>
        </w:numPr>
        <w:ind w:left="720" w:hanging="450"/>
        <w:jc w:val="both"/>
        <w:rPr>
          <w:sz w:val="18"/>
        </w:rPr>
      </w:pPr>
      <w:r w:rsidRPr="00FC5566">
        <w:rPr>
          <w:noProof/>
          <w:sz w:val="18"/>
        </w:rPr>
        <w:t>Removes</w:t>
      </w:r>
      <w:r w:rsidRPr="00FC5566">
        <w:rPr>
          <w:sz w:val="18"/>
        </w:rPr>
        <w:t xml:space="preserve"> the statement in Chapter 6 requiring all final decisions and orders of the Board to be in writing and signed by the executive secretary or chairperson.</w:t>
      </w:r>
    </w:p>
    <w:p w14:paraId="6C47C722" w14:textId="77777777" w:rsidR="00FC5566" w:rsidRPr="00FC5566" w:rsidRDefault="00FC5566" w:rsidP="00FC5566">
      <w:pPr>
        <w:ind w:left="288" w:hanging="288"/>
        <w:jc w:val="both"/>
        <w:rPr>
          <w:spacing w:val="-10"/>
          <w:sz w:val="18"/>
        </w:rPr>
      </w:pPr>
      <w:r w:rsidRPr="00FC5566">
        <w:rPr>
          <w:spacing w:val="-10"/>
          <w:sz w:val="18"/>
        </w:rPr>
        <w:t>II.</w:t>
      </w:r>
      <w:r w:rsidRPr="00FC5566">
        <w:rPr>
          <w:spacing w:val="-10"/>
          <w:sz w:val="18"/>
        </w:rPr>
        <w:tab/>
        <w:t>ESTIMATED EFFECT ON REVENUE COLLECTIONS OF STATE OR LOCAL GOVERNMENTAL UNITS (Summary)</w:t>
      </w:r>
    </w:p>
    <w:p w14:paraId="18AF5F96" w14:textId="77777777" w:rsidR="00FC5566" w:rsidRPr="00FC5566" w:rsidRDefault="00FC5566" w:rsidP="00FC5566">
      <w:pPr>
        <w:ind w:left="288" w:firstLine="288"/>
        <w:jc w:val="both"/>
        <w:rPr>
          <w:sz w:val="18"/>
        </w:rPr>
      </w:pPr>
      <w:r w:rsidRPr="00FC5566">
        <w:rPr>
          <w:sz w:val="18"/>
        </w:rPr>
        <w:t>There is no anticipated effect on revenue collections of state or local governmental units.</w:t>
      </w:r>
    </w:p>
    <w:p w14:paraId="1AF2C2A7" w14:textId="77777777" w:rsidR="00FC5566" w:rsidRPr="00FC5566" w:rsidRDefault="00FC5566" w:rsidP="00FC5566">
      <w:pPr>
        <w:ind w:left="288" w:hanging="288"/>
        <w:jc w:val="both"/>
        <w:rPr>
          <w:spacing w:val="-10"/>
          <w:sz w:val="18"/>
        </w:rPr>
      </w:pPr>
      <w:r w:rsidRPr="00FC5566">
        <w:rPr>
          <w:spacing w:val="-10"/>
          <w:sz w:val="18"/>
        </w:rPr>
        <w:t>III.</w:t>
      </w:r>
      <w:r w:rsidRPr="00FC5566">
        <w:rPr>
          <w:spacing w:val="-10"/>
          <w:sz w:val="18"/>
        </w:rPr>
        <w:tab/>
        <w:t>ESTIMATED COSTS AND/OR ECONOMIC BENEFITS TO DIRECTLY AFFECTED PERSONS, SMALL BUSINESSES, OR NONGOVERNMENTAL GROUPS (Summary)</w:t>
      </w:r>
    </w:p>
    <w:p w14:paraId="6E224D3E" w14:textId="77777777" w:rsidR="00FC5566" w:rsidRPr="00FC5566" w:rsidRDefault="00FC5566" w:rsidP="00FC5566">
      <w:pPr>
        <w:ind w:left="288" w:firstLine="288"/>
        <w:jc w:val="both"/>
        <w:rPr>
          <w:sz w:val="18"/>
        </w:rPr>
      </w:pPr>
      <w:r w:rsidRPr="00FC5566">
        <w:rPr>
          <w:sz w:val="18"/>
        </w:rPr>
        <w:t>To the extent licensed companies are not currently using the required ammunition, they may incur costs associated with acquiring compliant ammunition; however, the exact amount of such costs is indeterminable and will vary depending on the type and quantity of ammunition currently possessed by the company.</w:t>
      </w:r>
    </w:p>
    <w:p w14:paraId="34FA35CA" w14:textId="77777777" w:rsidR="00FC5566" w:rsidRPr="00FC5566" w:rsidRDefault="00FC5566" w:rsidP="00FC5566">
      <w:pPr>
        <w:ind w:left="288" w:hanging="288"/>
        <w:jc w:val="both"/>
        <w:rPr>
          <w:spacing w:val="-10"/>
          <w:sz w:val="18"/>
        </w:rPr>
      </w:pPr>
      <w:r w:rsidRPr="00FC5566">
        <w:rPr>
          <w:spacing w:val="-10"/>
          <w:sz w:val="18"/>
        </w:rPr>
        <w:t>IV.</w:t>
      </w:r>
      <w:r w:rsidRPr="00FC5566">
        <w:rPr>
          <w:spacing w:val="-10"/>
          <w:sz w:val="18"/>
        </w:rPr>
        <w:tab/>
        <w:t>ESTIMATED EFFECT ON COMPETITION AND EMPLOYMENT (Summary)</w:t>
      </w:r>
    </w:p>
    <w:p w14:paraId="7DEE605E" w14:textId="77777777" w:rsidR="00FC5566" w:rsidRPr="00FC5566" w:rsidRDefault="00FC5566" w:rsidP="00FC5566">
      <w:pPr>
        <w:ind w:left="288" w:firstLine="288"/>
        <w:jc w:val="both"/>
        <w:rPr>
          <w:sz w:val="18"/>
        </w:rPr>
      </w:pPr>
      <w:r w:rsidRPr="00FC5566">
        <w:rPr>
          <w:sz w:val="18"/>
        </w:rPr>
        <w:t>Implementation of this proposed rule is not anticipated to have an effect on competition and employment.</w:t>
      </w:r>
    </w:p>
    <w:p w14:paraId="3CF3FC1F" w14:textId="77777777" w:rsidR="00FC5566" w:rsidRPr="00FC5566" w:rsidRDefault="00FC5566" w:rsidP="00FC5566">
      <w:pPr>
        <w:ind w:left="288" w:firstLine="288"/>
        <w:jc w:val="both"/>
        <w:rPr>
          <w:sz w:val="18"/>
        </w:rPr>
      </w:pPr>
    </w:p>
    <w:p w14:paraId="771C0268" w14:textId="77777777" w:rsidR="00FC5566" w:rsidRPr="00FC5566" w:rsidRDefault="00FC5566" w:rsidP="00FC5566">
      <w:pPr>
        <w:tabs>
          <w:tab w:val="left" w:pos="2880"/>
          <w:tab w:val="decimal" w:pos="2988"/>
        </w:tabs>
        <w:outlineLvl w:val="8"/>
        <w:rPr>
          <w:kern w:val="2"/>
          <w:sz w:val="18"/>
        </w:rPr>
      </w:pPr>
      <w:r w:rsidRPr="00FC5566">
        <w:rPr>
          <w:kern w:val="2"/>
          <w:sz w:val="18"/>
        </w:rPr>
        <w:t>Carl F. Saizan, Jr.</w:t>
      </w:r>
      <w:r w:rsidRPr="00FC5566">
        <w:rPr>
          <w:kern w:val="2"/>
          <w:sz w:val="18"/>
        </w:rPr>
        <w:tab/>
        <w:t>Patrice Thomas</w:t>
      </w:r>
    </w:p>
    <w:p w14:paraId="0895451F" w14:textId="77777777" w:rsidR="00FC5566" w:rsidRPr="00FC5566" w:rsidRDefault="00FC5566" w:rsidP="00FC5566">
      <w:pPr>
        <w:tabs>
          <w:tab w:val="left" w:pos="2880"/>
          <w:tab w:val="decimal" w:pos="2988"/>
        </w:tabs>
        <w:outlineLvl w:val="8"/>
        <w:rPr>
          <w:kern w:val="2"/>
          <w:sz w:val="18"/>
        </w:rPr>
      </w:pPr>
      <w:r w:rsidRPr="00FC5566">
        <w:rPr>
          <w:kern w:val="2"/>
          <w:sz w:val="18"/>
        </w:rPr>
        <w:t>Executive Director</w:t>
      </w:r>
      <w:r w:rsidRPr="00FC5566">
        <w:rPr>
          <w:kern w:val="2"/>
          <w:sz w:val="18"/>
        </w:rPr>
        <w:tab/>
        <w:t>Deputy Fiscal Officer</w:t>
      </w:r>
    </w:p>
    <w:p w14:paraId="61897B1E" w14:textId="77777777" w:rsidR="00FC5566" w:rsidRPr="00FC5566" w:rsidRDefault="00FC5566" w:rsidP="00FC5566">
      <w:pPr>
        <w:tabs>
          <w:tab w:val="left" w:pos="2880"/>
          <w:tab w:val="decimal" w:pos="2988"/>
        </w:tabs>
        <w:outlineLvl w:val="8"/>
        <w:rPr>
          <w:kern w:val="2"/>
          <w:sz w:val="18"/>
        </w:rPr>
      </w:pPr>
      <w:r w:rsidRPr="00FC5566">
        <w:rPr>
          <w:noProof/>
          <w:sz w:val="16"/>
        </w:rPr>
        <w:t>2608#035</w:t>
      </w:r>
      <w:r w:rsidRPr="00FC5566">
        <w:rPr>
          <w:kern w:val="2"/>
        </w:rPr>
        <w:tab/>
      </w:r>
      <w:r w:rsidRPr="00FC5566">
        <w:rPr>
          <w:kern w:val="2"/>
          <w:sz w:val="18"/>
        </w:rPr>
        <w:t>Legislative Fiscal Office</w:t>
      </w:r>
    </w:p>
    <w:p w14:paraId="72452B53" w14:textId="77777777" w:rsidR="00FC5566" w:rsidRPr="00FC5566" w:rsidRDefault="00FC5566" w:rsidP="00FC5566"/>
    <w:p w14:paraId="629C11E7" w14:textId="77777777" w:rsidR="00FC5566" w:rsidRPr="00FC5566" w:rsidRDefault="00FC5566" w:rsidP="00FC5566">
      <w:pPr>
        <w:keepNext/>
        <w:tabs>
          <w:tab w:val="left" w:pos="-1440"/>
        </w:tabs>
        <w:spacing w:after="120"/>
        <w:jc w:val="center"/>
        <w:rPr>
          <w:rFonts w:eastAsia="Calibri"/>
          <w:b/>
          <w:noProof/>
        </w:rPr>
      </w:pPr>
      <w:r w:rsidRPr="00FC5566">
        <w:rPr>
          <w:rFonts w:eastAsia="Calibri"/>
          <w:b/>
          <w:noProof/>
        </w:rPr>
        <w:t>NOTICE OF INTENT</w:t>
      </w:r>
    </w:p>
    <w:p w14:paraId="1867A369" w14:textId="77777777" w:rsidR="00FC5566" w:rsidRPr="00FC5566" w:rsidRDefault="00FC5566" w:rsidP="00FC5566">
      <w:pPr>
        <w:keepNext/>
        <w:jc w:val="center"/>
        <w:rPr>
          <w:rFonts w:eastAsia="Calibri"/>
          <w:b/>
          <w:noProof/>
        </w:rPr>
      </w:pPr>
      <w:r w:rsidRPr="00FC5566">
        <w:rPr>
          <w:rFonts w:eastAsia="Calibri"/>
          <w:b/>
          <w:noProof/>
        </w:rPr>
        <w:t>Department of Public Safety and Corrections</w:t>
      </w:r>
    </w:p>
    <w:p w14:paraId="5AF4BA7A" w14:textId="77777777" w:rsidR="00FC5566" w:rsidRPr="00FC5566" w:rsidRDefault="00FC5566" w:rsidP="00FC5566">
      <w:pPr>
        <w:keepNext/>
        <w:jc w:val="center"/>
        <w:rPr>
          <w:rFonts w:eastAsia="Calibri"/>
          <w:b/>
          <w:noProof/>
        </w:rPr>
      </w:pPr>
      <w:r w:rsidRPr="00FC5566">
        <w:rPr>
          <w:rFonts w:eastAsia="Calibri"/>
          <w:b/>
          <w:noProof/>
        </w:rPr>
        <w:t>Gaming Control Board</w:t>
      </w:r>
    </w:p>
    <w:p w14:paraId="79A2B129" w14:textId="77777777" w:rsidR="00FC5566" w:rsidRPr="00FC5566" w:rsidRDefault="00FC5566" w:rsidP="00FC5566">
      <w:pPr>
        <w:keepNext/>
        <w:spacing w:before="240" w:after="240"/>
        <w:jc w:val="center"/>
        <w:rPr>
          <w:rFonts w:eastAsia="Calibri"/>
          <w:noProof/>
        </w:rPr>
      </w:pPr>
      <w:r w:rsidRPr="00FC5566">
        <w:rPr>
          <w:rFonts w:eastAsia="Calibri"/>
          <w:noProof/>
        </w:rPr>
        <w:t>Self-Exclusion (LAC 42:III.304)</w:t>
      </w:r>
    </w:p>
    <w:p w14:paraId="71735FBD"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color w:val="000000"/>
          <w:kern w:val="2"/>
        </w:rPr>
      </w:pPr>
      <w:r w:rsidRPr="00FC5566">
        <w:rPr>
          <w:rFonts w:eastAsia="Calibri"/>
          <w:kern w:val="2"/>
        </w:rPr>
        <w:t xml:space="preserve">The Department of Public Safety and Corrections, Louisiana Gaming Control Board, in accordance with R.S. 27:15, </w:t>
      </w:r>
      <w:r w:rsidRPr="00FC5566">
        <w:rPr>
          <w:rFonts w:eastAsia="Calibri"/>
        </w:rPr>
        <w:t>R.S. 27:24, and the provisions of the Administrative Procedures Act, R.S. 49:950 et seq.,</w:t>
      </w:r>
      <w:r w:rsidRPr="00FC5566">
        <w:rPr>
          <w:rFonts w:eastAsia="Calibri"/>
          <w:kern w:val="2"/>
        </w:rPr>
        <w:t xml:space="preserve"> hereby gives notice that it intends </w:t>
      </w:r>
      <w:r w:rsidRPr="00FC5566">
        <w:rPr>
          <w:rFonts w:eastAsia="Calibri"/>
        </w:rPr>
        <w:t>to amend LAC 42:III.304. The rule change allows for voluntary self-exclusion from casino gaming activities and sports wagering through entities approved by the Board and removes the requirement that a person admit to being a compulsive and/or problem gambler when requesting self-exclusion. The rule change also requires a written recommendation from a licensed mental health professional for a self-excluded person to request removal from the self-exclusion list.</w:t>
      </w:r>
    </w:p>
    <w:p w14:paraId="722CBA96" w14:textId="77777777" w:rsidR="00FC5566" w:rsidRPr="00FC5566" w:rsidRDefault="00FC5566" w:rsidP="00FC5566">
      <w:pPr>
        <w:keepNext/>
        <w:jc w:val="center"/>
        <w:rPr>
          <w:rFonts w:eastAsia="Calibri"/>
          <w:b/>
          <w:kern w:val="28"/>
        </w:rPr>
      </w:pPr>
      <w:r w:rsidRPr="00FC5566">
        <w:rPr>
          <w:rFonts w:eastAsia="Calibri"/>
          <w:b/>
          <w:kern w:val="28"/>
        </w:rPr>
        <w:t>Title 42</w:t>
      </w:r>
    </w:p>
    <w:p w14:paraId="38FF001B" w14:textId="77777777" w:rsidR="00FC5566" w:rsidRPr="00FC5566" w:rsidRDefault="00FC5566" w:rsidP="00FC5566">
      <w:pPr>
        <w:keepNext/>
        <w:jc w:val="center"/>
        <w:rPr>
          <w:rFonts w:eastAsia="Calibri"/>
          <w:b/>
          <w:kern w:val="28"/>
        </w:rPr>
      </w:pPr>
      <w:r w:rsidRPr="00FC5566">
        <w:rPr>
          <w:rFonts w:eastAsia="Calibri"/>
          <w:b/>
          <w:kern w:val="28"/>
        </w:rPr>
        <w:t>LOUISIANA GAMING</w:t>
      </w:r>
    </w:p>
    <w:p w14:paraId="29B3F024" w14:textId="77777777" w:rsidR="00FC5566" w:rsidRPr="00FC5566" w:rsidRDefault="00FC5566" w:rsidP="00FC5566">
      <w:pPr>
        <w:keepNext/>
        <w:jc w:val="center"/>
        <w:rPr>
          <w:rFonts w:eastAsia="Calibri"/>
          <w:b/>
          <w:noProof/>
        </w:rPr>
      </w:pPr>
      <w:r w:rsidRPr="00FC5566">
        <w:rPr>
          <w:rFonts w:eastAsia="Calibri"/>
          <w:b/>
          <w:noProof/>
        </w:rPr>
        <w:t>Part III.  Gaming Control Board</w:t>
      </w:r>
    </w:p>
    <w:p w14:paraId="771050DE"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rFonts w:eastAsia="Calibri"/>
          <w:b/>
          <w:kern w:val="2"/>
        </w:rPr>
      </w:pPr>
      <w:r w:rsidRPr="00FC5566">
        <w:rPr>
          <w:rFonts w:eastAsia="Calibri"/>
          <w:b/>
          <w:kern w:val="2"/>
        </w:rPr>
        <w:t>Chapter 3.</w:t>
      </w:r>
      <w:r w:rsidRPr="00FC5566">
        <w:rPr>
          <w:rFonts w:eastAsia="Calibri"/>
          <w:b/>
          <w:kern w:val="2"/>
        </w:rPr>
        <w:tab/>
        <w:t>Compulsive and Problem Gambling</w:t>
      </w:r>
    </w:p>
    <w:p w14:paraId="47FB52E7"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767" w:name="_Toc243903200"/>
      <w:bookmarkStart w:id="768" w:name="_Toc93658600"/>
      <w:r w:rsidRPr="00FC5566">
        <w:rPr>
          <w:b/>
          <w:kern w:val="2"/>
        </w:rPr>
        <w:t>§304.</w:t>
      </w:r>
      <w:r w:rsidRPr="00FC5566">
        <w:rPr>
          <w:b/>
          <w:kern w:val="2"/>
        </w:rPr>
        <w:tab/>
      </w:r>
      <w:bookmarkEnd w:id="767"/>
      <w:bookmarkEnd w:id="768"/>
      <w:r w:rsidRPr="00FC5566">
        <w:rPr>
          <w:b/>
          <w:kern w:val="2"/>
        </w:rPr>
        <w:t xml:space="preserve"> Self-Exclusion</w:t>
      </w:r>
    </w:p>
    <w:p w14:paraId="0FA8444F"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B.1.</w:t>
      </w:r>
      <w:r w:rsidRPr="00FC5566">
        <w:rPr>
          <w:kern w:val="2"/>
        </w:rPr>
        <w:tab/>
        <w:t>...</w:t>
      </w:r>
    </w:p>
    <w:p w14:paraId="45513CC0"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FC5566">
        <w:rPr>
          <w:kern w:val="2"/>
        </w:rPr>
        <w:t>* * *</w:t>
      </w:r>
    </w:p>
    <w:p w14:paraId="5894787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Request for Self-Exclusion</w:t>
      </w:r>
    </w:p>
    <w:p w14:paraId="52DEBB48"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w:t>
      </w:r>
    </w:p>
    <w:p w14:paraId="45C3A6A0"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 xml:space="preserve">Any person requesting placement on the Self-Exclusion List shall submit a completed request for self-exclusion as required in Paragraph C.4 below. The request </w:t>
      </w:r>
      <w:r w:rsidRPr="00FC5566">
        <w:rPr>
          <w:kern w:val="2"/>
        </w:rPr>
        <w:br w:type="page"/>
      </w:r>
    </w:p>
    <w:p w14:paraId="7DDC306C" w14:textId="77777777" w:rsidR="00FC5566" w:rsidRPr="00FC5566" w:rsidRDefault="00FC5566" w:rsidP="00FC5566">
      <w:pPr>
        <w:tabs>
          <w:tab w:val="left" w:pos="720"/>
          <w:tab w:val="left" w:pos="979"/>
          <w:tab w:val="left" w:pos="1152"/>
        </w:tabs>
        <w:jc w:val="both"/>
        <w:outlineLvl w:val="4"/>
        <w:rPr>
          <w:kern w:val="2"/>
        </w:rPr>
      </w:pPr>
      <w:r w:rsidRPr="00FC5566">
        <w:rPr>
          <w:kern w:val="2"/>
        </w:rPr>
        <w:lastRenderedPageBreak/>
        <w:t>shall be submitted to the division or through the board-approved platform, in the form or manner approved by the board. Any person submitting a self-exclusion request shall be required to present valid identification credentials and shall be required to have his or her photograph taken upon submission of the request.</w:t>
      </w:r>
    </w:p>
    <w:p w14:paraId="033A9972"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w:t>
      </w:r>
    </w:p>
    <w:p w14:paraId="7A1D67C7"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w:t>
      </w:r>
      <w:r w:rsidRPr="00FC5566">
        <w:rPr>
          <w:kern w:val="2"/>
        </w:rPr>
        <w:tab/>
        <w:t>A request for self-exclusion shall be in a form prescribed by the board. Such form shall include:</w:t>
      </w:r>
    </w:p>
    <w:p w14:paraId="5523346E" w14:textId="77777777" w:rsidR="00FC5566" w:rsidRPr="00FC5566" w:rsidRDefault="00FC5566" w:rsidP="00FC5566">
      <w:pPr>
        <w:tabs>
          <w:tab w:val="left" w:pos="907"/>
        </w:tabs>
        <w:ind w:firstLine="547"/>
        <w:jc w:val="both"/>
        <w:outlineLvl w:val="5"/>
        <w:rPr>
          <w:kern w:val="2"/>
        </w:rPr>
      </w:pPr>
      <w:r w:rsidRPr="00FC5566">
        <w:rPr>
          <w:kern w:val="2"/>
        </w:rPr>
        <w:t>a. - b.iv.</w:t>
      </w:r>
      <w:r w:rsidRPr="00FC5566">
        <w:rPr>
          <w:kern w:val="2"/>
        </w:rPr>
        <w:tab/>
        <w:t>...</w:t>
      </w:r>
    </w:p>
    <w:p w14:paraId="429F4989" w14:textId="77777777" w:rsidR="00FC5566" w:rsidRPr="00FC5566" w:rsidRDefault="00FC5566" w:rsidP="00FC5566">
      <w:pPr>
        <w:tabs>
          <w:tab w:val="left" w:pos="907"/>
        </w:tabs>
        <w:ind w:firstLine="547"/>
        <w:jc w:val="both"/>
        <w:outlineLvl w:val="5"/>
        <w:rPr>
          <w:kern w:val="2"/>
        </w:rPr>
      </w:pPr>
      <w:r w:rsidRPr="00FC5566">
        <w:rPr>
          <w:kern w:val="2"/>
        </w:rPr>
        <w:t>c.</w:t>
      </w:r>
      <w:r w:rsidRPr="00FC5566">
        <w:rPr>
          <w:kern w:val="2"/>
        </w:rPr>
        <w:tab/>
        <w:t>the following statement signed by the person submitting the request for self-exclusion:</w:t>
      </w:r>
    </w:p>
    <w:p w14:paraId="73D4E3FC" w14:textId="77777777" w:rsidR="00FC5566" w:rsidRPr="00FC5566" w:rsidRDefault="00FC5566" w:rsidP="00FC5566">
      <w:pPr>
        <w:ind w:left="432" w:right="432"/>
        <w:jc w:val="both"/>
        <w:rPr>
          <w:noProof/>
          <w:sz w:val="16"/>
          <w:szCs w:val="16"/>
        </w:rPr>
      </w:pPr>
      <w:r w:rsidRPr="00FC5566">
        <w:rPr>
          <w:noProof/>
          <w:sz w:val="16"/>
          <w:szCs w:val="16"/>
        </w:rPr>
        <w:t>"I understand and read the English language or have had an interpreter read and explain this form. I am voluntarily requesting exclusion from all gaming activities at or on all Louisiana casino gaming establishments (which includes sports wagering platforms) because my participation in gaming activities causes adverse risks and consequences to me. I certify that the information that I have provided above is true and accurate, and that I have read, understand, and agree to the waiver and release included with this request for self-exclusion. I am aware that my signature below authorizes the Board or the State Police to direct all Louisiana licensees, including the casino operator, casino manager, sports wagering licensee, and sports wagering platform providers, to restrict my gaming activities and access to casino gaming establishments for a minimum period of five years from the date of exclusion. During such period of time, I will not attempt to enter any casino gaming establishment or attempt to participate in gaming activity on a sports wagering platform. I further understand that my name will remain on the Self-Exclusion List until 1) I submit a written request to the Board to terminate my self-exclusion, with a written recommendation from a licensed mental health professional as to my capacity to participate in gaming activities without adverse risks or consequences; 2) a hearing is held; and 3) there is a written decision of the Board determining that there is no longer a basis for me to be maintained on the list. I am aware that I cannot request removal from the list before five years have elapsed from the date of exclusion. I am aware and agree that during any period of self-exclusion, I shall not collect in any manner or proceeding any winnings or recover any losses resulting from any gaming activity at any casino gaming establishment or on a sports wagering platform and that any money or thing of value obtained by me from, or owed to me by, the sports wagering licensee, sports wagering platform provider, casino operator, casino manager, or a licensee as a result of wagers made by me while on the Self-Exclusion List shall be withheld and remitted to the state of Louisiana."</w:t>
      </w:r>
    </w:p>
    <w:p w14:paraId="493B24DF"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C.4.d. - F.2.</w:t>
      </w:r>
      <w:r w:rsidRPr="00FC5566">
        <w:rPr>
          <w:kern w:val="2"/>
        </w:rPr>
        <w:tab/>
        <w:t>...</w:t>
      </w:r>
    </w:p>
    <w:p w14:paraId="7D024F42"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G.</w:t>
      </w:r>
      <w:r w:rsidRPr="00FC5566">
        <w:rPr>
          <w:kern w:val="2"/>
        </w:rPr>
        <w:tab/>
        <w:t>Removal from Self-Exclusion List</w:t>
      </w:r>
    </w:p>
    <w:p w14:paraId="5CA7856B"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w:t>
      </w:r>
    </w:p>
    <w:p w14:paraId="21B6502F"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The request shall include a written recommendation from a licensed mental health professional as to the self-excluded person's capacity to participate in gaming activities without adverse risks or consequences. The person seeking removal from the self-exclusion list may be required to obtain a separate and independent recommendation from a licensed mental health professional, approved by the hearing officer, as to the self-excluded person's capacity to participate in gaming activities without adverse risks or consequences.</w:t>
      </w:r>
    </w:p>
    <w:p w14:paraId="6A2EEDA5"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w:t>
      </w:r>
    </w:p>
    <w:p w14:paraId="255FB33A"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27:15 and 24.</w:t>
      </w:r>
    </w:p>
    <w:p w14:paraId="636B7B34"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rFonts w:eastAsia="Calibri"/>
          <w:kern w:val="2"/>
          <w:sz w:val="18"/>
        </w:rPr>
      </w:pPr>
      <w:r w:rsidRPr="00FC5566">
        <w:rPr>
          <w:rFonts w:eastAsia="Calibri"/>
          <w:kern w:val="2"/>
          <w:sz w:val="18"/>
        </w:rPr>
        <w:br w:type="column"/>
      </w:r>
      <w:r w:rsidRPr="00FC5566">
        <w:rPr>
          <w:rFonts w:eastAsia="Calibri"/>
          <w:kern w:val="2"/>
          <w:sz w:val="18"/>
        </w:rPr>
        <w:t>HISTORICAL NOTE:</w:t>
      </w:r>
      <w:r w:rsidRPr="00FC5566">
        <w:rPr>
          <w:rFonts w:eastAsia="Calibri"/>
          <w:kern w:val="2"/>
          <w:sz w:val="18"/>
        </w:rPr>
        <w:tab/>
        <w:t xml:space="preserve">Promulgated by the Department of Public Safety and Corrections, Gaming Control Board, LR 28:1990 (September 2002), amended LR 30:2493 (November 2004), LR 35:2199 (October 2009), </w:t>
      </w:r>
      <w:r w:rsidRPr="00FC5566">
        <w:rPr>
          <w:kern w:val="2"/>
          <w:sz w:val="18"/>
        </w:rPr>
        <w:t xml:space="preserve">LR 48:1858 (July 2022), </w:t>
      </w:r>
      <w:r w:rsidRPr="00FC5566">
        <w:rPr>
          <w:rFonts w:eastAsia="Calibri"/>
          <w:kern w:val="2"/>
          <w:sz w:val="18"/>
        </w:rPr>
        <w:t>amended LR 52:</w:t>
      </w:r>
    </w:p>
    <w:p w14:paraId="2D627081" w14:textId="77777777" w:rsidR="00FC5566" w:rsidRPr="00FC5566" w:rsidRDefault="00FC5566" w:rsidP="00FC5566">
      <w:pPr>
        <w:keepNext/>
        <w:jc w:val="center"/>
        <w:rPr>
          <w:b/>
          <w:kern w:val="28"/>
        </w:rPr>
      </w:pPr>
      <w:r w:rsidRPr="00FC5566">
        <w:rPr>
          <w:b/>
          <w:kern w:val="28"/>
        </w:rPr>
        <w:t>Family Impact Statement</w:t>
      </w:r>
    </w:p>
    <w:p w14:paraId="3482CCF2"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Pursuant to the provisions of R.S. 49:972, the Gaming Control Board, through its chairman, has considered the potential family impact of the proposed Rule.</w:t>
      </w:r>
    </w:p>
    <w:p w14:paraId="18FD2FB7"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The proposed Rule has no known impact on the following:</w:t>
      </w:r>
    </w:p>
    <w:p w14:paraId="441C441D"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the effect on stability of the family.</w:t>
      </w:r>
    </w:p>
    <w:p w14:paraId="0B6DF510"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the effect on the authority and rights of parents regarding the education and supervision of their children.</w:t>
      </w:r>
    </w:p>
    <w:p w14:paraId="145F2934"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the effect on the functioning of the family.</w:t>
      </w:r>
    </w:p>
    <w:p w14:paraId="21BC60D2"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w:t>
      </w:r>
      <w:r w:rsidRPr="00FC5566">
        <w:rPr>
          <w:kern w:val="2"/>
        </w:rPr>
        <w:tab/>
        <w:t>the effect on family earnings and family budget.</w:t>
      </w:r>
    </w:p>
    <w:p w14:paraId="52DB2337"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5.</w:t>
      </w:r>
      <w:r w:rsidRPr="00FC5566">
        <w:rPr>
          <w:kern w:val="2"/>
        </w:rPr>
        <w:tab/>
        <w:t>the effect on the behavior and personal responsibility of children.</w:t>
      </w:r>
    </w:p>
    <w:p w14:paraId="3BE2E766"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6.</w:t>
      </w:r>
      <w:r w:rsidRPr="00FC5566">
        <w:rPr>
          <w:kern w:val="2"/>
        </w:rPr>
        <w:tab/>
        <w:t>the ability of the family or a local government to perform the function as contained in the proposed rule.</w:t>
      </w:r>
    </w:p>
    <w:p w14:paraId="0AD3F58C" w14:textId="77777777" w:rsidR="00FC5566" w:rsidRPr="00FC5566" w:rsidRDefault="00FC5566" w:rsidP="00FC5566">
      <w:pPr>
        <w:keepNext/>
        <w:jc w:val="center"/>
        <w:rPr>
          <w:b/>
          <w:kern w:val="28"/>
        </w:rPr>
      </w:pPr>
      <w:r w:rsidRPr="00FC5566">
        <w:rPr>
          <w:b/>
          <w:kern w:val="28"/>
        </w:rPr>
        <w:t>Poverty Impact Statement</w:t>
      </w:r>
    </w:p>
    <w:p w14:paraId="007FA5E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Pursuant to the provisions of R.S. 49:973, the Gaming Control Board, through its chairman, has considered the potential poverty impact of the proposed Rule.</w:t>
      </w:r>
    </w:p>
    <w:p w14:paraId="3C0C183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The proposed Rule has no known impact on impact on the following:</w:t>
      </w:r>
    </w:p>
    <w:p w14:paraId="3709972D"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the effect on household income, assets, and financial security.</w:t>
      </w:r>
    </w:p>
    <w:p w14:paraId="05F96A33"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the effect on early childhood development and preschool through postsecondary education development.</w:t>
      </w:r>
    </w:p>
    <w:p w14:paraId="4C6BD9A1"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the effect on employment and workforce development.</w:t>
      </w:r>
    </w:p>
    <w:p w14:paraId="6088CAAE"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w:t>
      </w:r>
      <w:r w:rsidRPr="00FC5566">
        <w:rPr>
          <w:kern w:val="2"/>
        </w:rPr>
        <w:tab/>
        <w:t>the effect on taxes and tax credits.</w:t>
      </w:r>
    </w:p>
    <w:p w14:paraId="7AD46334"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5.</w:t>
      </w:r>
      <w:r w:rsidRPr="00FC5566">
        <w:rPr>
          <w:kern w:val="2"/>
        </w:rPr>
        <w:tab/>
        <w:t>the effect on child and dependent care, housing, health care, nutrition, transportation, and utilities assistance.</w:t>
      </w:r>
    </w:p>
    <w:p w14:paraId="40EEB49B" w14:textId="77777777" w:rsidR="00FC5566" w:rsidRPr="00FC5566" w:rsidRDefault="00FC5566" w:rsidP="00FC5566">
      <w:pPr>
        <w:keepNext/>
        <w:jc w:val="center"/>
        <w:rPr>
          <w:b/>
          <w:kern w:val="28"/>
        </w:rPr>
      </w:pPr>
      <w:r w:rsidRPr="00FC5566">
        <w:rPr>
          <w:b/>
          <w:kern w:val="28"/>
        </w:rPr>
        <w:t>Small Business Analysis</w:t>
      </w:r>
    </w:p>
    <w:p w14:paraId="20937BBF"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Pursuant to the provisions of R.S. 49:974.2-974.8, the Regulatory Flexibility Act, the Louisiana Gaming Control Board, through its chairman, has concluded that the proposed Rule is not anticipated to have an adverse impact on small business; therefore, a Small Business Impact Statement has not been prepared.</w:t>
      </w:r>
    </w:p>
    <w:p w14:paraId="54FF1545" w14:textId="77777777" w:rsidR="00FC5566" w:rsidRPr="00FC5566" w:rsidRDefault="00FC5566" w:rsidP="00FC5566">
      <w:pPr>
        <w:keepNext/>
        <w:jc w:val="center"/>
        <w:rPr>
          <w:b/>
          <w:kern w:val="28"/>
        </w:rPr>
      </w:pPr>
      <w:r w:rsidRPr="00FC5566">
        <w:rPr>
          <w:b/>
          <w:kern w:val="28"/>
        </w:rPr>
        <w:t>Provider Impact Statement</w:t>
      </w:r>
    </w:p>
    <w:p w14:paraId="58DFCB7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Pursuant to the provisions of HCR170 of 2014, the Gaming Control Board, through its chairman, has considered the potential provider impact of the proposed Rule.</w:t>
      </w:r>
    </w:p>
    <w:p w14:paraId="1C8D4E1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The proposed Rule has no known impact on impact on the following:</w:t>
      </w:r>
    </w:p>
    <w:p w14:paraId="73F9116E"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the effect on the staffing level requirements or qualifications required to provide the same level of service.</w:t>
      </w:r>
    </w:p>
    <w:p w14:paraId="351EA3B2"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the total direct and indirect effect on the costs to the provider to provide the same level of service.</w:t>
      </w:r>
    </w:p>
    <w:p w14:paraId="737AAB84" w14:textId="77777777" w:rsidR="00FC5566" w:rsidRPr="00FC5566" w:rsidRDefault="00FC5566" w:rsidP="00FC5566">
      <w:pPr>
        <w:tabs>
          <w:tab w:val="left" w:pos="720"/>
          <w:tab w:val="left" w:pos="979"/>
          <w:tab w:val="left" w:pos="1152"/>
        </w:tabs>
        <w:ind w:firstLine="360"/>
        <w:jc w:val="both"/>
        <w:outlineLvl w:val="4"/>
        <w:rPr>
          <w:kern w:val="28"/>
        </w:rPr>
      </w:pPr>
      <w:r w:rsidRPr="00FC5566">
        <w:rPr>
          <w:kern w:val="2"/>
        </w:rPr>
        <w:t>3.</w:t>
      </w:r>
      <w:r w:rsidRPr="00FC5566">
        <w:rPr>
          <w:kern w:val="2"/>
        </w:rPr>
        <w:tab/>
        <w:t>the overall effect on the ability of the provider to provide the same level of service.</w:t>
      </w:r>
    </w:p>
    <w:p w14:paraId="4412EE93" w14:textId="77777777" w:rsidR="00FC5566" w:rsidRPr="00FC5566" w:rsidRDefault="00FC5566" w:rsidP="00FC5566">
      <w:pPr>
        <w:keepNext/>
        <w:jc w:val="center"/>
        <w:rPr>
          <w:b/>
          <w:kern w:val="28"/>
        </w:rPr>
      </w:pPr>
      <w:r w:rsidRPr="00FC5566">
        <w:rPr>
          <w:b/>
          <w:kern w:val="28"/>
        </w:rPr>
        <w:t>Public Comments</w:t>
      </w:r>
    </w:p>
    <w:p w14:paraId="25574E8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Interested persons may submit written comments to Benjamin Westra, Assistant Attorney General, Louisiana Department of Justice, Gaming Division, 1885 North Third Street, Fifth Floor, Baton Rouge, LA 70802. All comments must be submitted no later than the end of business day, central time zone, of September 10, 2026.</w:t>
      </w:r>
    </w:p>
    <w:p w14:paraId="216D4633"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p w14:paraId="782AD73C" w14:textId="77777777" w:rsidR="00FC5566" w:rsidRPr="00FC5566" w:rsidRDefault="00FC5566" w:rsidP="00FC5566">
      <w:pPr>
        <w:keepNext/>
        <w:ind w:left="2160"/>
        <w:jc w:val="both"/>
      </w:pPr>
      <w:r w:rsidRPr="00FC5566">
        <w:lastRenderedPageBreak/>
        <w:t>Christopher B. Hebert</w:t>
      </w:r>
    </w:p>
    <w:p w14:paraId="1E90084B" w14:textId="77777777" w:rsidR="00FC5566" w:rsidRPr="00FC5566" w:rsidRDefault="00FC5566" w:rsidP="00FC5566">
      <w:pPr>
        <w:keepNext/>
        <w:ind w:left="2160"/>
        <w:jc w:val="both"/>
      </w:pPr>
      <w:r w:rsidRPr="00FC5566">
        <w:t>Chairman</w:t>
      </w:r>
    </w:p>
    <w:p w14:paraId="169AE384" w14:textId="77777777" w:rsidR="00FC5566" w:rsidRPr="00FC5566" w:rsidRDefault="00FC5566" w:rsidP="00FC5566">
      <w:pPr>
        <w:keepNext/>
        <w:jc w:val="center"/>
        <w:rPr>
          <w:b/>
        </w:rPr>
      </w:pPr>
    </w:p>
    <w:p w14:paraId="4F16F041" w14:textId="77777777" w:rsidR="00FC5566" w:rsidRPr="00FC5566" w:rsidRDefault="00FC5566" w:rsidP="00FC5566">
      <w:pPr>
        <w:keepNext/>
        <w:jc w:val="center"/>
        <w:rPr>
          <w:b/>
        </w:rPr>
      </w:pPr>
      <w:r w:rsidRPr="00FC5566">
        <w:rPr>
          <w:b/>
        </w:rPr>
        <w:t>FISCAL AND ECONOMIC IMPACT STATEMENT FOR ADMINISTRATIVE RULES</w:t>
      </w:r>
    </w:p>
    <w:p w14:paraId="3E0BDB62" w14:textId="77777777" w:rsidR="00FC5566" w:rsidRPr="00FC5566" w:rsidRDefault="00FC5566" w:rsidP="00FC5566">
      <w:pPr>
        <w:keepNext/>
        <w:jc w:val="center"/>
        <w:rPr>
          <w:b/>
          <w:noProof/>
        </w:rPr>
      </w:pPr>
      <w:r w:rsidRPr="00FC5566">
        <w:rPr>
          <w:b/>
          <w:noProof/>
        </w:rPr>
        <w:t>RULE TITLE:  Self-Exclusion</w:t>
      </w:r>
    </w:p>
    <w:p w14:paraId="67EC1C69"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680AD1DE" w14:textId="77777777" w:rsidR="00FC5566" w:rsidRPr="00FC5566" w:rsidRDefault="00FC5566" w:rsidP="00FC5566">
      <w:pPr>
        <w:ind w:left="288" w:hanging="288"/>
        <w:jc w:val="both"/>
        <w:rPr>
          <w:spacing w:val="-10"/>
          <w:sz w:val="18"/>
        </w:rPr>
      </w:pPr>
      <w:r w:rsidRPr="00FC5566">
        <w:rPr>
          <w:spacing w:val="-10"/>
          <w:sz w:val="18"/>
        </w:rPr>
        <w:t>I.</w:t>
      </w:r>
      <w:r w:rsidRPr="00FC5566">
        <w:rPr>
          <w:spacing w:val="-10"/>
          <w:sz w:val="18"/>
        </w:rPr>
        <w:tab/>
        <w:t>ESTIMATED IMPLEMENTATION COSTS (SAVINGS) TO STATE OR LOCAL GOVERNMENT UNITS (Summary)</w:t>
      </w:r>
    </w:p>
    <w:p w14:paraId="022216CE" w14:textId="77777777" w:rsidR="00FC5566" w:rsidRPr="00FC5566" w:rsidRDefault="00FC5566" w:rsidP="00FC5566">
      <w:pPr>
        <w:ind w:left="288" w:firstLine="288"/>
        <w:jc w:val="both"/>
        <w:rPr>
          <w:noProof/>
          <w:sz w:val="18"/>
        </w:rPr>
      </w:pPr>
      <w:r w:rsidRPr="00FC5566">
        <w:rPr>
          <w:noProof/>
          <w:sz w:val="18"/>
        </w:rPr>
        <w:t>The proposed rule is anticipated to increase expenditures for the Louisiana State Police (LSP) by $160,500 in FY 27 and $192,600 annually in FY 28 and FY 29 to create, host, and maintain a platform that allows individuals to submit requests for self-exclusion from casino gaming activities and sports wagering. Expenditures incurred by LSP will be fully reimbursed by the Department of Health (LDH), Office of Behavioral Health (OBH). Funding for these reimbursements is currently budgeted within OBH’s operating budget from statutory dedications.</w:t>
      </w:r>
    </w:p>
    <w:p w14:paraId="70D1988D" w14:textId="77777777" w:rsidR="00FC5566" w:rsidRPr="00FC5566" w:rsidRDefault="00FC5566" w:rsidP="00FC5566">
      <w:pPr>
        <w:ind w:left="288" w:firstLine="288"/>
        <w:jc w:val="both"/>
        <w:rPr>
          <w:noProof/>
          <w:sz w:val="18"/>
        </w:rPr>
      </w:pPr>
      <w:r w:rsidRPr="00FC5566">
        <w:rPr>
          <w:noProof/>
          <w:sz w:val="18"/>
        </w:rPr>
        <w:t>The Louisiana Gaming Control Board (Board) proposes to amend Section 304 (Self-Exclusion) of Chapter 3 (Compulsive and Problem Gambling) within Part III of Title 42 (Louisiana Gaming) of the Louisiana Administrative Code. Specifically, this proposed rule:</w:t>
      </w:r>
    </w:p>
    <w:p w14:paraId="33D65083" w14:textId="77777777" w:rsidR="00FC5566" w:rsidRPr="00FC5566" w:rsidRDefault="00FC5566" w:rsidP="00FC5566">
      <w:pPr>
        <w:numPr>
          <w:ilvl w:val="0"/>
          <w:numId w:val="32"/>
        </w:numPr>
        <w:ind w:left="810" w:hanging="270"/>
        <w:jc w:val="both"/>
        <w:rPr>
          <w:noProof/>
          <w:sz w:val="18"/>
        </w:rPr>
      </w:pPr>
      <w:r w:rsidRPr="00FC5566">
        <w:rPr>
          <w:noProof/>
          <w:sz w:val="18"/>
        </w:rPr>
        <w:t xml:space="preserve">Removes the requirement that self-exclusion requests be submitted in person. </w:t>
      </w:r>
    </w:p>
    <w:p w14:paraId="3FDB82BD" w14:textId="77777777" w:rsidR="00FC5566" w:rsidRPr="00FC5566" w:rsidRDefault="00FC5566" w:rsidP="00FC5566">
      <w:pPr>
        <w:numPr>
          <w:ilvl w:val="0"/>
          <w:numId w:val="32"/>
        </w:numPr>
        <w:ind w:left="810" w:hanging="270"/>
        <w:jc w:val="both"/>
        <w:rPr>
          <w:noProof/>
          <w:sz w:val="18"/>
        </w:rPr>
      </w:pPr>
      <w:r w:rsidRPr="00FC5566">
        <w:rPr>
          <w:noProof/>
          <w:sz w:val="18"/>
        </w:rPr>
        <w:t xml:space="preserve">Authorizes requests be submitted to the division or through a board-approved platform in a form or manner approved by the board. </w:t>
      </w:r>
    </w:p>
    <w:p w14:paraId="63335BA2" w14:textId="77777777" w:rsidR="00FC5566" w:rsidRPr="00FC5566" w:rsidRDefault="00FC5566" w:rsidP="00FC5566">
      <w:pPr>
        <w:numPr>
          <w:ilvl w:val="0"/>
          <w:numId w:val="32"/>
        </w:numPr>
        <w:ind w:left="810" w:hanging="270"/>
        <w:jc w:val="both"/>
        <w:rPr>
          <w:noProof/>
          <w:sz w:val="18"/>
        </w:rPr>
      </w:pPr>
      <w:r w:rsidRPr="00FC5566">
        <w:rPr>
          <w:noProof/>
          <w:sz w:val="18"/>
        </w:rPr>
        <w:t>Removes the requirement that the photograph be taken by a division agent, while retaining the requirement to submit a photograph with the request.</w:t>
      </w:r>
    </w:p>
    <w:p w14:paraId="444F40ED" w14:textId="77777777" w:rsidR="00FC5566" w:rsidRPr="00FC5566" w:rsidRDefault="00FC5566" w:rsidP="00FC5566">
      <w:pPr>
        <w:numPr>
          <w:ilvl w:val="0"/>
          <w:numId w:val="32"/>
        </w:numPr>
        <w:ind w:left="810" w:hanging="270"/>
        <w:jc w:val="both"/>
        <w:rPr>
          <w:noProof/>
          <w:sz w:val="18"/>
        </w:rPr>
      </w:pPr>
      <w:r w:rsidRPr="00FC5566">
        <w:rPr>
          <w:noProof/>
          <w:sz w:val="18"/>
        </w:rPr>
        <w:t>Revises the required self-exclusion certification by replacing the statement, "I am a compulsive and/or problem gambler," with "my participation in gaming activities causes adverse risks and consequences to me."</w:t>
      </w:r>
    </w:p>
    <w:p w14:paraId="2F7A8D3B" w14:textId="77777777" w:rsidR="00FC5566" w:rsidRPr="00FC5566" w:rsidRDefault="00FC5566" w:rsidP="00FC5566">
      <w:pPr>
        <w:numPr>
          <w:ilvl w:val="0"/>
          <w:numId w:val="32"/>
        </w:numPr>
        <w:ind w:left="810" w:hanging="270"/>
        <w:jc w:val="both"/>
        <w:rPr>
          <w:sz w:val="18"/>
        </w:rPr>
      </w:pPr>
      <w:r w:rsidRPr="00FC5566">
        <w:rPr>
          <w:sz w:val="18"/>
        </w:rPr>
        <w:t>Requires an individual seeking removal from the Self-Exclusion List to submit a written recommendation from a licensed</w:t>
      </w:r>
      <w:r w:rsidRPr="00FC5566">
        <w:rPr>
          <w:bCs/>
          <w:sz w:val="18"/>
        </w:rPr>
        <w:t xml:space="preserve"> </w:t>
      </w:r>
      <w:r w:rsidRPr="00FC5566">
        <w:rPr>
          <w:sz w:val="18"/>
        </w:rPr>
        <w:t>mental health professional, replacing the term "qualified" with "licensed" to clarify the credential required for the professional attesting to the individual's capacity to participate in gaming activities without adverse risks or consequences before the Board may consider a request for termination of self-exclusion.</w:t>
      </w:r>
    </w:p>
    <w:p w14:paraId="0B88CEB4" w14:textId="77777777" w:rsidR="00FC5566" w:rsidRPr="00FC5566" w:rsidRDefault="00FC5566" w:rsidP="00FC5566">
      <w:pPr>
        <w:ind w:left="288" w:hanging="288"/>
        <w:jc w:val="both"/>
        <w:rPr>
          <w:spacing w:val="-10"/>
          <w:sz w:val="18"/>
        </w:rPr>
      </w:pPr>
      <w:r w:rsidRPr="00FC5566">
        <w:rPr>
          <w:spacing w:val="-10"/>
          <w:sz w:val="18"/>
        </w:rPr>
        <w:t>II.</w:t>
      </w:r>
      <w:r w:rsidRPr="00FC5566">
        <w:rPr>
          <w:spacing w:val="-10"/>
          <w:sz w:val="18"/>
        </w:rPr>
        <w:tab/>
        <w:t>ESTIMATED EFFECT ON REVENUE COLLECTIONS OF STATE OR LOCAL GOVERNMENTAL UNITS (Summary)</w:t>
      </w:r>
    </w:p>
    <w:p w14:paraId="1A6E80B2" w14:textId="77777777" w:rsidR="00FC5566" w:rsidRPr="00FC5566" w:rsidRDefault="00FC5566" w:rsidP="00FC5566">
      <w:pPr>
        <w:ind w:left="288" w:firstLine="288"/>
        <w:jc w:val="both"/>
        <w:rPr>
          <w:sz w:val="18"/>
        </w:rPr>
      </w:pPr>
      <w:r w:rsidRPr="00FC5566">
        <w:rPr>
          <w:sz w:val="18"/>
        </w:rPr>
        <w:t>There is no anticipated effect on revenue collections of state or local governmental units.</w:t>
      </w:r>
    </w:p>
    <w:p w14:paraId="1C4BF413" w14:textId="77777777" w:rsidR="00FC5566" w:rsidRPr="00FC5566" w:rsidRDefault="00FC5566" w:rsidP="00FC5566">
      <w:pPr>
        <w:ind w:left="288" w:hanging="288"/>
        <w:jc w:val="both"/>
        <w:rPr>
          <w:spacing w:val="-10"/>
          <w:sz w:val="18"/>
        </w:rPr>
      </w:pPr>
      <w:r w:rsidRPr="00FC5566">
        <w:rPr>
          <w:spacing w:val="-10"/>
          <w:sz w:val="18"/>
        </w:rPr>
        <w:t>III.</w:t>
      </w:r>
      <w:r w:rsidRPr="00FC5566">
        <w:rPr>
          <w:spacing w:val="-10"/>
          <w:sz w:val="18"/>
        </w:rPr>
        <w:tab/>
        <w:t>ESTIMATED COSTS AND/OR ECONOMIC BENEFITS TO DIRECTLY AFFECTED PERSONS, SMALL BUSINESSES, OR NONGOVERNMENTAL GROUPS (Summary)</w:t>
      </w:r>
    </w:p>
    <w:p w14:paraId="28DF345A" w14:textId="77777777" w:rsidR="00FC5566" w:rsidRPr="00FC5566" w:rsidRDefault="00FC5566" w:rsidP="00FC5566">
      <w:pPr>
        <w:ind w:left="288" w:firstLine="288"/>
        <w:jc w:val="both"/>
        <w:rPr>
          <w:sz w:val="18"/>
        </w:rPr>
      </w:pPr>
      <w:r w:rsidRPr="00FC5566">
        <w:rPr>
          <w:sz w:val="18"/>
        </w:rPr>
        <w:t>There are no anticipated costs or economic benefits to directly affected persons, small businesses, ornon-governmental groups.</w:t>
      </w:r>
    </w:p>
    <w:p w14:paraId="15E8240F" w14:textId="77777777" w:rsidR="00FC5566" w:rsidRPr="00FC5566" w:rsidRDefault="00FC5566" w:rsidP="00FC5566">
      <w:pPr>
        <w:ind w:left="288" w:hanging="288"/>
        <w:jc w:val="both"/>
        <w:rPr>
          <w:spacing w:val="-10"/>
          <w:sz w:val="18"/>
        </w:rPr>
      </w:pPr>
      <w:r w:rsidRPr="00FC5566">
        <w:rPr>
          <w:spacing w:val="-10"/>
          <w:sz w:val="18"/>
        </w:rPr>
        <w:t>IV.</w:t>
      </w:r>
      <w:r w:rsidRPr="00FC5566">
        <w:rPr>
          <w:spacing w:val="-10"/>
          <w:sz w:val="18"/>
        </w:rPr>
        <w:tab/>
        <w:t>ESTIMATED EFFECT ON COMPETITION AND EMPLOYMENT (Summary)</w:t>
      </w:r>
    </w:p>
    <w:p w14:paraId="05BC123E" w14:textId="77777777" w:rsidR="00FC5566" w:rsidRPr="00FC5566" w:rsidRDefault="00FC5566" w:rsidP="00FC5566">
      <w:pPr>
        <w:ind w:left="288" w:firstLine="288"/>
        <w:jc w:val="both"/>
        <w:rPr>
          <w:sz w:val="18"/>
        </w:rPr>
      </w:pPr>
      <w:r w:rsidRPr="00FC5566">
        <w:rPr>
          <w:sz w:val="18"/>
        </w:rPr>
        <w:t>Implementation of this proposed rule is not anticipated to have an effect on competition and employment.</w:t>
      </w:r>
    </w:p>
    <w:p w14:paraId="1B14903E" w14:textId="77777777" w:rsidR="00FC5566" w:rsidRPr="00FC5566" w:rsidRDefault="00FC5566" w:rsidP="00FC5566">
      <w:pPr>
        <w:ind w:left="288" w:firstLine="288"/>
        <w:jc w:val="both"/>
        <w:rPr>
          <w:sz w:val="18"/>
        </w:rPr>
      </w:pPr>
    </w:p>
    <w:p w14:paraId="7EEE6B71" w14:textId="77777777" w:rsidR="00FC5566" w:rsidRPr="00FC5566" w:rsidRDefault="00FC5566" w:rsidP="00FC5566">
      <w:pPr>
        <w:tabs>
          <w:tab w:val="left" w:pos="2880"/>
          <w:tab w:val="decimal" w:pos="2988"/>
        </w:tabs>
        <w:outlineLvl w:val="8"/>
        <w:rPr>
          <w:kern w:val="2"/>
          <w:sz w:val="18"/>
        </w:rPr>
      </w:pPr>
      <w:r w:rsidRPr="00FC5566">
        <w:rPr>
          <w:kern w:val="2"/>
          <w:sz w:val="18"/>
        </w:rPr>
        <w:t>Christopher B. Hebert</w:t>
      </w:r>
      <w:r w:rsidRPr="00FC5566">
        <w:rPr>
          <w:kern w:val="2"/>
          <w:sz w:val="18"/>
        </w:rPr>
        <w:tab/>
        <w:t>Patrice Thomas</w:t>
      </w:r>
    </w:p>
    <w:p w14:paraId="1B9CD4D9" w14:textId="77777777" w:rsidR="00FC5566" w:rsidRPr="00FC5566" w:rsidRDefault="00FC5566" w:rsidP="00FC5566">
      <w:pPr>
        <w:tabs>
          <w:tab w:val="left" w:pos="2880"/>
          <w:tab w:val="decimal" w:pos="2988"/>
        </w:tabs>
        <w:outlineLvl w:val="8"/>
        <w:rPr>
          <w:kern w:val="2"/>
          <w:sz w:val="18"/>
        </w:rPr>
      </w:pPr>
      <w:r w:rsidRPr="00FC5566">
        <w:rPr>
          <w:kern w:val="2"/>
          <w:sz w:val="18"/>
        </w:rPr>
        <w:t>Chairman</w:t>
      </w:r>
      <w:r w:rsidRPr="00FC5566">
        <w:rPr>
          <w:kern w:val="2"/>
          <w:sz w:val="18"/>
        </w:rPr>
        <w:tab/>
        <w:t>Deputy Fiscal Officer</w:t>
      </w:r>
    </w:p>
    <w:p w14:paraId="6A9E59FA" w14:textId="77777777" w:rsidR="00FC5566" w:rsidRPr="00FC5566" w:rsidRDefault="00FC5566" w:rsidP="00FC5566">
      <w:pPr>
        <w:tabs>
          <w:tab w:val="left" w:pos="2880"/>
          <w:tab w:val="decimal" w:pos="2988"/>
        </w:tabs>
        <w:outlineLvl w:val="8"/>
        <w:rPr>
          <w:kern w:val="2"/>
          <w:sz w:val="18"/>
        </w:rPr>
      </w:pPr>
      <w:r w:rsidRPr="00FC5566">
        <w:rPr>
          <w:noProof/>
          <w:sz w:val="16"/>
        </w:rPr>
        <w:t>2608#071</w:t>
      </w:r>
      <w:r w:rsidRPr="00FC5566">
        <w:rPr>
          <w:kern w:val="2"/>
        </w:rPr>
        <w:tab/>
      </w:r>
      <w:r w:rsidRPr="00FC5566">
        <w:rPr>
          <w:kern w:val="2"/>
          <w:sz w:val="18"/>
        </w:rPr>
        <w:t>Legislative Fiscal Office</w:t>
      </w:r>
    </w:p>
    <w:p w14:paraId="57EEC128" w14:textId="77777777" w:rsidR="00FC5566" w:rsidRPr="00FC5566" w:rsidRDefault="00FC5566" w:rsidP="00FC5566">
      <w:pPr>
        <w:rPr>
          <w:noProof/>
          <w:sz w:val="16"/>
        </w:rPr>
      </w:pPr>
    </w:p>
    <w:p w14:paraId="7D75069A" w14:textId="77777777" w:rsidR="00FC5566" w:rsidRPr="00FC5566" w:rsidRDefault="00FC5566" w:rsidP="00FC5566"/>
    <w:p w14:paraId="0D8B3171" w14:textId="77777777" w:rsidR="00FC5566" w:rsidRPr="00FC5566" w:rsidRDefault="00FC5566" w:rsidP="00FC5566"/>
    <w:p w14:paraId="2FF47A51" w14:textId="77777777" w:rsidR="00FC5566" w:rsidRPr="00FC5566" w:rsidRDefault="00FC5566" w:rsidP="00FC5566">
      <w:pPr>
        <w:keepNext/>
        <w:tabs>
          <w:tab w:val="left" w:pos="-1440"/>
        </w:tabs>
        <w:spacing w:after="120"/>
        <w:jc w:val="center"/>
        <w:rPr>
          <w:rFonts w:eastAsia="Calibri"/>
          <w:b/>
          <w:noProof/>
        </w:rPr>
      </w:pPr>
      <w:r w:rsidRPr="00FC5566">
        <w:rPr>
          <w:rFonts w:eastAsia="Calibri"/>
          <w:b/>
          <w:noProof/>
        </w:rPr>
        <w:t>NOTICE OF INTENT</w:t>
      </w:r>
    </w:p>
    <w:p w14:paraId="51054D17" w14:textId="77777777" w:rsidR="00FC5566" w:rsidRPr="00FC5566" w:rsidRDefault="00FC5566" w:rsidP="00FC5566">
      <w:pPr>
        <w:keepNext/>
        <w:jc w:val="center"/>
        <w:rPr>
          <w:rFonts w:eastAsia="Calibri"/>
          <w:b/>
          <w:noProof/>
        </w:rPr>
      </w:pPr>
      <w:r w:rsidRPr="00FC5566">
        <w:rPr>
          <w:rFonts w:eastAsia="Calibri"/>
          <w:b/>
          <w:noProof/>
        </w:rPr>
        <w:t>Department of Public Safety and Corrections</w:t>
      </w:r>
    </w:p>
    <w:p w14:paraId="536B5920" w14:textId="77777777" w:rsidR="00FC5566" w:rsidRPr="00FC5566" w:rsidRDefault="00FC5566" w:rsidP="00FC5566">
      <w:pPr>
        <w:keepNext/>
        <w:jc w:val="center"/>
        <w:rPr>
          <w:rFonts w:eastAsia="Calibri"/>
          <w:b/>
          <w:noProof/>
        </w:rPr>
      </w:pPr>
      <w:r w:rsidRPr="00FC5566">
        <w:rPr>
          <w:rFonts w:eastAsia="Calibri"/>
          <w:b/>
          <w:noProof/>
        </w:rPr>
        <w:t>Office of State Fire Marshal</w:t>
      </w:r>
    </w:p>
    <w:p w14:paraId="5846FE6F" w14:textId="77777777" w:rsidR="00FC5566" w:rsidRPr="00FC5566" w:rsidRDefault="00FC5566" w:rsidP="00FC5566">
      <w:pPr>
        <w:keepNext/>
        <w:spacing w:before="240" w:after="240"/>
        <w:jc w:val="center"/>
        <w:rPr>
          <w:rFonts w:eastAsia="Calibri"/>
          <w:noProof/>
        </w:rPr>
      </w:pPr>
      <w:r w:rsidRPr="00FC5566">
        <w:rPr>
          <w:rFonts w:eastAsia="Calibri"/>
          <w:noProof/>
        </w:rPr>
        <w:t>Fire Protection (LAC 55:V.1905)</w:t>
      </w:r>
    </w:p>
    <w:p w14:paraId="369BD20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rFonts w:eastAsia="Calibri"/>
          <w:kern w:val="2"/>
        </w:rPr>
        <w:t xml:space="preserve">The Department of Public Safety and Corrections, Office of State Fire Marshal, in accordance with R.S. </w:t>
      </w:r>
      <w:r w:rsidRPr="00FC5566">
        <w:rPr>
          <w:kern w:val="2"/>
        </w:rPr>
        <w:t xml:space="preserve">40:1563, R.S. 51:650, </w:t>
      </w:r>
      <w:r w:rsidRPr="00FC5566">
        <w:rPr>
          <w:rFonts w:eastAsia="Calibri"/>
          <w:kern w:val="2"/>
        </w:rPr>
        <w:t xml:space="preserve">and </w:t>
      </w:r>
      <w:r w:rsidRPr="00FC5566">
        <w:rPr>
          <w:kern w:val="2"/>
        </w:rPr>
        <w:t>the provisions of the Administrative Procedures Act, R.S. 49:950 et seq.,</w:t>
      </w:r>
      <w:r w:rsidRPr="00FC5566">
        <w:rPr>
          <w:rFonts w:eastAsia="Calibri"/>
          <w:kern w:val="2"/>
        </w:rPr>
        <w:t xml:space="preserve"> hereby gives notice that it intends </w:t>
      </w:r>
      <w:r w:rsidRPr="00FC5566">
        <w:rPr>
          <w:kern w:val="2"/>
        </w:rPr>
        <w:t xml:space="preserve">to amend </w:t>
      </w:r>
      <w:r w:rsidRPr="00FC5566">
        <w:rPr>
          <w:color w:val="000000"/>
          <w:kern w:val="2"/>
        </w:rPr>
        <w:t xml:space="preserve">Title 55 (Public Safety), Part V, Chapter 19 (Fire Protection), Section 1905 (Retail Fireworks Sales). Specifically, this proposed Rule updates Section 1905 to </w:t>
      </w:r>
      <w:r w:rsidRPr="00FC5566">
        <w:rPr>
          <w:kern w:val="2"/>
        </w:rPr>
        <w:t>change the distance-measurement reference point from “a public roadway” to “the nearest edge of the shoulder of a public roadway,” with a fallback to the outer edge of the traveled way where no shoulder exists. The 25-foot minimum separation is unchanged.</w:t>
      </w:r>
    </w:p>
    <w:p w14:paraId="12D5FB84" w14:textId="77777777" w:rsidR="00FC5566" w:rsidRPr="00FC5566" w:rsidRDefault="00FC5566" w:rsidP="00FC5566">
      <w:pPr>
        <w:keepNext/>
        <w:jc w:val="center"/>
        <w:rPr>
          <w:rFonts w:eastAsia="Calibri"/>
          <w:b/>
          <w:kern w:val="28"/>
        </w:rPr>
      </w:pPr>
      <w:r w:rsidRPr="00FC5566">
        <w:rPr>
          <w:rFonts w:eastAsia="Calibri"/>
          <w:b/>
          <w:kern w:val="28"/>
        </w:rPr>
        <w:t>Title 55</w:t>
      </w:r>
    </w:p>
    <w:p w14:paraId="361EB2AC" w14:textId="77777777" w:rsidR="00FC5566" w:rsidRPr="00FC5566" w:rsidRDefault="00FC5566" w:rsidP="00FC5566">
      <w:pPr>
        <w:keepNext/>
        <w:jc w:val="center"/>
        <w:rPr>
          <w:rFonts w:eastAsia="Calibri"/>
          <w:b/>
          <w:kern w:val="28"/>
        </w:rPr>
      </w:pPr>
      <w:r w:rsidRPr="00FC5566">
        <w:rPr>
          <w:rFonts w:eastAsia="Calibri"/>
          <w:b/>
          <w:kern w:val="28"/>
        </w:rPr>
        <w:t>PUBLIC SAFETY</w:t>
      </w:r>
    </w:p>
    <w:p w14:paraId="52B94168" w14:textId="77777777" w:rsidR="00FC5566" w:rsidRPr="00FC5566" w:rsidRDefault="00FC5566" w:rsidP="00FC5566">
      <w:pPr>
        <w:keepNext/>
        <w:jc w:val="center"/>
        <w:rPr>
          <w:rFonts w:eastAsia="Calibri"/>
          <w:b/>
          <w:noProof/>
        </w:rPr>
      </w:pPr>
      <w:r w:rsidRPr="00FC5566">
        <w:rPr>
          <w:rFonts w:eastAsia="Calibri"/>
          <w:b/>
          <w:noProof/>
        </w:rPr>
        <w:t>Part V.  Office of State Fire Marshal</w:t>
      </w:r>
    </w:p>
    <w:p w14:paraId="280F1337"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rFonts w:eastAsia="Calibri"/>
          <w:b/>
          <w:kern w:val="2"/>
        </w:rPr>
      </w:pPr>
      <w:r w:rsidRPr="00FC5566">
        <w:rPr>
          <w:rFonts w:eastAsia="Calibri"/>
          <w:b/>
          <w:kern w:val="2"/>
        </w:rPr>
        <w:t>Chapter 19.</w:t>
      </w:r>
      <w:r w:rsidRPr="00FC5566">
        <w:rPr>
          <w:rFonts w:eastAsia="Calibri"/>
          <w:b/>
          <w:kern w:val="2"/>
        </w:rPr>
        <w:tab/>
        <w:t>Fire Protection</w:t>
      </w:r>
    </w:p>
    <w:p w14:paraId="6560F60D"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§1905.</w:t>
      </w:r>
      <w:r w:rsidRPr="00FC5566">
        <w:rPr>
          <w:b/>
          <w:kern w:val="2"/>
        </w:rPr>
        <w:tab/>
        <w:t>Retail Firework Sales</w:t>
      </w:r>
    </w:p>
    <w:p w14:paraId="53CC3F17" w14:textId="77777777" w:rsidR="00FC5566" w:rsidRPr="00FC5566" w:rsidRDefault="00FC5566" w:rsidP="00FC5566">
      <w:pPr>
        <w:tabs>
          <w:tab w:val="left" w:pos="144"/>
          <w:tab w:val="left" w:pos="187"/>
          <w:tab w:val="left" w:pos="540"/>
          <w:tab w:val="left" w:pos="990"/>
          <w:tab w:val="left" w:pos="1080"/>
        </w:tabs>
        <w:ind w:firstLine="187"/>
        <w:jc w:val="both"/>
        <w:outlineLvl w:val="3"/>
        <w:rPr>
          <w:kern w:val="2"/>
        </w:rPr>
      </w:pPr>
      <w:r w:rsidRPr="00FC5566">
        <w:rPr>
          <w:kern w:val="2"/>
        </w:rPr>
        <w:t>A. - A.5.</w:t>
      </w:r>
      <w:r w:rsidRPr="00FC5566">
        <w:rPr>
          <w:kern w:val="2"/>
        </w:rPr>
        <w:tab/>
        <w:t>…</w:t>
      </w:r>
    </w:p>
    <w:p w14:paraId="5D9D448C"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6.</w:t>
      </w:r>
      <w:r w:rsidRPr="00FC5566">
        <w:rPr>
          <w:kern w:val="2"/>
        </w:rPr>
        <w:tab/>
        <w:t>No facility for the retail sale or storage of fireworks shall be located less than 25 feet from the nearest edge of the shoulder of a public roadway, or, where no shoulder exists, from the outer edge of the traveled way.</w:t>
      </w:r>
    </w:p>
    <w:p w14:paraId="755B9DFA"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7. - 9.</w:t>
      </w:r>
      <w:r w:rsidRPr="00FC5566">
        <w:rPr>
          <w:kern w:val="2"/>
        </w:rPr>
        <w:tab/>
        <w:t>…</w:t>
      </w:r>
    </w:p>
    <w:p w14:paraId="56C867F8"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bCs/>
          <w:kern w:val="2"/>
          <w:sz w:val="18"/>
        </w:rPr>
        <w:t>AUTHORITY NOTE:</w:t>
      </w:r>
      <w:r w:rsidRPr="00FC5566">
        <w:rPr>
          <w:bCs/>
          <w:kern w:val="2"/>
          <w:sz w:val="18"/>
        </w:rPr>
        <w:tab/>
      </w:r>
      <w:r w:rsidRPr="00FC5566">
        <w:rPr>
          <w:kern w:val="2"/>
          <w:sz w:val="18"/>
        </w:rPr>
        <w:t>Promulgated in accordance with R.S. 40:1563(F) and R.S. 51:650 et seq.</w:t>
      </w:r>
    </w:p>
    <w:p w14:paraId="61498183"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bCs/>
          <w:kern w:val="2"/>
          <w:sz w:val="18"/>
        </w:rPr>
        <w:t>HISTORICAL NOTE:</w:t>
      </w:r>
      <w:r w:rsidRPr="00FC5566">
        <w:rPr>
          <w:bCs/>
          <w:kern w:val="2"/>
          <w:sz w:val="18"/>
        </w:rPr>
        <w:tab/>
      </w:r>
      <w:r w:rsidRPr="00FC5566">
        <w:rPr>
          <w:kern w:val="2"/>
          <w:sz w:val="18"/>
        </w:rPr>
        <w:t>Promulgated by the Department of Public Safety, Office of State Fire Marshal, LR 9:691 (October 1983), amended LR 45:1606 (November 2019), amended LR 52:</w:t>
      </w:r>
    </w:p>
    <w:p w14:paraId="5BFA786C" w14:textId="77777777" w:rsidR="00FC5566" w:rsidRPr="00FC5566" w:rsidRDefault="00FC5566" w:rsidP="00FC5566">
      <w:pPr>
        <w:keepNext/>
        <w:jc w:val="center"/>
        <w:rPr>
          <w:b/>
          <w:kern w:val="28"/>
        </w:rPr>
      </w:pPr>
      <w:r w:rsidRPr="00FC5566">
        <w:rPr>
          <w:b/>
          <w:kern w:val="28"/>
        </w:rPr>
        <w:t>Family Impact Statement</w:t>
      </w:r>
    </w:p>
    <w:p w14:paraId="32EAAE69"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Pursuant to the provisions of R.S. 49:972 the proposed Rule has no known impact on the following:</w:t>
      </w:r>
    </w:p>
    <w:p w14:paraId="7031D08D"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 xml:space="preserve">the effect on stability of the family. </w:t>
      </w:r>
    </w:p>
    <w:p w14:paraId="421AAC54"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 xml:space="preserve">the effect on the authority and rights of parents regarding the education and supervision of their children. </w:t>
      </w:r>
    </w:p>
    <w:p w14:paraId="1451FD24"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 xml:space="preserve">the effect on the functioning of the family. </w:t>
      </w:r>
    </w:p>
    <w:p w14:paraId="286913C3"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w:t>
      </w:r>
      <w:r w:rsidRPr="00FC5566">
        <w:rPr>
          <w:kern w:val="2"/>
        </w:rPr>
        <w:tab/>
        <w:t xml:space="preserve">the effect on family earnings and family budget. </w:t>
      </w:r>
    </w:p>
    <w:p w14:paraId="6227F6D4"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5.</w:t>
      </w:r>
      <w:r w:rsidRPr="00FC5566">
        <w:rPr>
          <w:kern w:val="2"/>
        </w:rPr>
        <w:tab/>
        <w:t xml:space="preserve">the effect on the behavior and personal responsibility of children. </w:t>
      </w:r>
    </w:p>
    <w:p w14:paraId="32351ECC"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6.</w:t>
      </w:r>
      <w:r w:rsidRPr="00FC5566">
        <w:rPr>
          <w:kern w:val="2"/>
        </w:rPr>
        <w:tab/>
        <w:t>the ability of the family or a local government to perform the function as contained in the proposed Rule.</w:t>
      </w:r>
    </w:p>
    <w:p w14:paraId="3AEB54A5" w14:textId="77777777" w:rsidR="00FC5566" w:rsidRPr="00FC5566" w:rsidRDefault="00FC5566" w:rsidP="00FC5566">
      <w:pPr>
        <w:keepNext/>
        <w:jc w:val="center"/>
        <w:rPr>
          <w:b/>
          <w:kern w:val="28"/>
        </w:rPr>
      </w:pPr>
      <w:r w:rsidRPr="00FC5566">
        <w:rPr>
          <w:b/>
          <w:kern w:val="28"/>
        </w:rPr>
        <w:t>Poverty Impact Statement</w:t>
      </w:r>
    </w:p>
    <w:p w14:paraId="711B244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Pursuant to the provisions of R.S. 49:973, the proposed Rule has no known impact on the following:</w:t>
      </w:r>
    </w:p>
    <w:p w14:paraId="394C2FBB"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 xml:space="preserve">the effect on household income, assets, and financial security. </w:t>
      </w:r>
    </w:p>
    <w:p w14:paraId="3ACFF4B9"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 xml:space="preserve">the effect on early childhood development and preschool through postsecondary education development. </w:t>
      </w:r>
    </w:p>
    <w:p w14:paraId="56EC243D"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 xml:space="preserve">the effect on employment and workforce development. </w:t>
      </w:r>
    </w:p>
    <w:p w14:paraId="3C37197E"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w:t>
      </w:r>
      <w:r w:rsidRPr="00FC5566">
        <w:rPr>
          <w:kern w:val="2"/>
        </w:rPr>
        <w:tab/>
        <w:t xml:space="preserve">the effect on taxes and tax credits. </w:t>
      </w:r>
    </w:p>
    <w:p w14:paraId="28D9CEBE"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5.</w:t>
      </w:r>
      <w:r w:rsidRPr="00FC5566">
        <w:rPr>
          <w:kern w:val="2"/>
        </w:rPr>
        <w:tab/>
        <w:t>the effect on child and dependent care, housing, health care, nutrition, transportation, and utilities assistance.</w:t>
      </w:r>
    </w:p>
    <w:p w14:paraId="46DD0BF1" w14:textId="77777777" w:rsidR="00FC5566" w:rsidRPr="00FC5566" w:rsidRDefault="00FC5566" w:rsidP="00FC5566">
      <w:pPr>
        <w:keepNext/>
        <w:jc w:val="center"/>
        <w:rPr>
          <w:b/>
          <w:kern w:val="28"/>
        </w:rPr>
      </w:pPr>
      <w:r w:rsidRPr="00FC5566">
        <w:rPr>
          <w:b/>
          <w:kern w:val="28"/>
        </w:rPr>
        <w:br w:type="page"/>
      </w:r>
    </w:p>
    <w:p w14:paraId="291FE9E1" w14:textId="77777777" w:rsidR="00FC5566" w:rsidRPr="00FC5566" w:rsidRDefault="00FC5566" w:rsidP="00FC5566">
      <w:pPr>
        <w:keepNext/>
        <w:jc w:val="center"/>
        <w:rPr>
          <w:b/>
          <w:kern w:val="28"/>
        </w:rPr>
      </w:pPr>
      <w:r w:rsidRPr="00FC5566">
        <w:rPr>
          <w:b/>
          <w:kern w:val="28"/>
        </w:rPr>
        <w:lastRenderedPageBreak/>
        <w:t>Small Business Analysis</w:t>
      </w:r>
    </w:p>
    <w:p w14:paraId="485C2199"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 xml:space="preserve">Pursuant to the provisions of R.S. 49:965.2-965.8, the Regulatory Flexibility Act, the proposed Rule is not anticipated to have an adverse impact on small business; therefore, a Small Business Impact Statement has not been prepared. </w:t>
      </w:r>
    </w:p>
    <w:p w14:paraId="1181C1A7" w14:textId="77777777" w:rsidR="00FC5566" w:rsidRPr="00FC5566" w:rsidRDefault="00FC5566" w:rsidP="00FC5566">
      <w:pPr>
        <w:keepNext/>
        <w:jc w:val="center"/>
        <w:rPr>
          <w:b/>
          <w:kern w:val="28"/>
        </w:rPr>
      </w:pPr>
      <w:r w:rsidRPr="00FC5566">
        <w:rPr>
          <w:b/>
          <w:kern w:val="28"/>
        </w:rPr>
        <w:t>Provider Impact Statement</w:t>
      </w:r>
    </w:p>
    <w:p w14:paraId="39EED9B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 xml:space="preserve">Pursuant to the provisions of HCR170 of 2014, the proposed Rule has no known impact on impact on the following: </w:t>
      </w:r>
    </w:p>
    <w:p w14:paraId="1B2233B8"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 xml:space="preserve">the effect on the staffing level requirements or qualifications required to provide the same level of service. </w:t>
      </w:r>
    </w:p>
    <w:p w14:paraId="0A26DA36"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 xml:space="preserve">the total direct and indirect effect on the costs to the provider to provide the same level of service. </w:t>
      </w:r>
    </w:p>
    <w:p w14:paraId="0F8DFE38"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the overall effect on the ability of the provider to provide the same level of service.</w:t>
      </w:r>
    </w:p>
    <w:p w14:paraId="555E7173" w14:textId="77777777" w:rsidR="00FC5566" w:rsidRPr="00FC5566" w:rsidRDefault="00FC5566" w:rsidP="00FC5566">
      <w:pPr>
        <w:keepNext/>
        <w:jc w:val="center"/>
        <w:rPr>
          <w:b/>
          <w:kern w:val="28"/>
        </w:rPr>
      </w:pPr>
      <w:r w:rsidRPr="00FC5566">
        <w:rPr>
          <w:b/>
          <w:kern w:val="28"/>
        </w:rPr>
        <w:t>Public Comments</w:t>
      </w:r>
    </w:p>
    <w:p w14:paraId="2333311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Interested persons may submit written comments to Heather Hood, Liaison Officer and Legal and Policy Strategist, Louisiana Department of Public Safety and Corrections, Office of State Police, 7919 Independence Blvd., Baton Rouge, LA 70806 or heather.hood2@la.gov. All comments must be submitted no later than the end of business day, central time zone, September 10, 2026.</w:t>
      </w:r>
    </w:p>
    <w:p w14:paraId="7DEEA01B"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p w14:paraId="468135D4" w14:textId="77777777" w:rsidR="00FC5566" w:rsidRPr="00FC5566" w:rsidRDefault="00FC5566" w:rsidP="00FC5566">
      <w:pPr>
        <w:keepNext/>
        <w:ind w:left="2160"/>
        <w:jc w:val="both"/>
      </w:pPr>
      <w:r w:rsidRPr="00FC5566">
        <w:t>Chad Sonnier</w:t>
      </w:r>
    </w:p>
    <w:p w14:paraId="65FACFF8" w14:textId="77777777" w:rsidR="00FC5566" w:rsidRPr="00FC5566" w:rsidRDefault="00FC5566" w:rsidP="00FC5566">
      <w:pPr>
        <w:keepNext/>
        <w:ind w:left="2160"/>
        <w:jc w:val="both"/>
      </w:pPr>
      <w:r w:rsidRPr="00FC5566">
        <w:t>Fire Marshal</w:t>
      </w:r>
    </w:p>
    <w:p w14:paraId="620941A5" w14:textId="77777777" w:rsidR="00FC5566" w:rsidRPr="00FC5566" w:rsidRDefault="00FC5566" w:rsidP="00FC5566">
      <w:pPr>
        <w:keepNext/>
        <w:jc w:val="center"/>
        <w:rPr>
          <w:b/>
        </w:rPr>
      </w:pPr>
    </w:p>
    <w:p w14:paraId="18284E01" w14:textId="77777777" w:rsidR="00FC5566" w:rsidRPr="00FC5566" w:rsidRDefault="00FC5566" w:rsidP="00FC5566">
      <w:pPr>
        <w:keepNext/>
        <w:jc w:val="center"/>
        <w:rPr>
          <w:b/>
        </w:rPr>
      </w:pPr>
      <w:r w:rsidRPr="00FC5566">
        <w:rPr>
          <w:b/>
        </w:rPr>
        <w:t>FISCAL AND ECONOMIC IMPACT STATEMENT FOR ADMINISTRATIVE RULES</w:t>
      </w:r>
    </w:p>
    <w:p w14:paraId="5D4547E4" w14:textId="77777777" w:rsidR="00FC5566" w:rsidRPr="00FC5566" w:rsidRDefault="00FC5566" w:rsidP="00FC5566">
      <w:pPr>
        <w:keepNext/>
        <w:jc w:val="center"/>
        <w:rPr>
          <w:b/>
          <w:noProof/>
        </w:rPr>
      </w:pPr>
      <w:r w:rsidRPr="00FC5566">
        <w:rPr>
          <w:b/>
          <w:noProof/>
        </w:rPr>
        <w:t>RULE TITLE:  Fire Protection</w:t>
      </w:r>
    </w:p>
    <w:p w14:paraId="45E3D343"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502C9E96" w14:textId="77777777" w:rsidR="00FC5566" w:rsidRPr="00FC5566" w:rsidRDefault="00FC5566" w:rsidP="00FC5566">
      <w:pPr>
        <w:ind w:left="288" w:hanging="288"/>
        <w:jc w:val="both"/>
        <w:rPr>
          <w:spacing w:val="-10"/>
          <w:sz w:val="18"/>
        </w:rPr>
      </w:pPr>
      <w:r w:rsidRPr="00FC5566">
        <w:rPr>
          <w:spacing w:val="-10"/>
          <w:sz w:val="18"/>
        </w:rPr>
        <w:t>I.</w:t>
      </w:r>
      <w:r w:rsidRPr="00FC5566">
        <w:rPr>
          <w:spacing w:val="-10"/>
          <w:sz w:val="18"/>
        </w:rPr>
        <w:tab/>
        <w:t>ESTIMATED IMPLEMENTATION COSTS (SAVINGS) TO STATE OR LOCAL GOVERNMENT UNITS (Summary)</w:t>
      </w:r>
    </w:p>
    <w:p w14:paraId="5ACCB3E3" w14:textId="77777777" w:rsidR="00FC5566" w:rsidRPr="00FC5566" w:rsidRDefault="00FC5566" w:rsidP="00FC5566">
      <w:pPr>
        <w:ind w:left="288" w:firstLine="288"/>
        <w:jc w:val="both"/>
        <w:rPr>
          <w:noProof/>
          <w:sz w:val="18"/>
        </w:rPr>
      </w:pPr>
      <w:r w:rsidRPr="00FC5566">
        <w:rPr>
          <w:noProof/>
          <w:sz w:val="18"/>
        </w:rPr>
        <w:t>It is not anticipated that state or local government units will incur any costs or savings as a result of this proposed rule.</w:t>
      </w:r>
    </w:p>
    <w:p w14:paraId="7A1DEBAB" w14:textId="77777777" w:rsidR="00FC5566" w:rsidRPr="00FC5566" w:rsidRDefault="00FC5566" w:rsidP="00FC5566">
      <w:pPr>
        <w:ind w:left="288" w:firstLine="288"/>
        <w:jc w:val="both"/>
        <w:rPr>
          <w:sz w:val="18"/>
        </w:rPr>
      </w:pPr>
      <w:r w:rsidRPr="00FC5566">
        <w:rPr>
          <w:sz w:val="18"/>
        </w:rPr>
        <w:t>The Office of State Fire Marshal (OSFM) proposes to amend Section 1905 (Retail Fireworks Sales) of Chapter 19 (Fireworks) within Part V (Fire Protection) of Title 55 (Public Safety) of the Louisiana</w:t>
      </w:r>
      <w:r w:rsidRPr="00FC5566">
        <w:rPr>
          <w:sz w:val="18"/>
        </w:rPr>
        <w:tab/>
        <w:t>Administrative Code. The proposed rule clarifies the required 25-foot setback for facilities used for the</w:t>
      </w:r>
      <w:r w:rsidRPr="00FC5566">
        <w:rPr>
          <w:sz w:val="18"/>
        </w:rPr>
        <w:tab/>
        <w:t>retail sale or storage of fireworks by measuring the distance from the nearest edge of the shoulder of a</w:t>
      </w:r>
      <w:r w:rsidRPr="00FC5566">
        <w:rPr>
          <w:sz w:val="18"/>
        </w:rPr>
        <w:tab/>
        <w:t>public roadway, or, where no shoulder exists, from the outer edge of the traveled way, rather than generally from a public roadway.</w:t>
      </w:r>
    </w:p>
    <w:p w14:paraId="68E70803" w14:textId="77777777" w:rsidR="00FC5566" w:rsidRPr="00FC5566" w:rsidRDefault="00FC5566" w:rsidP="00FC5566">
      <w:pPr>
        <w:ind w:left="288" w:hanging="288"/>
        <w:jc w:val="both"/>
        <w:rPr>
          <w:spacing w:val="-10"/>
          <w:sz w:val="18"/>
        </w:rPr>
      </w:pPr>
      <w:r w:rsidRPr="00FC5566">
        <w:rPr>
          <w:spacing w:val="-10"/>
          <w:sz w:val="18"/>
        </w:rPr>
        <w:t>II.</w:t>
      </w:r>
      <w:r w:rsidRPr="00FC5566">
        <w:rPr>
          <w:spacing w:val="-10"/>
          <w:sz w:val="18"/>
        </w:rPr>
        <w:tab/>
        <w:t>ESTIMATED EFFECT ON REVENUE COLLECTIONS OF STATE OR LOCAL GOVERNMENTAL UNITS (Summary)</w:t>
      </w:r>
    </w:p>
    <w:p w14:paraId="022B55E7" w14:textId="77777777" w:rsidR="00FC5566" w:rsidRPr="00FC5566" w:rsidRDefault="00FC5566" w:rsidP="00FC5566">
      <w:pPr>
        <w:ind w:left="288" w:firstLine="288"/>
        <w:jc w:val="both"/>
        <w:rPr>
          <w:sz w:val="18"/>
        </w:rPr>
      </w:pPr>
      <w:r w:rsidRPr="00FC5566">
        <w:rPr>
          <w:sz w:val="18"/>
        </w:rPr>
        <w:t>There is no anticipated effect on revenue collections of state or local governmental units.</w:t>
      </w:r>
    </w:p>
    <w:p w14:paraId="538B273B" w14:textId="77777777" w:rsidR="00FC5566" w:rsidRPr="00FC5566" w:rsidRDefault="00FC5566" w:rsidP="00FC5566">
      <w:pPr>
        <w:ind w:left="288" w:hanging="288"/>
        <w:jc w:val="both"/>
        <w:rPr>
          <w:spacing w:val="-10"/>
          <w:sz w:val="18"/>
        </w:rPr>
      </w:pPr>
      <w:r w:rsidRPr="00FC5566">
        <w:rPr>
          <w:spacing w:val="-10"/>
          <w:sz w:val="18"/>
        </w:rPr>
        <w:t>III.</w:t>
      </w:r>
      <w:r w:rsidRPr="00FC5566">
        <w:rPr>
          <w:spacing w:val="-10"/>
          <w:sz w:val="18"/>
        </w:rPr>
        <w:tab/>
        <w:t>ESTIMATED COSTS AND/OR ECONOMIC BENEFITS TO DIRECTLY AFFECTED PERSONS, SMALL BUSINESSES, OR NONGOVERNMENTAL GROUPS (Summary)</w:t>
      </w:r>
    </w:p>
    <w:p w14:paraId="1C6CD1A3" w14:textId="77777777" w:rsidR="00FC5566" w:rsidRPr="00FC5566" w:rsidRDefault="00FC5566" w:rsidP="00FC5566">
      <w:pPr>
        <w:ind w:left="288" w:firstLine="288"/>
        <w:jc w:val="both"/>
        <w:rPr>
          <w:sz w:val="18"/>
        </w:rPr>
      </w:pPr>
      <w:r w:rsidRPr="00FC5566">
        <w:rPr>
          <w:sz w:val="18"/>
        </w:rPr>
        <w:t>There are no anticipated costs or economic benefits to directly affected persons, small businesses, or non-governmental groups.</w:t>
      </w:r>
    </w:p>
    <w:p w14:paraId="15B32479" w14:textId="77777777" w:rsidR="00FC5566" w:rsidRPr="00FC5566" w:rsidRDefault="00FC5566" w:rsidP="00FC5566">
      <w:pPr>
        <w:ind w:left="288" w:hanging="288"/>
        <w:jc w:val="both"/>
        <w:rPr>
          <w:spacing w:val="-10"/>
          <w:sz w:val="18"/>
        </w:rPr>
      </w:pPr>
      <w:r w:rsidRPr="00FC5566">
        <w:rPr>
          <w:spacing w:val="-10"/>
          <w:sz w:val="18"/>
        </w:rPr>
        <w:t>IV.</w:t>
      </w:r>
      <w:r w:rsidRPr="00FC5566">
        <w:rPr>
          <w:spacing w:val="-10"/>
          <w:sz w:val="18"/>
        </w:rPr>
        <w:tab/>
        <w:t>ESTIMATED EFFECT ON COMPETITION AND EMPLOYMENT (Summary)</w:t>
      </w:r>
    </w:p>
    <w:p w14:paraId="148AE9A9" w14:textId="77777777" w:rsidR="00FC5566" w:rsidRPr="00FC5566" w:rsidRDefault="00FC5566" w:rsidP="00FC5566">
      <w:pPr>
        <w:ind w:left="288" w:firstLine="288"/>
        <w:jc w:val="both"/>
        <w:rPr>
          <w:sz w:val="18"/>
        </w:rPr>
      </w:pPr>
      <w:r w:rsidRPr="00FC5566">
        <w:rPr>
          <w:sz w:val="18"/>
        </w:rPr>
        <w:t>Implementation of this proposed rule is not anticipated to have an effect on competition and employment.</w:t>
      </w:r>
    </w:p>
    <w:p w14:paraId="3032B89C" w14:textId="77777777" w:rsidR="00FC5566" w:rsidRPr="00FC5566" w:rsidRDefault="00FC5566" w:rsidP="00FC5566">
      <w:pPr>
        <w:ind w:left="288" w:firstLine="288"/>
        <w:jc w:val="both"/>
        <w:rPr>
          <w:sz w:val="18"/>
        </w:rPr>
      </w:pPr>
    </w:p>
    <w:p w14:paraId="24E105B3" w14:textId="77777777" w:rsidR="00FC5566" w:rsidRPr="00FC5566" w:rsidRDefault="00FC5566" w:rsidP="00FC5566">
      <w:pPr>
        <w:tabs>
          <w:tab w:val="left" w:pos="2880"/>
          <w:tab w:val="decimal" w:pos="2988"/>
        </w:tabs>
        <w:outlineLvl w:val="8"/>
        <w:rPr>
          <w:kern w:val="2"/>
          <w:sz w:val="18"/>
        </w:rPr>
      </w:pPr>
      <w:r w:rsidRPr="00FC5566">
        <w:rPr>
          <w:kern w:val="2"/>
          <w:sz w:val="18"/>
        </w:rPr>
        <w:t>Chad P. Sonnier</w:t>
      </w:r>
      <w:r w:rsidRPr="00FC5566">
        <w:rPr>
          <w:kern w:val="2"/>
          <w:sz w:val="18"/>
        </w:rPr>
        <w:tab/>
        <w:t>Patrice Thomas</w:t>
      </w:r>
    </w:p>
    <w:p w14:paraId="67A47360" w14:textId="77777777" w:rsidR="00FC5566" w:rsidRPr="00FC5566" w:rsidRDefault="00FC5566" w:rsidP="00FC5566">
      <w:pPr>
        <w:tabs>
          <w:tab w:val="left" w:pos="2880"/>
          <w:tab w:val="decimal" w:pos="2988"/>
        </w:tabs>
        <w:outlineLvl w:val="8"/>
        <w:rPr>
          <w:kern w:val="2"/>
          <w:sz w:val="18"/>
        </w:rPr>
      </w:pPr>
      <w:r w:rsidRPr="00FC5566">
        <w:rPr>
          <w:kern w:val="2"/>
          <w:sz w:val="18"/>
        </w:rPr>
        <w:t>Fire Marshal</w:t>
      </w:r>
      <w:r w:rsidRPr="00FC5566">
        <w:rPr>
          <w:kern w:val="2"/>
          <w:sz w:val="18"/>
        </w:rPr>
        <w:tab/>
        <w:t>Deputy Fiscal Officer</w:t>
      </w:r>
    </w:p>
    <w:p w14:paraId="2AEB116D" w14:textId="77777777" w:rsidR="00FC5566" w:rsidRPr="00FC5566" w:rsidRDefault="00FC5566" w:rsidP="00FC5566">
      <w:pPr>
        <w:tabs>
          <w:tab w:val="left" w:pos="2880"/>
          <w:tab w:val="decimal" w:pos="2988"/>
        </w:tabs>
        <w:outlineLvl w:val="8"/>
        <w:rPr>
          <w:kern w:val="2"/>
          <w:sz w:val="18"/>
        </w:rPr>
      </w:pPr>
      <w:r w:rsidRPr="00FC5566">
        <w:rPr>
          <w:noProof/>
          <w:sz w:val="16"/>
        </w:rPr>
        <w:t>2608#025</w:t>
      </w:r>
      <w:r w:rsidRPr="00FC5566">
        <w:rPr>
          <w:kern w:val="2"/>
        </w:rPr>
        <w:tab/>
      </w:r>
      <w:r w:rsidRPr="00FC5566">
        <w:rPr>
          <w:kern w:val="2"/>
          <w:sz w:val="18"/>
        </w:rPr>
        <w:t>Legislative Fiscal Office</w:t>
      </w:r>
    </w:p>
    <w:p w14:paraId="17085D7D" w14:textId="77777777" w:rsidR="00FC5566" w:rsidRPr="00FC5566" w:rsidRDefault="00FC5566" w:rsidP="00FC5566"/>
    <w:p w14:paraId="36F7448D" w14:textId="77777777" w:rsidR="00FC5566" w:rsidRPr="00FC5566" w:rsidRDefault="00FC5566" w:rsidP="00FC5566">
      <w:pPr>
        <w:keepNext/>
        <w:tabs>
          <w:tab w:val="left" w:pos="-1440"/>
        </w:tabs>
        <w:spacing w:after="120"/>
        <w:jc w:val="center"/>
        <w:rPr>
          <w:b/>
          <w:noProof/>
        </w:rPr>
      </w:pPr>
      <w:r w:rsidRPr="00FC5566">
        <w:rPr>
          <w:b/>
          <w:noProof/>
        </w:rPr>
        <w:t>NOTICE OF INTENT</w:t>
      </w:r>
    </w:p>
    <w:p w14:paraId="470D9B48" w14:textId="77777777" w:rsidR="00FC5566" w:rsidRPr="00FC5566" w:rsidRDefault="00FC5566" w:rsidP="00FC5566">
      <w:pPr>
        <w:keepNext/>
        <w:jc w:val="center"/>
        <w:rPr>
          <w:b/>
          <w:noProof/>
        </w:rPr>
      </w:pPr>
      <w:r w:rsidRPr="00FC5566">
        <w:rPr>
          <w:b/>
          <w:noProof/>
        </w:rPr>
        <w:t>Department of Public Safety and Corrections</w:t>
      </w:r>
    </w:p>
    <w:p w14:paraId="700AECA0" w14:textId="77777777" w:rsidR="00FC5566" w:rsidRPr="00FC5566" w:rsidRDefault="00FC5566" w:rsidP="00FC5566">
      <w:pPr>
        <w:keepNext/>
        <w:jc w:val="center"/>
        <w:rPr>
          <w:b/>
          <w:noProof/>
        </w:rPr>
      </w:pPr>
      <w:r w:rsidRPr="00FC5566">
        <w:rPr>
          <w:b/>
          <w:noProof/>
        </w:rPr>
        <w:t>Office of State Police</w:t>
      </w:r>
    </w:p>
    <w:p w14:paraId="6E249D4C" w14:textId="77777777" w:rsidR="00FC5566" w:rsidRPr="00FC5566" w:rsidRDefault="00FC5566" w:rsidP="00FC5566">
      <w:pPr>
        <w:keepNext/>
        <w:spacing w:before="240" w:after="240"/>
        <w:jc w:val="center"/>
        <w:rPr>
          <w:noProof/>
        </w:rPr>
      </w:pPr>
      <w:r w:rsidRPr="00FC5566">
        <w:rPr>
          <w:noProof/>
        </w:rPr>
        <w:t xml:space="preserve">Costs of Photographs and Videos Pertaining to </w:t>
      </w:r>
      <w:r w:rsidRPr="00FC5566">
        <w:rPr>
          <w:noProof/>
        </w:rPr>
        <w:br/>
        <w:t>Accident Reports (LAC 55:I.901)</w:t>
      </w:r>
    </w:p>
    <w:p w14:paraId="0DB3717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The Department of Public Safety and Corrections, Office of State Police, in accordance with the provisions of the Administrative Procedure Act, R.S. 49:950 et seq., and R.S. 32:398, hereby gives notice of its intent to amend Title 55 (Public Safety) Part I (State Police), Chapter 9 (Photographs and Videos) Section 901 (</w:t>
      </w:r>
      <w:r w:rsidRPr="00FC5566">
        <w:rPr>
          <w:bCs/>
          <w:iCs/>
          <w:kern w:val="2"/>
        </w:rPr>
        <w:t>Costs of Photographs and Videos Pertaining to Accident Reports</w:t>
      </w:r>
      <w:r w:rsidRPr="00FC5566">
        <w:rPr>
          <w:kern w:val="2"/>
        </w:rPr>
        <w:t xml:space="preserve">). The proposed amendment updates Section 901 to reflect the change in the online platform through which the Office of State Police processes monetary transactions for videos pertaining to accident reports. The proposed amendment substitutes “JustFOIA” for “GovQA System” so that the rule accurately identifies the platform in current use. </w:t>
      </w:r>
    </w:p>
    <w:p w14:paraId="3814714B" w14:textId="77777777" w:rsidR="00FC5566" w:rsidRPr="00FC5566" w:rsidRDefault="00FC5566" w:rsidP="00FC5566">
      <w:pPr>
        <w:keepNext/>
        <w:jc w:val="center"/>
        <w:rPr>
          <w:b/>
          <w:kern w:val="28"/>
        </w:rPr>
      </w:pPr>
      <w:r w:rsidRPr="00FC5566">
        <w:rPr>
          <w:b/>
          <w:kern w:val="28"/>
        </w:rPr>
        <w:t>Title 55</w:t>
      </w:r>
    </w:p>
    <w:p w14:paraId="034B1148" w14:textId="77777777" w:rsidR="00FC5566" w:rsidRPr="00FC5566" w:rsidRDefault="00FC5566" w:rsidP="00FC5566">
      <w:pPr>
        <w:keepNext/>
        <w:jc w:val="center"/>
        <w:rPr>
          <w:b/>
          <w:kern w:val="28"/>
        </w:rPr>
      </w:pPr>
      <w:r w:rsidRPr="00FC5566">
        <w:rPr>
          <w:b/>
          <w:kern w:val="28"/>
        </w:rPr>
        <w:t>PUBLIC SAFETY</w:t>
      </w:r>
    </w:p>
    <w:p w14:paraId="71E2B21F" w14:textId="77777777" w:rsidR="00FC5566" w:rsidRPr="00FC5566" w:rsidRDefault="00FC5566" w:rsidP="00FC5566">
      <w:pPr>
        <w:keepNext/>
        <w:jc w:val="center"/>
        <w:rPr>
          <w:b/>
          <w:noProof/>
        </w:rPr>
      </w:pPr>
      <w:r w:rsidRPr="00FC5566">
        <w:rPr>
          <w:b/>
          <w:noProof/>
        </w:rPr>
        <w:t>Part I.  State Police</w:t>
      </w:r>
    </w:p>
    <w:p w14:paraId="20D84D98"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Chapter 9.</w:t>
      </w:r>
      <w:r w:rsidRPr="00FC5566">
        <w:rPr>
          <w:b/>
          <w:kern w:val="2"/>
        </w:rPr>
        <w:tab/>
        <w:t>Photographs and Videos</w:t>
      </w:r>
    </w:p>
    <w:p w14:paraId="25259437"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§901.</w:t>
      </w:r>
      <w:r w:rsidRPr="00FC5566">
        <w:rPr>
          <w:b/>
          <w:kern w:val="2"/>
        </w:rPr>
        <w:tab/>
        <w:t>Costs of Photographs and Videos Pertaining to Accident Reports</w:t>
      </w:r>
    </w:p>
    <w:p w14:paraId="2DB3CD3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B.1.a.</w:t>
      </w:r>
      <w:r w:rsidRPr="00FC5566">
        <w:rPr>
          <w:kern w:val="2"/>
        </w:rPr>
        <w:tab/>
        <w:t>…</w:t>
      </w:r>
    </w:p>
    <w:p w14:paraId="65D4522D"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All monetary transactions for videos pertaining to accident reports are processed through the internet via JustFOIA for Louisiana State Police requests.</w:t>
      </w:r>
    </w:p>
    <w:p w14:paraId="1D618614"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32:398(G).</w:t>
      </w:r>
    </w:p>
    <w:p w14:paraId="41617F2A"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Public Safety and Corrections, Office of State Police, LR 45:584 (April 2019), amended by the Department of Public Safety and Corrections, Office of State Police, LR 51:680 (May 2025), amended LR 52:</w:t>
      </w:r>
    </w:p>
    <w:p w14:paraId="54583630" w14:textId="77777777" w:rsidR="00FC5566" w:rsidRPr="00FC5566" w:rsidRDefault="00FC5566" w:rsidP="00FC5566">
      <w:pPr>
        <w:keepNext/>
        <w:jc w:val="center"/>
        <w:rPr>
          <w:b/>
          <w:kern w:val="28"/>
        </w:rPr>
      </w:pPr>
      <w:r w:rsidRPr="00FC5566">
        <w:rPr>
          <w:b/>
          <w:kern w:val="28"/>
        </w:rPr>
        <w:t>Family Impact Statement</w:t>
      </w:r>
    </w:p>
    <w:p w14:paraId="5723B7A9"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Pursuant to the provisions of R.S. 49:972 the proposed Rule has no known impact on the following:</w:t>
      </w:r>
    </w:p>
    <w:p w14:paraId="1049C1A3"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 xml:space="preserve">the effect on stability of the family. </w:t>
      </w:r>
    </w:p>
    <w:p w14:paraId="78964BA0"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 xml:space="preserve">the effect on the authority and rights of parents regarding the education and supervision of their children. </w:t>
      </w:r>
    </w:p>
    <w:p w14:paraId="38E028EB"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 xml:space="preserve">the effect on the functioning of the family. </w:t>
      </w:r>
    </w:p>
    <w:p w14:paraId="0A8E9983"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w:t>
      </w:r>
      <w:r w:rsidRPr="00FC5566">
        <w:rPr>
          <w:kern w:val="2"/>
        </w:rPr>
        <w:tab/>
        <w:t xml:space="preserve">the effect on family earnings and family budget. </w:t>
      </w:r>
    </w:p>
    <w:p w14:paraId="1BA3FDC6"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5.</w:t>
      </w:r>
      <w:r w:rsidRPr="00FC5566">
        <w:rPr>
          <w:kern w:val="2"/>
        </w:rPr>
        <w:tab/>
        <w:t xml:space="preserve">the effect on the behavior and personal responsibility of children. </w:t>
      </w:r>
    </w:p>
    <w:p w14:paraId="7D4B5DD5"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6.</w:t>
      </w:r>
      <w:r w:rsidRPr="00FC5566">
        <w:rPr>
          <w:kern w:val="2"/>
        </w:rPr>
        <w:tab/>
        <w:t>the ability of the family or a local government to perform the function as contained in the proposed Rule.</w:t>
      </w:r>
    </w:p>
    <w:p w14:paraId="4F5BAA77" w14:textId="77777777" w:rsidR="00FC5566" w:rsidRPr="00FC5566" w:rsidRDefault="00FC5566" w:rsidP="00FC5566">
      <w:pPr>
        <w:keepNext/>
        <w:jc w:val="center"/>
        <w:rPr>
          <w:b/>
          <w:kern w:val="28"/>
        </w:rPr>
      </w:pPr>
      <w:r w:rsidRPr="00FC5566">
        <w:rPr>
          <w:b/>
          <w:kern w:val="28"/>
        </w:rPr>
        <w:t>Poverty Impact Statement</w:t>
      </w:r>
    </w:p>
    <w:p w14:paraId="0AA77B43"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Pursuant to the provisions of R.S. 49:973, the proposed Rule has no known impact on the following:</w:t>
      </w:r>
    </w:p>
    <w:p w14:paraId="56307F9F"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 xml:space="preserve">the effect on household income, assets, and financial security. </w:t>
      </w:r>
    </w:p>
    <w:p w14:paraId="1D9CDF24"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 xml:space="preserve">the effect on early childhood development and preschool through postsecondary education development. </w:t>
      </w:r>
    </w:p>
    <w:p w14:paraId="26291C88"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 xml:space="preserve">the effect on employment and workforce development. </w:t>
      </w:r>
    </w:p>
    <w:p w14:paraId="12384694"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w:t>
      </w:r>
      <w:r w:rsidRPr="00FC5566">
        <w:rPr>
          <w:kern w:val="2"/>
        </w:rPr>
        <w:tab/>
        <w:t xml:space="preserve">the effect on taxes and tax credits. </w:t>
      </w:r>
    </w:p>
    <w:p w14:paraId="13F865F3"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5.</w:t>
      </w:r>
      <w:r w:rsidRPr="00FC5566">
        <w:rPr>
          <w:kern w:val="2"/>
        </w:rPr>
        <w:tab/>
        <w:t>the effect on child and dependent care, housing, health care, nutrition, transportation, and utilities assistance.</w:t>
      </w:r>
    </w:p>
    <w:p w14:paraId="3B6BC803" w14:textId="77777777" w:rsidR="00FC5566" w:rsidRPr="00FC5566" w:rsidRDefault="00FC5566" w:rsidP="00FC5566">
      <w:pPr>
        <w:keepNext/>
        <w:jc w:val="center"/>
        <w:rPr>
          <w:b/>
          <w:kern w:val="2"/>
        </w:rPr>
      </w:pPr>
      <w:r w:rsidRPr="00FC5566">
        <w:rPr>
          <w:b/>
          <w:kern w:val="28"/>
        </w:rPr>
        <w:lastRenderedPageBreak/>
        <w:t>Small Business Analysis</w:t>
      </w:r>
    </w:p>
    <w:p w14:paraId="30E4DF6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 xml:space="preserve">Pursuant to the provisions of R.S. 49:965.2-965.8, the Regulatory Flexibility Act, the proposed Rule is not anticipated to have an adverse impact on small business; therefore, a Small Business Impact Statement has not been prepared. </w:t>
      </w:r>
    </w:p>
    <w:p w14:paraId="575C2540" w14:textId="77777777" w:rsidR="00FC5566" w:rsidRPr="00FC5566" w:rsidRDefault="00FC5566" w:rsidP="00FC5566">
      <w:pPr>
        <w:keepNext/>
        <w:jc w:val="center"/>
        <w:rPr>
          <w:b/>
          <w:kern w:val="2"/>
        </w:rPr>
      </w:pPr>
      <w:r w:rsidRPr="00FC5566">
        <w:rPr>
          <w:b/>
          <w:kern w:val="28"/>
        </w:rPr>
        <w:t>Provider Impact Statement</w:t>
      </w:r>
    </w:p>
    <w:p w14:paraId="050DDB20"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 xml:space="preserve">Pursuant to the provisions of HCR170 of 2014, the proposed Rule has no known impact on impact on the following: </w:t>
      </w:r>
    </w:p>
    <w:p w14:paraId="7F9C0A0D"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 xml:space="preserve">the effect on the staffing level requirements or qualifications required to provide the same level of service. </w:t>
      </w:r>
    </w:p>
    <w:p w14:paraId="203A941A"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 xml:space="preserve">the total direct and indirect effect on the costs to the provider to provide the same level of service. </w:t>
      </w:r>
    </w:p>
    <w:p w14:paraId="02507B32"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the overall effect on the ability of the provider to provide the same level of service.</w:t>
      </w:r>
    </w:p>
    <w:p w14:paraId="6492E728" w14:textId="77777777" w:rsidR="00FC5566" w:rsidRPr="00FC5566" w:rsidRDefault="00FC5566" w:rsidP="00FC5566">
      <w:pPr>
        <w:keepNext/>
        <w:jc w:val="center"/>
        <w:rPr>
          <w:b/>
          <w:kern w:val="2"/>
        </w:rPr>
      </w:pPr>
      <w:r w:rsidRPr="00FC5566">
        <w:rPr>
          <w:b/>
          <w:kern w:val="28"/>
        </w:rPr>
        <w:t>Public Comments</w:t>
      </w:r>
    </w:p>
    <w:p w14:paraId="72BADA00"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Interested persons may submit written comments to Heather Hood, Liaison Officer and Legal and Policy Strategist, Louisiana Department of Public Safety and Corrections, Office of State Police, 7919 Independence Blvd., Baton Rouge, LA 70806 or heather.hood2@la.gov. All comments must be submitted no later than the end of business day, central time zone, September 10, 2026.</w:t>
      </w:r>
    </w:p>
    <w:p w14:paraId="054A1522"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p w14:paraId="061978D2" w14:textId="77777777" w:rsidR="00FC5566" w:rsidRPr="00FC5566" w:rsidRDefault="00FC5566" w:rsidP="00FC5566">
      <w:pPr>
        <w:keepNext/>
        <w:ind w:left="2160"/>
        <w:jc w:val="both"/>
      </w:pPr>
      <w:r w:rsidRPr="00FC5566">
        <w:t>Jason Hessick</w:t>
      </w:r>
    </w:p>
    <w:p w14:paraId="1A3CBDFF" w14:textId="77777777" w:rsidR="00FC5566" w:rsidRPr="00FC5566" w:rsidRDefault="00FC5566" w:rsidP="00FC5566">
      <w:pPr>
        <w:keepNext/>
        <w:ind w:left="2160"/>
        <w:jc w:val="both"/>
      </w:pPr>
      <w:r w:rsidRPr="00FC5566">
        <w:t>Assistant Secretary</w:t>
      </w:r>
    </w:p>
    <w:p w14:paraId="2751B1D6" w14:textId="77777777" w:rsidR="00FC5566" w:rsidRPr="00FC5566" w:rsidRDefault="00FC5566" w:rsidP="00FC5566">
      <w:pPr>
        <w:keepNext/>
        <w:jc w:val="center"/>
        <w:rPr>
          <w:b/>
        </w:rPr>
      </w:pPr>
    </w:p>
    <w:p w14:paraId="04201C30" w14:textId="77777777" w:rsidR="00FC5566" w:rsidRPr="00FC5566" w:rsidRDefault="00FC5566" w:rsidP="00FC5566">
      <w:pPr>
        <w:keepNext/>
        <w:jc w:val="center"/>
        <w:rPr>
          <w:b/>
        </w:rPr>
      </w:pPr>
      <w:r w:rsidRPr="00FC5566">
        <w:rPr>
          <w:b/>
        </w:rPr>
        <w:t>FISCAL AND ECONOMIC IMPACT STATEMENT FOR ADMINISTRATIVE RULES</w:t>
      </w:r>
    </w:p>
    <w:p w14:paraId="5EE60ED0" w14:textId="77777777" w:rsidR="00FC5566" w:rsidRPr="00FC5566" w:rsidRDefault="00FC5566" w:rsidP="00FC5566">
      <w:pPr>
        <w:keepNext/>
        <w:jc w:val="center"/>
        <w:rPr>
          <w:b/>
          <w:noProof/>
        </w:rPr>
      </w:pPr>
      <w:r w:rsidRPr="00FC5566">
        <w:rPr>
          <w:b/>
          <w:noProof/>
        </w:rPr>
        <w:t>RULE TITLE:  Costs of Photographs and Videos Pertaining to Accident Reports</w:t>
      </w:r>
    </w:p>
    <w:p w14:paraId="3AD3364D"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53D701A9" w14:textId="77777777" w:rsidR="00FC5566" w:rsidRPr="00FC5566" w:rsidRDefault="00FC5566" w:rsidP="00FC5566">
      <w:pPr>
        <w:ind w:left="288" w:hanging="288"/>
        <w:jc w:val="both"/>
        <w:rPr>
          <w:spacing w:val="-10"/>
          <w:sz w:val="18"/>
        </w:rPr>
      </w:pPr>
      <w:r w:rsidRPr="00FC5566">
        <w:rPr>
          <w:spacing w:val="-10"/>
          <w:sz w:val="18"/>
        </w:rPr>
        <w:t>I.</w:t>
      </w:r>
      <w:r w:rsidRPr="00FC5566">
        <w:rPr>
          <w:spacing w:val="-10"/>
          <w:sz w:val="18"/>
        </w:rPr>
        <w:tab/>
        <w:t>ESTIMATED IMPLEMENTATION COSTS (SAVINGS) TO STATE OR LOCAL GOVERNMENT UNITS (Summary)</w:t>
      </w:r>
    </w:p>
    <w:p w14:paraId="7A679A7D" w14:textId="77777777" w:rsidR="00FC5566" w:rsidRPr="00FC5566" w:rsidRDefault="00FC5566" w:rsidP="00FC5566">
      <w:pPr>
        <w:ind w:left="288" w:firstLine="288"/>
        <w:jc w:val="both"/>
        <w:rPr>
          <w:noProof/>
          <w:sz w:val="18"/>
        </w:rPr>
      </w:pPr>
      <w:r w:rsidRPr="00FC5566">
        <w:rPr>
          <w:noProof/>
          <w:sz w:val="18"/>
        </w:rPr>
        <w:t xml:space="preserve">It is not anticipated that state or local government units will incur any costs or savings as a result of this proposed rule. </w:t>
      </w:r>
    </w:p>
    <w:p w14:paraId="739EB567" w14:textId="77777777" w:rsidR="00FC5566" w:rsidRPr="00FC5566" w:rsidRDefault="00FC5566" w:rsidP="00FC5566">
      <w:pPr>
        <w:ind w:left="288" w:firstLine="288"/>
        <w:jc w:val="both"/>
        <w:rPr>
          <w:sz w:val="18"/>
        </w:rPr>
      </w:pPr>
      <w:r w:rsidRPr="00FC5566">
        <w:rPr>
          <w:sz w:val="18"/>
        </w:rPr>
        <w:t>The Department of Public Safety (DPS), Office of State Police (LSP) proposes to amend Section 901 (Costs of Photographs and Videos Pertaining to Accident Reports) of Chapter 9 (Photographs and Videos) within Part I of Title 55 (Public Safety) of the Louisiana Administrative Code. The proposed rule updates the online records request system used to process monetary transactions for videos associated with accident reports by replacing the</w:t>
      </w:r>
      <w:r w:rsidRPr="00FC5566">
        <w:rPr>
          <w:bCs/>
          <w:sz w:val="18"/>
        </w:rPr>
        <w:t xml:space="preserve"> </w:t>
      </w:r>
      <w:r w:rsidRPr="00FC5566">
        <w:rPr>
          <w:sz w:val="18"/>
        </w:rPr>
        <w:t>GovQA System</w:t>
      </w:r>
      <w:r w:rsidRPr="00FC5566">
        <w:rPr>
          <w:bCs/>
          <w:sz w:val="18"/>
        </w:rPr>
        <w:t xml:space="preserve"> </w:t>
      </w:r>
      <w:r w:rsidRPr="00FC5566">
        <w:rPr>
          <w:sz w:val="18"/>
        </w:rPr>
        <w:t>with the JustFOIA System</w:t>
      </w:r>
      <w:r w:rsidRPr="00FC5566">
        <w:rPr>
          <w:bCs/>
          <w:sz w:val="18"/>
        </w:rPr>
        <w:t>.</w:t>
      </w:r>
    </w:p>
    <w:p w14:paraId="2AA22455" w14:textId="77777777" w:rsidR="00FC5566" w:rsidRPr="00FC5566" w:rsidRDefault="00FC5566" w:rsidP="00FC5566">
      <w:pPr>
        <w:ind w:left="288" w:hanging="288"/>
        <w:jc w:val="both"/>
        <w:rPr>
          <w:spacing w:val="-10"/>
          <w:sz w:val="18"/>
        </w:rPr>
      </w:pPr>
      <w:r w:rsidRPr="00FC5566">
        <w:rPr>
          <w:spacing w:val="-10"/>
          <w:sz w:val="18"/>
        </w:rPr>
        <w:t>II.</w:t>
      </w:r>
      <w:r w:rsidRPr="00FC5566">
        <w:rPr>
          <w:spacing w:val="-10"/>
          <w:sz w:val="18"/>
        </w:rPr>
        <w:tab/>
        <w:t>ESTIMATED EFFECT ON REVENUE COLLECTIONS OF STATE OR LOCAL GOVERNMENTAL UNITS (Summary)</w:t>
      </w:r>
    </w:p>
    <w:p w14:paraId="2958AAB8" w14:textId="77777777" w:rsidR="00FC5566" w:rsidRPr="00FC5566" w:rsidRDefault="00FC5566" w:rsidP="00FC5566">
      <w:pPr>
        <w:ind w:left="288" w:firstLine="288"/>
        <w:jc w:val="both"/>
        <w:rPr>
          <w:sz w:val="18"/>
        </w:rPr>
      </w:pPr>
      <w:r w:rsidRPr="00FC5566">
        <w:rPr>
          <w:sz w:val="18"/>
        </w:rPr>
        <w:t>There is no anticipated effect on revenue collections of state or local governmental units.</w:t>
      </w:r>
    </w:p>
    <w:p w14:paraId="499A2684" w14:textId="77777777" w:rsidR="00FC5566" w:rsidRPr="00FC5566" w:rsidRDefault="00FC5566" w:rsidP="00FC5566">
      <w:pPr>
        <w:ind w:left="288" w:hanging="288"/>
        <w:jc w:val="both"/>
        <w:rPr>
          <w:spacing w:val="-10"/>
          <w:sz w:val="18"/>
        </w:rPr>
      </w:pPr>
      <w:r w:rsidRPr="00FC5566">
        <w:rPr>
          <w:spacing w:val="-10"/>
          <w:sz w:val="18"/>
        </w:rPr>
        <w:t>III.</w:t>
      </w:r>
      <w:r w:rsidRPr="00FC5566">
        <w:rPr>
          <w:spacing w:val="-10"/>
          <w:sz w:val="18"/>
        </w:rPr>
        <w:tab/>
        <w:t>ESTIMATED COSTS AND/OR ECONOMIC BENEFITS TO DIRECTLY AFFECTED PERSONS, SMALL BUSINESSES, OR NONGOVERNMENTAL GROUPS (Summary)</w:t>
      </w:r>
    </w:p>
    <w:p w14:paraId="39C46F58" w14:textId="77777777" w:rsidR="00FC5566" w:rsidRPr="00FC5566" w:rsidRDefault="00FC5566" w:rsidP="00FC5566">
      <w:pPr>
        <w:ind w:left="288" w:firstLine="288"/>
        <w:jc w:val="both"/>
        <w:rPr>
          <w:sz w:val="18"/>
        </w:rPr>
      </w:pPr>
      <w:r w:rsidRPr="00FC5566">
        <w:rPr>
          <w:sz w:val="18"/>
        </w:rPr>
        <w:t>There are no anticipated costs or economic benefits to directly affected persons, small businesses, or non-governmental groups.</w:t>
      </w:r>
    </w:p>
    <w:p w14:paraId="3FF05132" w14:textId="77777777" w:rsidR="00FC5566" w:rsidRPr="00FC5566" w:rsidRDefault="00FC5566" w:rsidP="00FC5566">
      <w:pPr>
        <w:ind w:left="288" w:hanging="288"/>
        <w:jc w:val="both"/>
        <w:rPr>
          <w:spacing w:val="-10"/>
          <w:sz w:val="18"/>
        </w:rPr>
      </w:pPr>
      <w:r w:rsidRPr="00FC5566">
        <w:rPr>
          <w:spacing w:val="-10"/>
          <w:sz w:val="18"/>
        </w:rPr>
        <w:t>IV.</w:t>
      </w:r>
      <w:r w:rsidRPr="00FC5566">
        <w:rPr>
          <w:spacing w:val="-10"/>
          <w:sz w:val="18"/>
        </w:rPr>
        <w:tab/>
        <w:t>ESTIMATED EFFECT ON COMPETITION AND EMPLOYMENT (Summary)</w:t>
      </w:r>
    </w:p>
    <w:p w14:paraId="0167B6EC" w14:textId="77777777" w:rsidR="00FC5566" w:rsidRPr="00FC5566" w:rsidRDefault="00FC5566" w:rsidP="00FC5566">
      <w:pPr>
        <w:ind w:left="288" w:firstLine="288"/>
        <w:jc w:val="both"/>
        <w:rPr>
          <w:sz w:val="18"/>
        </w:rPr>
      </w:pPr>
      <w:r w:rsidRPr="00FC5566">
        <w:rPr>
          <w:sz w:val="18"/>
        </w:rPr>
        <w:t>Implementation of this proposed rule is not anticipated to have an effect on competition and employment.</w:t>
      </w:r>
    </w:p>
    <w:p w14:paraId="02E1215A" w14:textId="77777777" w:rsidR="00FC5566" w:rsidRPr="00FC5566" w:rsidRDefault="00FC5566" w:rsidP="00FC5566">
      <w:pPr>
        <w:ind w:left="288" w:firstLine="288"/>
        <w:jc w:val="both"/>
        <w:rPr>
          <w:sz w:val="18"/>
        </w:rPr>
      </w:pPr>
    </w:p>
    <w:p w14:paraId="11C93438" w14:textId="77777777" w:rsidR="00FC5566" w:rsidRPr="00FC5566" w:rsidRDefault="00FC5566" w:rsidP="00FC5566">
      <w:pPr>
        <w:tabs>
          <w:tab w:val="left" w:pos="2880"/>
          <w:tab w:val="decimal" w:pos="2988"/>
        </w:tabs>
        <w:outlineLvl w:val="8"/>
        <w:rPr>
          <w:kern w:val="2"/>
          <w:sz w:val="18"/>
        </w:rPr>
      </w:pPr>
      <w:r w:rsidRPr="00FC5566">
        <w:rPr>
          <w:kern w:val="2"/>
          <w:sz w:val="18"/>
        </w:rPr>
        <w:t>Jason Hessick</w:t>
      </w:r>
      <w:r w:rsidRPr="00FC5566">
        <w:rPr>
          <w:kern w:val="2"/>
          <w:sz w:val="18"/>
        </w:rPr>
        <w:tab/>
        <w:t>Patrice Thomas</w:t>
      </w:r>
    </w:p>
    <w:p w14:paraId="6EE501FF" w14:textId="77777777" w:rsidR="00FC5566" w:rsidRPr="00FC5566" w:rsidRDefault="00FC5566" w:rsidP="00FC5566">
      <w:pPr>
        <w:tabs>
          <w:tab w:val="left" w:pos="2880"/>
          <w:tab w:val="decimal" w:pos="2988"/>
        </w:tabs>
        <w:outlineLvl w:val="8"/>
        <w:rPr>
          <w:kern w:val="2"/>
          <w:sz w:val="18"/>
        </w:rPr>
      </w:pPr>
      <w:r w:rsidRPr="00FC5566">
        <w:rPr>
          <w:kern w:val="2"/>
          <w:sz w:val="18"/>
        </w:rPr>
        <w:t>Assistant Secretary</w:t>
      </w:r>
      <w:r w:rsidRPr="00FC5566">
        <w:rPr>
          <w:kern w:val="2"/>
          <w:sz w:val="18"/>
        </w:rPr>
        <w:tab/>
        <w:t>Deputy Fiscal Officer</w:t>
      </w:r>
    </w:p>
    <w:p w14:paraId="628A8749" w14:textId="77777777" w:rsidR="00FC5566" w:rsidRPr="00FC5566" w:rsidRDefault="00FC5566" w:rsidP="00FC5566">
      <w:pPr>
        <w:tabs>
          <w:tab w:val="left" w:pos="2880"/>
          <w:tab w:val="decimal" w:pos="2988"/>
        </w:tabs>
        <w:outlineLvl w:val="8"/>
        <w:rPr>
          <w:kern w:val="2"/>
          <w:sz w:val="18"/>
        </w:rPr>
      </w:pPr>
      <w:r w:rsidRPr="00FC5566">
        <w:rPr>
          <w:noProof/>
          <w:sz w:val="16"/>
        </w:rPr>
        <w:t>2608#026</w:t>
      </w:r>
      <w:r w:rsidRPr="00FC5566">
        <w:rPr>
          <w:kern w:val="2"/>
        </w:rPr>
        <w:tab/>
      </w:r>
      <w:r w:rsidRPr="00FC5566">
        <w:rPr>
          <w:kern w:val="2"/>
          <w:sz w:val="18"/>
        </w:rPr>
        <w:t>Legislative Fiscal Office</w:t>
      </w:r>
    </w:p>
    <w:p w14:paraId="7774F679" w14:textId="77777777" w:rsidR="00FC5566" w:rsidRPr="00FC5566" w:rsidRDefault="00FC5566" w:rsidP="00FC5566">
      <w:pPr>
        <w:rPr>
          <w:noProof/>
          <w:sz w:val="16"/>
        </w:rPr>
      </w:pPr>
    </w:p>
    <w:p w14:paraId="5D2082EE" w14:textId="77777777" w:rsidR="00FC5566" w:rsidRPr="00FC5566" w:rsidRDefault="00FC5566" w:rsidP="00FC5566"/>
    <w:p w14:paraId="434BD1C8" w14:textId="77777777" w:rsidR="00FC5566" w:rsidRPr="00FC5566" w:rsidRDefault="00FC5566" w:rsidP="00FC5566">
      <w:pPr>
        <w:keepNext/>
        <w:tabs>
          <w:tab w:val="left" w:pos="-1440"/>
        </w:tabs>
        <w:spacing w:after="120"/>
        <w:jc w:val="center"/>
        <w:rPr>
          <w:b/>
          <w:noProof/>
        </w:rPr>
      </w:pPr>
      <w:r w:rsidRPr="00FC5566">
        <w:rPr>
          <w:b/>
          <w:noProof/>
        </w:rPr>
        <w:t>NOTICE OF INTENT</w:t>
      </w:r>
    </w:p>
    <w:p w14:paraId="4EBBC005" w14:textId="77777777" w:rsidR="00FC5566" w:rsidRPr="00FC5566" w:rsidRDefault="00FC5566" w:rsidP="00FC5566">
      <w:pPr>
        <w:keepNext/>
        <w:jc w:val="center"/>
        <w:rPr>
          <w:b/>
          <w:noProof/>
        </w:rPr>
      </w:pPr>
      <w:r w:rsidRPr="00FC5566">
        <w:rPr>
          <w:b/>
          <w:noProof/>
        </w:rPr>
        <w:t>Department of Wildlife and Fisheries</w:t>
      </w:r>
    </w:p>
    <w:p w14:paraId="13C25BE8" w14:textId="77777777" w:rsidR="00FC5566" w:rsidRPr="00FC5566" w:rsidRDefault="00FC5566" w:rsidP="00FC5566">
      <w:pPr>
        <w:keepNext/>
        <w:jc w:val="center"/>
        <w:rPr>
          <w:b/>
          <w:noProof/>
        </w:rPr>
      </w:pPr>
      <w:r w:rsidRPr="00FC5566">
        <w:rPr>
          <w:b/>
          <w:noProof/>
        </w:rPr>
        <w:t>Wildlife and Fisheries Commission</w:t>
      </w:r>
    </w:p>
    <w:p w14:paraId="224C8FD3" w14:textId="77777777" w:rsidR="00FC5566" w:rsidRPr="00FC5566" w:rsidRDefault="00FC5566" w:rsidP="00FC5566">
      <w:pPr>
        <w:keepNext/>
        <w:spacing w:before="240" w:after="240"/>
        <w:jc w:val="center"/>
        <w:rPr>
          <w:noProof/>
          <w:sz w:val="24"/>
          <w:szCs w:val="24"/>
        </w:rPr>
      </w:pPr>
      <w:r w:rsidRPr="00FC5566">
        <w:rPr>
          <w:noProof/>
        </w:rPr>
        <w:t>Conservation Incentive Program (LAC 76:I.Chapter 11)</w:t>
      </w:r>
    </w:p>
    <w:p w14:paraId="6E36627F"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 xml:space="preserve">The Wildlife and Fisheries Commission does hereby give notice of intent to adopt rules governing implementation of the Louisiana Conservation Incentive Program. This proposed Rule is promulgated in accordance with the provisions of the Administrative Procedure Act, R.S. 49:950 et seq., and pursuant to R.S. 56:1938.2(C), which directs the department to promulgate and adopt rules necessary to implement the program, including procedures for applying for the program and detailed criteria used to evaluate and select projects to receive funding. </w:t>
      </w:r>
    </w:p>
    <w:p w14:paraId="376DA1F7"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Act No. 87 of the 2025 Regular Session of the Louisiana Legislature (R.S. 56:1938.1 et seq.) established the Louisiana Conservation Incentive Program within the Department of Wildlife and Fisheries for the purpose of assisting private landowners to enhance wildlife habitat and to manage native species on private lands. This proposed Rule establishes application procedures, project selection criteria, and other administrative regulations governing the program.</w:t>
      </w:r>
    </w:p>
    <w:p w14:paraId="03EB561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The secretary of the Department of Wildlife and Fisheries is authorized to take any and all necessary steps on behalf of the commission to promulgate and effectuate this Notice of Intent, including but not limited to, the filing of the Fiscal and Economic Impact Statement, the filing of the Notice of Intent and compiling public comments and submissions for the commission’s review and consideration. In the absence of any further action by the commission, following an opportunity to consider all public comments regarding the proposed Rule, the secretary is authorized and directed to prepare and transmit a summary report to the legislative oversight committees and file the final Rule.</w:t>
      </w:r>
    </w:p>
    <w:p w14:paraId="7651EC78" w14:textId="77777777" w:rsidR="00FC5566" w:rsidRPr="00FC5566" w:rsidRDefault="00FC5566" w:rsidP="00FC5566">
      <w:pPr>
        <w:keepNext/>
        <w:jc w:val="center"/>
        <w:rPr>
          <w:b/>
          <w:kern w:val="28"/>
        </w:rPr>
      </w:pPr>
      <w:r w:rsidRPr="00FC5566">
        <w:rPr>
          <w:b/>
          <w:kern w:val="28"/>
        </w:rPr>
        <w:t>Title 76</w:t>
      </w:r>
    </w:p>
    <w:p w14:paraId="3FE9A211" w14:textId="77777777" w:rsidR="00FC5566" w:rsidRPr="00FC5566" w:rsidRDefault="00FC5566" w:rsidP="00FC5566">
      <w:pPr>
        <w:keepNext/>
        <w:jc w:val="center"/>
        <w:rPr>
          <w:b/>
          <w:kern w:val="28"/>
        </w:rPr>
      </w:pPr>
      <w:r w:rsidRPr="00FC5566">
        <w:rPr>
          <w:b/>
          <w:kern w:val="28"/>
        </w:rPr>
        <w:t>WILDLIFE AND FISHERIES</w:t>
      </w:r>
    </w:p>
    <w:p w14:paraId="00FB445D" w14:textId="77777777" w:rsidR="00FC5566" w:rsidRPr="00FC5566" w:rsidRDefault="00FC5566" w:rsidP="00FC5566">
      <w:pPr>
        <w:keepNext/>
        <w:jc w:val="center"/>
        <w:rPr>
          <w:b/>
          <w:noProof/>
        </w:rPr>
      </w:pPr>
      <w:r w:rsidRPr="00FC5566">
        <w:rPr>
          <w:b/>
          <w:noProof/>
        </w:rPr>
        <w:t>Part I.  Wildlife and Fisheries Commission and Agencies Thereunder</w:t>
      </w:r>
    </w:p>
    <w:p w14:paraId="427A63A0"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Chapter 11.</w:t>
      </w:r>
      <w:r w:rsidRPr="00FC5566">
        <w:rPr>
          <w:b/>
          <w:kern w:val="2"/>
        </w:rPr>
        <w:tab/>
        <w:t>Conservation Incentive Program</w:t>
      </w:r>
    </w:p>
    <w:p w14:paraId="6C4CC1AC"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§1101.</w:t>
      </w:r>
      <w:r w:rsidRPr="00FC5566">
        <w:rPr>
          <w:b/>
          <w:kern w:val="2"/>
        </w:rPr>
        <w:tab/>
        <w:t>Program Overview</w:t>
      </w:r>
    </w:p>
    <w:p w14:paraId="57AED2E7"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 xml:space="preserve">The purpose of this program is to provide funding for outdoor conservation projects in the state of Louisiana. The program seeks to address private landowner wildlife habitat concerns and improve wildlife habitat on eligible properties. The Louisiana Conservation Incentive Program (“Program”) is established within the Louisiana Department of Wildlife and Fisheries (“LDWF”). </w:t>
      </w:r>
    </w:p>
    <w:p w14:paraId="68DDC5A7"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 xml:space="preserve">The program’s Selection Board, comprised of, but not limited to, LDWF biologists and coordinators, shall govern the Program and make all final determinations regarding the selection of projects for funding under the program. </w:t>
      </w:r>
    </w:p>
    <w:p w14:paraId="1EF47A6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 xml:space="preserve">Appropriations and/or grants shall fund the administration and the issuance of payments under the program. Once projects are selected, all correspondence, reimbursements, and reporting will be coordinated through LDWF. The Department of Wildlife and Fisheries shall be responsible for administrative implementation of the </w:t>
      </w:r>
      <w:r w:rsidRPr="00FC5566">
        <w:rPr>
          <w:kern w:val="2"/>
        </w:rPr>
        <w:br w:type="page"/>
      </w:r>
    </w:p>
    <w:p w14:paraId="24096A83" w14:textId="77777777" w:rsidR="00FC5566" w:rsidRPr="00FC5566" w:rsidRDefault="00FC5566" w:rsidP="00FC5566">
      <w:pPr>
        <w:tabs>
          <w:tab w:val="left" w:pos="144"/>
          <w:tab w:val="left" w:pos="187"/>
          <w:tab w:val="left" w:pos="540"/>
          <w:tab w:val="left" w:pos="907"/>
          <w:tab w:val="left" w:pos="1080"/>
        </w:tabs>
        <w:jc w:val="both"/>
        <w:outlineLvl w:val="3"/>
        <w:rPr>
          <w:kern w:val="2"/>
        </w:rPr>
      </w:pPr>
      <w:r w:rsidRPr="00FC5566">
        <w:rPr>
          <w:kern w:val="2"/>
        </w:rPr>
        <w:lastRenderedPageBreak/>
        <w:t xml:space="preserve">program, including correspondence with prospective and selected applicants, disbursement of funds, performance monitoring, and may charge direct administrative costs incurred associated with the program to the applicable grant. </w:t>
      </w:r>
    </w:p>
    <w:p w14:paraId="1847DEF0"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D.</w:t>
      </w:r>
      <w:r w:rsidRPr="00FC5566">
        <w:rPr>
          <w:kern w:val="2"/>
        </w:rPr>
        <w:tab/>
        <w:t xml:space="preserve">The program funds the landowner or lessees by way of a reimbursement payment upon the completion of practices within each project. The amount of reimbursement for each practice will be established by applicable payment schedules. LDWF will establish payment schedules, which may reference Natural Resources Conservation Service (NRCS) payment schedules and conservation practices as a benchmark. </w:t>
      </w:r>
    </w:p>
    <w:p w14:paraId="18404B4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E.</w:t>
      </w:r>
      <w:r w:rsidRPr="00FC5566">
        <w:rPr>
          <w:kern w:val="2"/>
        </w:rPr>
        <w:tab/>
        <w:t xml:space="preserve">The maximum amount of reimbursement a landowner can receive depends on the project type and the grants associated with that project as well as a maximum limit of $30,000 per fiscal year. </w:t>
      </w:r>
    </w:p>
    <w:p w14:paraId="759464B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F.</w:t>
      </w:r>
      <w:r w:rsidRPr="00FC5566">
        <w:rPr>
          <w:kern w:val="2"/>
        </w:rPr>
        <w:tab/>
        <w:t>Multiple practices may be implemented within the same project.</w:t>
      </w:r>
    </w:p>
    <w:p w14:paraId="58E99C39"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56:10(B)(20), R.S. 56:1938.1, and R.S. 56:1938.2.</w:t>
      </w:r>
    </w:p>
    <w:p w14:paraId="151B106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Wildlife and Fisheries, Wildlife and Fisheries Commission, LR 52:</w:t>
      </w:r>
    </w:p>
    <w:p w14:paraId="4A50DCCA"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§1103.</w:t>
      </w:r>
      <w:r w:rsidRPr="00FC5566">
        <w:rPr>
          <w:b/>
          <w:kern w:val="2"/>
        </w:rPr>
        <w:tab/>
        <w:t>Applicant and Program Eligibility</w:t>
      </w:r>
    </w:p>
    <w:p w14:paraId="1B331304"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Aptos"/>
          <w:kern w:val="2"/>
        </w:rPr>
      </w:pPr>
      <w:r w:rsidRPr="00FC5566">
        <w:rPr>
          <w:rFonts w:eastAsia="Aptos"/>
          <w:kern w:val="2"/>
        </w:rPr>
        <w:t>A.</w:t>
      </w:r>
      <w:r w:rsidRPr="00FC5566">
        <w:rPr>
          <w:rFonts w:eastAsia="Aptos"/>
          <w:kern w:val="2"/>
        </w:rPr>
        <w:tab/>
        <w:t xml:space="preserve">Landowners with fee title and lessees with an active lease that covers the practice life of the proposed practices, as determined by the Natural Resources Conservation Service, are eligible to apply for program funding. Landowner concurrence is required for qualifying lessees. Funding shall only be considered for tracts of property over 20 acres, regardless of whether the entire 20 acres is suitable for the proposed project. </w:t>
      </w:r>
    </w:p>
    <w:p w14:paraId="116D4DEF"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The following practices are eligible for funding:</w:t>
      </w:r>
    </w:p>
    <w:p w14:paraId="29537642"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 xml:space="preserve">Winter Flooded Agriculture Fields for Waterfowl and Wetland Bird Habitat—this practice seeks to increase the prevalence of shallow water on agricultural landscapes to provide habitat for waterfowl and wetland birds. Properties with agricultural fields and the infrastructure (levees, water control structures, etc.) to reliably flood and hold water are eligible for this practices. Acreage may be fallow, harvested, harvested and ratooned, or harvested and planted with a small grain crop. </w:t>
      </w:r>
    </w:p>
    <w:p w14:paraId="01EC90CE"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 xml:space="preserve">Wetland Habitat Management—this practice seeks to manage private wetlands to increase suitability for waterfowl and wetland birds by improving shallow water wetlands across the state, with an emphasis on producing plant species with high seed volumes to increase the quality of wetland habitats across the landscape. To be eligible, properties must be capable of being managed using a combination of appropriately timed drawdowns, flooding and soil disturbance or quality vegetation management. As such, properties must have the infrastructure in place (levees, water control structures, etc.) to maintain an average depth of 12-18 inches across the project area for a specified period. </w:t>
      </w:r>
    </w:p>
    <w:p w14:paraId="6B7BE59B"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 xml:space="preserve">Forest Stand Improvement—this practice seeks to enhance wildlife habitat through forest stand improvement, including managed disturbance and reduction of invasive plant species on the landscape. To be eligible, properties must meet the criteria to be classified as a forest and benefit from timber stand improvement. All types of forest will be considered. </w:t>
      </w:r>
    </w:p>
    <w:p w14:paraId="0B24630D"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w:t>
      </w:r>
      <w:r w:rsidRPr="00FC5566">
        <w:rPr>
          <w:kern w:val="2"/>
        </w:rPr>
        <w:tab/>
        <w:t xml:space="preserve">Prescribed Burning—this practice seeks to promote wildlife habitat and native plant species and biomass on the landscape. Eligible habitat types for prescribed burns are </w:t>
      </w:r>
      <w:r w:rsidRPr="00FC5566">
        <w:rPr>
          <w:kern w:val="2"/>
        </w:rPr>
        <w:t xml:space="preserve">forests suitable for the practice or an approved project area with the goal of restoring native vegetation. Prescribed burning of agricultural stubble, pastures, and hay meadows with introduced grasses do not qualify. </w:t>
      </w:r>
    </w:p>
    <w:p w14:paraId="0DF897F5"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5.</w:t>
      </w:r>
      <w:r w:rsidRPr="00FC5566">
        <w:rPr>
          <w:kern w:val="2"/>
        </w:rPr>
        <w:tab/>
        <w:t xml:space="preserve">Feral Hog Trapping—this practices seeks to improve native wildlife, soil health and natural areas by reducing the number of feral hogs on the landscape. This program provides applicants with the funding to purchase hog traps and cameras to facilitate monitoring and remote trap operation to reduce the number of feral hogs on their property. </w:t>
      </w:r>
    </w:p>
    <w:p w14:paraId="14EA4841"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56:10(B)(20), R.S. 56:1938.1, and R.S. 56:1938.2.</w:t>
      </w:r>
    </w:p>
    <w:p w14:paraId="7AE2AC91"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Wildlife and Fisheries, Wildlife and Fisheries Commission, LR 52:</w:t>
      </w:r>
    </w:p>
    <w:p w14:paraId="65033767"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§1105.</w:t>
      </w:r>
      <w:r w:rsidRPr="00FC5566">
        <w:rPr>
          <w:b/>
          <w:kern w:val="2"/>
        </w:rPr>
        <w:tab/>
        <w:t xml:space="preserve">Application Process </w:t>
      </w:r>
    </w:p>
    <w:p w14:paraId="477146A8"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 xml:space="preserve">The Project Selection Board will solicit requests for proposals, contingent upon availability of funding. Upon the direction of the Project Selection Board, LDWF shall publish a request for proposals on its website https://www.wlf.louisiana.gov/ for a period of 45 days. </w:t>
      </w:r>
    </w:p>
    <w:p w14:paraId="5FB06582"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bCs/>
          <w:kern w:val="2"/>
        </w:rPr>
        <w:t>B.</w:t>
      </w:r>
      <w:r w:rsidRPr="00FC5566">
        <w:rPr>
          <w:bCs/>
          <w:kern w:val="2"/>
        </w:rPr>
        <w:tab/>
      </w:r>
      <w:r w:rsidRPr="00FC5566">
        <w:rPr>
          <w:kern w:val="2"/>
        </w:rPr>
        <w:t>Application Process</w:t>
      </w:r>
    </w:p>
    <w:p w14:paraId="0D331B33"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The application serves as a mechanism in gathering detailed project elements in order for the Project Selection Board to make informed decisions when selecting properties to receive funding.</w:t>
      </w:r>
    </w:p>
    <w:p w14:paraId="7CA72760"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All applications shall contain the following items.</w:t>
      </w:r>
    </w:p>
    <w:p w14:paraId="339E8264" w14:textId="77777777" w:rsidR="00FC5566" w:rsidRPr="00FC5566" w:rsidRDefault="00FC5566" w:rsidP="00FC5566">
      <w:pPr>
        <w:tabs>
          <w:tab w:val="left" w:pos="907"/>
        </w:tabs>
        <w:ind w:firstLine="547"/>
        <w:jc w:val="both"/>
        <w:outlineLvl w:val="5"/>
        <w:rPr>
          <w:kern w:val="2"/>
        </w:rPr>
      </w:pPr>
      <w:r w:rsidRPr="00FC5566">
        <w:rPr>
          <w:kern w:val="2"/>
        </w:rPr>
        <w:t>a.</w:t>
      </w:r>
      <w:r w:rsidRPr="00FC5566">
        <w:rPr>
          <w:kern w:val="2"/>
        </w:rPr>
        <w:tab/>
        <w:t>Responses to each of the evaluation criteria as provided in §1107.</w:t>
      </w:r>
    </w:p>
    <w:p w14:paraId="62FCFB2F" w14:textId="77777777" w:rsidR="00FC5566" w:rsidRPr="00FC5566" w:rsidRDefault="00FC5566" w:rsidP="00FC5566">
      <w:pPr>
        <w:tabs>
          <w:tab w:val="left" w:pos="907"/>
        </w:tabs>
        <w:ind w:firstLine="547"/>
        <w:jc w:val="both"/>
        <w:outlineLvl w:val="5"/>
        <w:rPr>
          <w:kern w:val="2"/>
        </w:rPr>
      </w:pPr>
      <w:r w:rsidRPr="00FC5566">
        <w:rPr>
          <w:kern w:val="2"/>
        </w:rPr>
        <w:t>b.</w:t>
      </w:r>
      <w:r w:rsidRPr="00FC5566">
        <w:rPr>
          <w:kern w:val="2"/>
        </w:rPr>
        <w:tab/>
        <w:t>Detailed Project Budget Worksheet—this budget should include:</w:t>
      </w:r>
    </w:p>
    <w:p w14:paraId="1E3D3782"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w:t>
      </w:r>
      <w:r w:rsidRPr="00FC5566">
        <w:rPr>
          <w:kern w:val="2"/>
        </w:rPr>
        <w:tab/>
        <w:t>total project cost;</w:t>
      </w:r>
    </w:p>
    <w:p w14:paraId="2D872C40"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ii.</w:t>
      </w:r>
      <w:r w:rsidRPr="00FC5566">
        <w:rPr>
          <w:kern w:val="2"/>
        </w:rPr>
        <w:tab/>
        <w:t>total funding requested;</w:t>
      </w:r>
    </w:p>
    <w:p w14:paraId="35B96BAB"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iii.</w:t>
      </w:r>
      <w:r w:rsidRPr="00FC5566">
        <w:rPr>
          <w:kern w:val="2"/>
        </w:rPr>
        <w:tab/>
        <w:t>match commitments;</w:t>
      </w:r>
    </w:p>
    <w:p w14:paraId="25643F7D"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iv.</w:t>
      </w:r>
      <w:r w:rsidRPr="00FC5566">
        <w:rPr>
          <w:kern w:val="2"/>
        </w:rPr>
        <w:tab/>
        <w:t>timeframe of implementation.</w:t>
      </w:r>
    </w:p>
    <w:p w14:paraId="11E45303" w14:textId="77777777" w:rsidR="00FC5566" w:rsidRPr="00FC5566" w:rsidRDefault="00FC5566" w:rsidP="00FC5566">
      <w:pPr>
        <w:tabs>
          <w:tab w:val="left" w:pos="907"/>
        </w:tabs>
        <w:ind w:firstLine="547"/>
        <w:jc w:val="both"/>
        <w:outlineLvl w:val="5"/>
        <w:rPr>
          <w:kern w:val="2"/>
        </w:rPr>
      </w:pPr>
      <w:r w:rsidRPr="00FC5566">
        <w:rPr>
          <w:kern w:val="2"/>
        </w:rPr>
        <w:t>c.</w:t>
      </w:r>
      <w:r w:rsidRPr="00FC5566">
        <w:rPr>
          <w:kern w:val="2"/>
        </w:rPr>
        <w:tab/>
        <w:t xml:space="preserve">Project Description—this is a detailed narrative describing the entire scope of the project, including a location vicinity map, project map, acreage, purpose, need, and all Louisiana Conservation Incentive Program funded practices. Applicants should focus on describing the elements and activities receiving funding, rather than convincing narrative content. Applicants should also describe the ability of the project to be scaled up or down. </w:t>
      </w:r>
    </w:p>
    <w:p w14:paraId="7F516131" w14:textId="77777777" w:rsidR="00FC5566" w:rsidRPr="00FC5566" w:rsidRDefault="00FC5566" w:rsidP="00FC5566">
      <w:pPr>
        <w:tabs>
          <w:tab w:val="left" w:pos="907"/>
        </w:tabs>
        <w:ind w:firstLine="547"/>
        <w:jc w:val="both"/>
        <w:outlineLvl w:val="5"/>
        <w:rPr>
          <w:kern w:val="2"/>
        </w:rPr>
      </w:pPr>
      <w:r w:rsidRPr="00FC5566">
        <w:rPr>
          <w:kern w:val="2"/>
        </w:rPr>
        <w:t>d.</w:t>
      </w:r>
      <w:r w:rsidRPr="00FC5566">
        <w:rPr>
          <w:kern w:val="2"/>
        </w:rPr>
        <w:tab/>
        <w:t>Project Implementation Schedule—a schedule outlining the timeline and occurrence of each major project milestone, limited to a project period.</w:t>
      </w:r>
    </w:p>
    <w:p w14:paraId="700AA376"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 xml:space="preserve">Project Specific Items. Applications shall contain the following items: </w:t>
      </w:r>
    </w:p>
    <w:p w14:paraId="632DE013" w14:textId="77777777" w:rsidR="00FC5566" w:rsidRPr="00FC5566" w:rsidRDefault="00FC5566" w:rsidP="00FC5566">
      <w:pPr>
        <w:tabs>
          <w:tab w:val="left" w:pos="907"/>
        </w:tabs>
        <w:ind w:firstLine="547"/>
        <w:jc w:val="both"/>
        <w:outlineLvl w:val="5"/>
        <w:rPr>
          <w:kern w:val="2"/>
        </w:rPr>
      </w:pPr>
      <w:r w:rsidRPr="00FC5566">
        <w:rPr>
          <w:kern w:val="2"/>
        </w:rPr>
        <w:t>a.</w:t>
      </w:r>
      <w:r w:rsidRPr="00FC5566">
        <w:rPr>
          <w:kern w:val="2"/>
        </w:rPr>
        <w:tab/>
        <w:t>Photos and Photo Key Map—if applicable, applicants should submit various photos outlining key components of the project receiving funding. Requests for proposals will outline the proper procedure for photo submission.</w:t>
      </w:r>
    </w:p>
    <w:p w14:paraId="71FA1CA1" w14:textId="77777777" w:rsidR="00FC5566" w:rsidRPr="00FC5566" w:rsidRDefault="00FC5566" w:rsidP="00FC5566">
      <w:pPr>
        <w:tabs>
          <w:tab w:val="left" w:pos="907"/>
        </w:tabs>
        <w:ind w:firstLine="547"/>
        <w:jc w:val="both"/>
        <w:outlineLvl w:val="5"/>
        <w:rPr>
          <w:kern w:val="2"/>
        </w:rPr>
      </w:pPr>
      <w:r w:rsidRPr="00FC5566">
        <w:rPr>
          <w:kern w:val="2"/>
        </w:rPr>
        <w:t>b.</w:t>
      </w:r>
      <w:r w:rsidRPr="00FC5566">
        <w:rPr>
          <w:kern w:val="2"/>
        </w:rPr>
        <w:tab/>
        <w:t>Project Plans—proposed project plans, or designs should be included, when relevant. These items are not required for a project to be considered by the Project Selection Board for the scoring and ranking phase of the application process, although sufficient information is required at time of application to adequately display the scope and extent of the project. If a project is approved by the Project Selection Board, the applicant could receive a pre-approval and be given 12 months to submit needed or requested documents to LDWF. These documents must be in line with the full application in order to receive a final approval.</w:t>
      </w:r>
    </w:p>
    <w:p w14:paraId="232943A0" w14:textId="77777777" w:rsidR="00FC5566" w:rsidRPr="00FC5566" w:rsidRDefault="00FC5566" w:rsidP="00FC5566">
      <w:pPr>
        <w:tabs>
          <w:tab w:val="left" w:pos="907"/>
        </w:tabs>
        <w:ind w:firstLine="547"/>
        <w:jc w:val="both"/>
        <w:outlineLvl w:val="5"/>
        <w:rPr>
          <w:kern w:val="2"/>
        </w:rPr>
      </w:pPr>
      <w:r w:rsidRPr="00FC5566">
        <w:rPr>
          <w:kern w:val="2"/>
        </w:rPr>
        <w:lastRenderedPageBreak/>
        <w:t>c.</w:t>
      </w:r>
      <w:r w:rsidRPr="00FC5566">
        <w:rPr>
          <w:kern w:val="2"/>
        </w:rPr>
        <w:tab/>
        <w:t xml:space="preserve">Evidence of Property Ownership/Documentation of Lease—The acquisitive deed whereby the landowner acquired ownership of the property on which the project will take place, and evidence of payment of ad valorem taxes for the past three years. Legal title opinion preferred. In the case of a lessee, they must show documentation of said lease, its duration and landowner concurrence with project actions. </w:t>
      </w:r>
    </w:p>
    <w:p w14:paraId="011423C6"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w:t>
      </w:r>
      <w:r w:rsidRPr="00FC5566">
        <w:rPr>
          <w:kern w:val="2"/>
        </w:rPr>
        <w:tab/>
        <w:t xml:space="preserve">The Project Selection Board can mandate an applicant include any project specific item they deem necessary to ensure a project meets the claimed benefits of the full application. </w:t>
      </w:r>
    </w:p>
    <w:p w14:paraId="7CAD23D0"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5.</w:t>
      </w:r>
      <w:r w:rsidRPr="00FC5566">
        <w:rPr>
          <w:kern w:val="2"/>
        </w:rPr>
        <w:tab/>
        <w:t>Applications must be submitted by midnight on the prescribed application deadline date. Each request for proposals will be announced with an application period, a review period, and an award period. These periods’ duration may vary by funding source and project type.</w:t>
      </w:r>
    </w:p>
    <w:p w14:paraId="1943EE4F"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6.</w:t>
      </w:r>
      <w:r w:rsidRPr="00FC5566">
        <w:rPr>
          <w:kern w:val="2"/>
        </w:rPr>
        <w:tab/>
        <w:t>The review period will be conducted for a length of time under LDWF’s discretion.</w:t>
      </w:r>
    </w:p>
    <w:p w14:paraId="5E1A0292"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7.</w:t>
      </w:r>
      <w:r w:rsidRPr="00FC5566">
        <w:rPr>
          <w:kern w:val="2"/>
        </w:rPr>
        <w:tab/>
        <w:t>The award period will be conducted for a length of time under LDWF’s discretion.</w:t>
      </w:r>
    </w:p>
    <w:p w14:paraId="26E18BE2" w14:textId="77777777" w:rsidR="00FC5566" w:rsidRPr="00FC5566" w:rsidRDefault="00FC5566" w:rsidP="00FC5566">
      <w:pPr>
        <w:tabs>
          <w:tab w:val="left" w:pos="720"/>
          <w:tab w:val="left" w:pos="979"/>
          <w:tab w:val="left" w:pos="1152"/>
        </w:tabs>
        <w:ind w:firstLine="360"/>
        <w:jc w:val="both"/>
        <w:outlineLvl w:val="4"/>
        <w:rPr>
          <w:bCs/>
          <w:kern w:val="2"/>
        </w:rPr>
      </w:pPr>
      <w:r w:rsidRPr="00FC5566">
        <w:rPr>
          <w:kern w:val="2"/>
        </w:rPr>
        <w:t>8.</w:t>
      </w:r>
      <w:r w:rsidRPr="00FC5566">
        <w:rPr>
          <w:kern w:val="2"/>
        </w:rPr>
        <w:tab/>
        <w:t xml:space="preserve">All complete applications approved for funding by the Project Selection Board will be contacted by LDWF to schedule a Financial Workshop to explain and review the reimbursement process and the documentation required for reporting, monitoring and reimbursements. </w:t>
      </w:r>
    </w:p>
    <w:p w14:paraId="35C025B5"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56:10(B)(20), R.S. 56:1938.1, and R.S. 56:1938.2.</w:t>
      </w:r>
    </w:p>
    <w:p w14:paraId="27736AF8"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Wildlife and Fisheries, Wildlife and Fisheries Commission, LR 52:</w:t>
      </w:r>
    </w:p>
    <w:p w14:paraId="11DB7A3F"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§1107.</w:t>
      </w:r>
      <w:r w:rsidRPr="00FC5566">
        <w:rPr>
          <w:b/>
          <w:kern w:val="2"/>
        </w:rPr>
        <w:tab/>
        <w:t xml:space="preserve">Evaluation Criteria Scoring </w:t>
      </w:r>
    </w:p>
    <w:p w14:paraId="2BED87AC"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All applications will be reviewed in light of the criteria below:</w:t>
      </w:r>
    </w:p>
    <w:p w14:paraId="527AA195"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Acreage</w:t>
      </w:r>
    </w:p>
    <w:p w14:paraId="4595B1A3" w14:textId="77777777" w:rsidR="00FC5566" w:rsidRPr="00FC5566" w:rsidRDefault="00FC5566" w:rsidP="00FC5566">
      <w:pPr>
        <w:tabs>
          <w:tab w:val="left" w:pos="907"/>
        </w:tabs>
        <w:ind w:firstLine="547"/>
        <w:jc w:val="both"/>
        <w:outlineLvl w:val="5"/>
        <w:rPr>
          <w:kern w:val="2"/>
        </w:rPr>
      </w:pPr>
      <w:r w:rsidRPr="00FC5566">
        <w:rPr>
          <w:kern w:val="2"/>
        </w:rPr>
        <w:t>a.</w:t>
      </w:r>
      <w:r w:rsidRPr="00FC5566">
        <w:rPr>
          <w:kern w:val="2"/>
        </w:rPr>
        <w:tab/>
        <w:t>Total land size available for conservation.</w:t>
      </w:r>
    </w:p>
    <w:p w14:paraId="1ACC9242"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Proximity to Other Conservation Efforts</w:t>
      </w:r>
    </w:p>
    <w:p w14:paraId="3513B1DD"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Proximity to Wildlife Management Areas or Conservation Estate</w:t>
      </w:r>
    </w:p>
    <w:p w14:paraId="4F9B347D"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w:t>
      </w:r>
      <w:r w:rsidRPr="00FC5566">
        <w:rPr>
          <w:kern w:val="2"/>
        </w:rPr>
        <w:tab/>
        <w:t>Biodiversity Value</w:t>
      </w:r>
    </w:p>
    <w:p w14:paraId="10398B03" w14:textId="77777777" w:rsidR="00FC5566" w:rsidRPr="00FC5566" w:rsidRDefault="00FC5566" w:rsidP="00FC5566">
      <w:pPr>
        <w:tabs>
          <w:tab w:val="left" w:pos="907"/>
        </w:tabs>
        <w:ind w:firstLine="547"/>
        <w:jc w:val="both"/>
        <w:outlineLvl w:val="5"/>
        <w:rPr>
          <w:kern w:val="2"/>
        </w:rPr>
      </w:pPr>
      <w:r w:rsidRPr="00FC5566">
        <w:rPr>
          <w:kern w:val="2"/>
        </w:rPr>
        <w:t>a.</w:t>
      </w:r>
      <w:r w:rsidRPr="00FC5566">
        <w:rPr>
          <w:kern w:val="2"/>
        </w:rPr>
        <w:tab/>
        <w:t>Designation of associated habitat types within the State Wildlife Action Plan.</w:t>
      </w:r>
    </w:p>
    <w:p w14:paraId="0A969F46"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5.</w:t>
      </w:r>
      <w:r w:rsidRPr="00FC5566">
        <w:rPr>
          <w:kern w:val="2"/>
        </w:rPr>
        <w:tab/>
        <w:t>Ecological Integrity/Condition</w:t>
      </w:r>
    </w:p>
    <w:p w14:paraId="4F690836" w14:textId="77777777" w:rsidR="00FC5566" w:rsidRPr="00FC5566" w:rsidRDefault="00FC5566" w:rsidP="00FC5566">
      <w:pPr>
        <w:tabs>
          <w:tab w:val="left" w:pos="907"/>
        </w:tabs>
        <w:ind w:firstLine="547"/>
        <w:jc w:val="both"/>
        <w:outlineLvl w:val="5"/>
        <w:rPr>
          <w:kern w:val="2"/>
        </w:rPr>
      </w:pPr>
      <w:r w:rsidRPr="00FC5566">
        <w:rPr>
          <w:kern w:val="2"/>
        </w:rPr>
        <w:t>a.</w:t>
      </w:r>
      <w:r w:rsidRPr="00FC5566">
        <w:rPr>
          <w:kern w:val="2"/>
        </w:rPr>
        <w:tab/>
        <w:t xml:space="preserve">Factors that make the property susceptible to effective management with less unit effort. </w:t>
      </w:r>
    </w:p>
    <w:p w14:paraId="0B6CD9E9"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6.</w:t>
      </w:r>
      <w:r w:rsidRPr="00FC5566">
        <w:rPr>
          <w:kern w:val="2"/>
        </w:rPr>
        <w:tab/>
        <w:t>Connectivity Potential</w:t>
      </w:r>
    </w:p>
    <w:p w14:paraId="69F06E66" w14:textId="77777777" w:rsidR="00FC5566" w:rsidRPr="00FC5566" w:rsidRDefault="00FC5566" w:rsidP="00FC5566">
      <w:pPr>
        <w:tabs>
          <w:tab w:val="left" w:pos="907"/>
        </w:tabs>
        <w:ind w:firstLine="547"/>
        <w:jc w:val="both"/>
        <w:outlineLvl w:val="5"/>
        <w:rPr>
          <w:kern w:val="2"/>
        </w:rPr>
      </w:pPr>
      <w:r w:rsidRPr="00FC5566">
        <w:rPr>
          <w:kern w:val="2"/>
        </w:rPr>
        <w:t>a.</w:t>
      </w:r>
      <w:r w:rsidRPr="00FC5566">
        <w:rPr>
          <w:kern w:val="2"/>
        </w:rPr>
        <w:tab/>
        <w:t>Ability to link fragmented habitats or other conservation areas.</w:t>
      </w:r>
    </w:p>
    <w:p w14:paraId="47C82615"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7.</w:t>
      </w:r>
      <w:r w:rsidRPr="00FC5566">
        <w:rPr>
          <w:kern w:val="2"/>
        </w:rPr>
        <w:tab/>
        <w:t>Threat Level</w:t>
      </w:r>
    </w:p>
    <w:p w14:paraId="6469C41A" w14:textId="77777777" w:rsidR="00FC5566" w:rsidRPr="00FC5566" w:rsidRDefault="00FC5566" w:rsidP="00FC5566">
      <w:pPr>
        <w:tabs>
          <w:tab w:val="left" w:pos="907"/>
        </w:tabs>
        <w:ind w:firstLine="547"/>
        <w:jc w:val="both"/>
        <w:outlineLvl w:val="5"/>
        <w:rPr>
          <w:kern w:val="2"/>
        </w:rPr>
      </w:pPr>
      <w:r w:rsidRPr="00FC5566">
        <w:rPr>
          <w:kern w:val="2"/>
        </w:rPr>
        <w:t>a.</w:t>
      </w:r>
      <w:r w:rsidRPr="00FC5566">
        <w:rPr>
          <w:kern w:val="2"/>
        </w:rPr>
        <w:tab/>
        <w:t>Risk of development, deforestation, pollution, or fragmentation.</w:t>
      </w:r>
    </w:p>
    <w:p w14:paraId="4894F66E"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8.</w:t>
      </w:r>
      <w:r w:rsidRPr="00FC5566">
        <w:rPr>
          <w:kern w:val="2"/>
        </w:rPr>
        <w:tab/>
        <w:t>Water Resources</w:t>
      </w:r>
    </w:p>
    <w:p w14:paraId="15BEC3C3" w14:textId="77777777" w:rsidR="00FC5566" w:rsidRPr="00FC5566" w:rsidRDefault="00FC5566" w:rsidP="00FC5566">
      <w:pPr>
        <w:tabs>
          <w:tab w:val="left" w:pos="907"/>
        </w:tabs>
        <w:ind w:firstLine="547"/>
        <w:jc w:val="both"/>
        <w:outlineLvl w:val="5"/>
        <w:rPr>
          <w:kern w:val="2"/>
        </w:rPr>
      </w:pPr>
      <w:r w:rsidRPr="00FC5566">
        <w:rPr>
          <w:kern w:val="2"/>
        </w:rPr>
        <w:t>a.</w:t>
      </w:r>
      <w:r w:rsidRPr="00FC5566">
        <w:rPr>
          <w:kern w:val="2"/>
        </w:rPr>
        <w:tab/>
        <w:t>Presence of wetlands.</w:t>
      </w:r>
    </w:p>
    <w:p w14:paraId="5268D599"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9.</w:t>
      </w:r>
      <w:r w:rsidRPr="00FC5566">
        <w:rPr>
          <w:kern w:val="2"/>
        </w:rPr>
        <w:tab/>
        <w:t>Other applicable factors deemed relevant by the presiding Project Selection Board.</w:t>
      </w:r>
    </w:p>
    <w:p w14:paraId="1AD72C8B"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56:10(B)(20), R.S. 56:1938.1, and R.S. 56:1938.2.</w:t>
      </w:r>
    </w:p>
    <w:p w14:paraId="4BD4A1CB"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Wildlife and Fisheries, Wildlife and Fisheries Commission, LR 52:</w:t>
      </w:r>
    </w:p>
    <w:p w14:paraId="374FC5A8"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§1109.</w:t>
      </w:r>
      <w:r w:rsidRPr="00FC5566">
        <w:rPr>
          <w:b/>
          <w:kern w:val="2"/>
        </w:rPr>
        <w:tab/>
        <w:t>Grant Recipient Requirements</w:t>
      </w:r>
    </w:p>
    <w:p w14:paraId="0A5EA0DE"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 xml:space="preserve">Term </w:t>
      </w:r>
    </w:p>
    <w:p w14:paraId="6B4E082A"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 xml:space="preserve">Each project type will have its own timeframe upon which to be completed. The timeframe for completion will be finalized in the project agreement on a case-by-case basis. Applicants can expect the timeframe to be within one to three </w:t>
      </w:r>
      <w:r w:rsidRPr="00FC5566">
        <w:rPr>
          <w:kern w:val="2"/>
        </w:rPr>
        <w:t>years in duration, but it may extend past this window in certain instances.</w:t>
      </w:r>
    </w:p>
    <w:p w14:paraId="2B9C10D8"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Reporting Requirements</w:t>
      </w:r>
    </w:p>
    <w:p w14:paraId="1D3F035D"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Semiannual (6-Month) Progress Reports</w:t>
      </w:r>
    </w:p>
    <w:p w14:paraId="1570D8E9" w14:textId="77777777" w:rsidR="00FC5566" w:rsidRPr="00FC5566" w:rsidRDefault="00FC5566" w:rsidP="00FC5566">
      <w:pPr>
        <w:tabs>
          <w:tab w:val="left" w:pos="907"/>
        </w:tabs>
        <w:ind w:firstLine="547"/>
        <w:jc w:val="both"/>
        <w:outlineLvl w:val="5"/>
        <w:rPr>
          <w:kern w:val="2"/>
        </w:rPr>
      </w:pPr>
      <w:r w:rsidRPr="00FC5566">
        <w:rPr>
          <w:kern w:val="2"/>
        </w:rPr>
        <w:t>a.</w:t>
      </w:r>
      <w:r w:rsidRPr="00FC5566">
        <w:rPr>
          <w:kern w:val="2"/>
        </w:rPr>
        <w:tab/>
        <w:t>Once a Project Agreement is signed, the Grantee shall report on the progress of the project on a semiannual basis as follows:</w:t>
      </w:r>
    </w:p>
    <w:p w14:paraId="253E191F"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w:t>
      </w:r>
      <w:r w:rsidRPr="00FC5566">
        <w:rPr>
          <w:kern w:val="2"/>
        </w:rPr>
        <w:tab/>
        <w:t>Period January 1-June 30: Report is due July 31.</w:t>
      </w:r>
    </w:p>
    <w:p w14:paraId="5A566FC2"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ii.</w:t>
      </w:r>
      <w:r w:rsidRPr="00FC5566">
        <w:rPr>
          <w:kern w:val="2"/>
        </w:rPr>
        <w:tab/>
        <w:t>Period July 1-December 31: Report is due January 31.</w:t>
      </w:r>
    </w:p>
    <w:p w14:paraId="410A59D7" w14:textId="77777777" w:rsidR="00FC5566" w:rsidRPr="00FC5566" w:rsidRDefault="00FC5566" w:rsidP="00FC5566">
      <w:pPr>
        <w:tabs>
          <w:tab w:val="left" w:pos="907"/>
        </w:tabs>
        <w:ind w:firstLine="547"/>
        <w:jc w:val="both"/>
        <w:outlineLvl w:val="5"/>
        <w:rPr>
          <w:kern w:val="2"/>
        </w:rPr>
      </w:pPr>
      <w:r w:rsidRPr="00FC5566">
        <w:rPr>
          <w:kern w:val="2"/>
        </w:rPr>
        <w:t>b.</w:t>
      </w:r>
      <w:r w:rsidRPr="00FC5566">
        <w:rPr>
          <w:kern w:val="2"/>
        </w:rPr>
        <w:tab/>
        <w:t>Grantees are required to submit Semiannual Progress Reports to LDWF to ensure that LDWF is aware of the project’s progress. The progress report shall summarize the work accomplished to date, any issues arising with the project, an estimated percentage of project completion, and an estimate of funds to be expended over the next 6 month period. Photos or other documents are required in communicating the status of the project.</w:t>
      </w:r>
    </w:p>
    <w:p w14:paraId="45256A51" w14:textId="77777777" w:rsidR="00FC5566" w:rsidRPr="00FC5566" w:rsidRDefault="00FC5566" w:rsidP="00FC5566">
      <w:pPr>
        <w:tabs>
          <w:tab w:val="left" w:pos="720"/>
          <w:tab w:val="left" w:pos="979"/>
          <w:tab w:val="left" w:pos="1152"/>
        </w:tabs>
        <w:ind w:firstLine="360"/>
        <w:jc w:val="both"/>
        <w:outlineLvl w:val="4"/>
        <w:rPr>
          <w:kern w:val="2"/>
        </w:rPr>
      </w:pPr>
      <w:r w:rsidRPr="00FC5566">
        <w:rPr>
          <w:color w:val="000000"/>
          <w:kern w:val="2"/>
        </w:rPr>
        <w:t>2.</w:t>
      </w:r>
      <w:r w:rsidRPr="00FC5566">
        <w:rPr>
          <w:color w:val="000000"/>
          <w:kern w:val="2"/>
        </w:rPr>
        <w:tab/>
      </w:r>
      <w:r w:rsidRPr="00FC5566">
        <w:rPr>
          <w:kern w:val="2"/>
        </w:rPr>
        <w:t>Final Review</w:t>
      </w:r>
    </w:p>
    <w:p w14:paraId="476C7DC4" w14:textId="77777777" w:rsidR="00FC5566" w:rsidRPr="00FC5566" w:rsidRDefault="00FC5566" w:rsidP="00FC5566">
      <w:pPr>
        <w:tabs>
          <w:tab w:val="left" w:pos="907"/>
        </w:tabs>
        <w:ind w:firstLine="547"/>
        <w:jc w:val="both"/>
        <w:outlineLvl w:val="5"/>
        <w:rPr>
          <w:kern w:val="2"/>
        </w:rPr>
      </w:pPr>
      <w:r w:rsidRPr="00FC5566">
        <w:rPr>
          <w:kern w:val="2"/>
        </w:rPr>
        <w:t>a.</w:t>
      </w:r>
      <w:r w:rsidRPr="00FC5566">
        <w:rPr>
          <w:kern w:val="2"/>
        </w:rPr>
        <w:tab/>
        <w:t xml:space="preserve">All projects will require a final review to be signed off by a department representative. </w:t>
      </w:r>
    </w:p>
    <w:p w14:paraId="2821A7F7" w14:textId="77777777" w:rsidR="00FC5566" w:rsidRPr="00FC5566" w:rsidRDefault="00FC5566" w:rsidP="00FC5566">
      <w:pPr>
        <w:tabs>
          <w:tab w:val="left" w:pos="907"/>
        </w:tabs>
        <w:ind w:firstLine="547"/>
        <w:jc w:val="both"/>
        <w:outlineLvl w:val="5"/>
        <w:rPr>
          <w:kern w:val="2"/>
        </w:rPr>
      </w:pPr>
      <w:r w:rsidRPr="00FC5566">
        <w:rPr>
          <w:kern w:val="2"/>
        </w:rPr>
        <w:t>b.</w:t>
      </w:r>
      <w:r w:rsidRPr="00FC5566">
        <w:rPr>
          <w:kern w:val="2"/>
        </w:rPr>
        <w:tab/>
        <w:t>LDWF staff will inspect all completed projects, either physically or remotely. Final payments shall not be made until final documentation is received and approved, and the project has been inspected and verified as complete.</w:t>
      </w:r>
    </w:p>
    <w:p w14:paraId="2E35677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Reimbursement Requests</w:t>
      </w:r>
    </w:p>
    <w:p w14:paraId="51CE93DF"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Payment of grant funds is on a reimbursement basis. The amount of reimbursement for each eligible practice will be outlined in the Grantee’s Project Agreement.</w:t>
      </w:r>
    </w:p>
    <w:p w14:paraId="7D0BBDD5"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Accurate and comprehensive documentation of project costs is critical. Applicants will be required to submit to LDWF a reimbursement request as well as detailed documentation (e.g. proof-of-purchase, proof-of-payment, force account details, etc.) prior to reimbursement. All reporting responsibilities will be outlined in the grantee’s Project Agreement. These responsibilities, in addition to requirements for reimbursement requests, shall be adhered to throughout the entirety of the project.</w:t>
      </w:r>
    </w:p>
    <w:p w14:paraId="467E7CD4"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Grantees may request reimbursements no more frequently than every two months, and shall submit requests at least quarterly. LDWF will generally make payment in less than 30 days after a Reimbursement Request has been approved. Reimbursement Requests are based on actual project expenditures that align with the Grantee’s Project Agreement, including the approved project application scope and budget.</w:t>
      </w:r>
    </w:p>
    <w:p w14:paraId="7D87B2F2"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w:t>
      </w:r>
      <w:r w:rsidRPr="00FC5566">
        <w:rPr>
          <w:kern w:val="2"/>
        </w:rPr>
        <w:tab/>
        <w:t>Adequate supporting documentation for all expenses is required with each request. Documentation must include but is not limited to:</w:t>
      </w:r>
    </w:p>
    <w:p w14:paraId="59E8D743" w14:textId="77777777" w:rsidR="00FC5566" w:rsidRPr="00FC5566" w:rsidRDefault="00FC5566" w:rsidP="00FC5566">
      <w:pPr>
        <w:tabs>
          <w:tab w:val="left" w:pos="907"/>
        </w:tabs>
        <w:ind w:firstLine="547"/>
        <w:jc w:val="both"/>
        <w:outlineLvl w:val="5"/>
        <w:rPr>
          <w:kern w:val="2"/>
        </w:rPr>
      </w:pPr>
      <w:r w:rsidRPr="00FC5566">
        <w:rPr>
          <w:kern w:val="2"/>
        </w:rPr>
        <w:t>a.</w:t>
      </w:r>
      <w:r w:rsidRPr="00FC5566">
        <w:rPr>
          <w:kern w:val="2"/>
        </w:rPr>
        <w:tab/>
        <w:t>proof of payment, including payment for match items;</w:t>
      </w:r>
    </w:p>
    <w:p w14:paraId="54970E2A" w14:textId="77777777" w:rsidR="00FC5566" w:rsidRPr="00FC5566" w:rsidRDefault="00FC5566" w:rsidP="00FC5566">
      <w:pPr>
        <w:tabs>
          <w:tab w:val="left" w:pos="907"/>
        </w:tabs>
        <w:ind w:firstLine="547"/>
        <w:jc w:val="both"/>
        <w:outlineLvl w:val="5"/>
        <w:rPr>
          <w:kern w:val="2"/>
        </w:rPr>
      </w:pPr>
      <w:r w:rsidRPr="00FC5566">
        <w:rPr>
          <w:kern w:val="2"/>
        </w:rPr>
        <w:t>b.</w:t>
      </w:r>
      <w:r w:rsidRPr="00FC5566">
        <w:rPr>
          <w:kern w:val="2"/>
        </w:rPr>
        <w:tab/>
        <w:t>invoices;</w:t>
      </w:r>
    </w:p>
    <w:p w14:paraId="42073F85" w14:textId="77777777" w:rsidR="00FC5566" w:rsidRPr="00FC5566" w:rsidRDefault="00FC5566" w:rsidP="00FC5566">
      <w:pPr>
        <w:tabs>
          <w:tab w:val="left" w:pos="907"/>
        </w:tabs>
        <w:ind w:firstLine="547"/>
        <w:jc w:val="both"/>
        <w:outlineLvl w:val="5"/>
        <w:rPr>
          <w:kern w:val="2"/>
        </w:rPr>
      </w:pPr>
      <w:r w:rsidRPr="00FC5566">
        <w:rPr>
          <w:kern w:val="2"/>
        </w:rPr>
        <w:t>c.</w:t>
      </w:r>
      <w:r w:rsidRPr="00FC5566">
        <w:rPr>
          <w:kern w:val="2"/>
        </w:rPr>
        <w:tab/>
        <w:t>donation and in-kind documentation;</w:t>
      </w:r>
    </w:p>
    <w:p w14:paraId="2B1C9820" w14:textId="77777777" w:rsidR="00FC5566" w:rsidRPr="00FC5566" w:rsidRDefault="00FC5566" w:rsidP="00FC5566">
      <w:pPr>
        <w:tabs>
          <w:tab w:val="left" w:pos="907"/>
        </w:tabs>
        <w:ind w:firstLine="547"/>
        <w:jc w:val="both"/>
        <w:outlineLvl w:val="5"/>
        <w:rPr>
          <w:kern w:val="2"/>
        </w:rPr>
      </w:pPr>
      <w:r w:rsidRPr="00FC5566">
        <w:rPr>
          <w:kern w:val="2"/>
        </w:rPr>
        <w:t>d.</w:t>
      </w:r>
      <w:r w:rsidRPr="00FC5566">
        <w:rPr>
          <w:kern w:val="2"/>
        </w:rPr>
        <w:tab/>
        <w:t>photos (optional);</w:t>
      </w:r>
    </w:p>
    <w:p w14:paraId="0304D00E" w14:textId="77777777" w:rsidR="00FC5566" w:rsidRPr="00FC5566" w:rsidRDefault="00FC5566" w:rsidP="00FC5566">
      <w:pPr>
        <w:tabs>
          <w:tab w:val="left" w:pos="907"/>
        </w:tabs>
        <w:ind w:firstLine="547"/>
        <w:jc w:val="both"/>
        <w:outlineLvl w:val="5"/>
        <w:rPr>
          <w:kern w:val="2"/>
        </w:rPr>
      </w:pPr>
      <w:r w:rsidRPr="00FC5566">
        <w:rPr>
          <w:kern w:val="2"/>
        </w:rPr>
        <w:t>e.</w:t>
      </w:r>
      <w:r w:rsidRPr="00FC5566">
        <w:rPr>
          <w:kern w:val="2"/>
        </w:rPr>
        <w:tab/>
        <w:t>additional supporting documentation to process a reimbursement as needed.</w:t>
      </w:r>
    </w:p>
    <w:p w14:paraId="6AAE670D"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5.</w:t>
      </w:r>
      <w:r w:rsidRPr="00FC5566">
        <w:rPr>
          <w:kern w:val="2"/>
        </w:rPr>
        <w:tab/>
        <w:t xml:space="preserve">Partial Billings. A partial billing is considered to be a request made before the project is completed. Payments may be made for practices that are deemed “functional” by LDWF and meet the required standards and specifications for the conservation practice. </w:t>
      </w:r>
    </w:p>
    <w:p w14:paraId="3FB43FE2"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lastRenderedPageBreak/>
        <w:t>6.</w:t>
      </w:r>
      <w:r w:rsidRPr="00FC5566">
        <w:rPr>
          <w:kern w:val="2"/>
        </w:rPr>
        <w:tab/>
        <w:t>Final Billing. Final billing shall be made when the project’s scope of work is complete, all required documentation has been submitted and approved. Grantees must submit a Final Reimbursement Request and identify any remaining unneeded surplus balance via an attached memo. Only those items as submitted in the original budget and scope are eligible for reimbursement, per the Project Agreement. Once a project has been closed, remaining funds are no longer obligated and LDWF cannot make additional payments.</w:t>
      </w:r>
    </w:p>
    <w:p w14:paraId="010389A3"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56:10(B)(20), R.S. 56:1938.1, and R.S. 56:1938.2.</w:t>
      </w:r>
    </w:p>
    <w:p w14:paraId="7FC3DF18"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Wildlife and Fisheries, Wildlife and Fisheries Commission, LR 52:</w:t>
      </w:r>
    </w:p>
    <w:p w14:paraId="1852945B" w14:textId="77777777" w:rsidR="00FC5566" w:rsidRPr="00FC5566" w:rsidRDefault="00FC5566" w:rsidP="00FC5566">
      <w:pPr>
        <w:keepNext/>
        <w:jc w:val="center"/>
        <w:rPr>
          <w:b/>
          <w:kern w:val="28"/>
        </w:rPr>
      </w:pPr>
      <w:r w:rsidRPr="00FC5566">
        <w:rPr>
          <w:b/>
          <w:kern w:val="28"/>
        </w:rPr>
        <w:t>Family Impact Statement</w:t>
      </w:r>
    </w:p>
    <w:p w14:paraId="33123702"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In accordance with Act 1183 of 1999 Regular Session of the Louisiana Legislature, the Department of Wildlife and Fisheries, Wildlife and Fisheries Commission hereby issues its Family Impact Statement in connection with the preceding Notice of Intent. This Notice of Intent will have no impact on the six criteria set out at R.S. 49:972(B).</w:t>
      </w:r>
    </w:p>
    <w:p w14:paraId="5CD51A4C" w14:textId="77777777" w:rsidR="00FC5566" w:rsidRPr="00FC5566" w:rsidRDefault="00FC5566" w:rsidP="00FC5566">
      <w:pPr>
        <w:keepNext/>
        <w:jc w:val="center"/>
        <w:rPr>
          <w:b/>
          <w:kern w:val="28"/>
        </w:rPr>
      </w:pPr>
      <w:r w:rsidRPr="00FC5566">
        <w:rPr>
          <w:b/>
          <w:kern w:val="28"/>
        </w:rPr>
        <w:t>Poverty Impact Statement</w:t>
      </w:r>
    </w:p>
    <w:p w14:paraId="765EB5E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The proposed rulemaking will have no impact on poverty as described in R.S. 49:973.</w:t>
      </w:r>
    </w:p>
    <w:p w14:paraId="2A74D554" w14:textId="77777777" w:rsidR="00FC5566" w:rsidRPr="00FC5566" w:rsidRDefault="00FC5566" w:rsidP="00FC5566">
      <w:pPr>
        <w:keepNext/>
        <w:jc w:val="center"/>
        <w:rPr>
          <w:rFonts w:eastAsia="Calibri"/>
          <w:b/>
          <w:kern w:val="28"/>
        </w:rPr>
      </w:pPr>
      <w:r w:rsidRPr="00FC5566">
        <w:rPr>
          <w:rFonts w:eastAsia="Calibri"/>
          <w:b/>
          <w:kern w:val="28"/>
        </w:rPr>
        <w:t>Small Business Analysis</w:t>
      </w:r>
    </w:p>
    <w:p w14:paraId="5F28C7C3"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 xml:space="preserve">This proposed Rule has no known impact on small </w:t>
      </w:r>
      <w:r w:rsidRPr="00FC5566">
        <w:rPr>
          <w:kern w:val="2"/>
        </w:rPr>
        <w:t>businesses</w:t>
      </w:r>
      <w:r w:rsidRPr="00FC5566">
        <w:rPr>
          <w:rFonts w:eastAsia="Calibri"/>
          <w:kern w:val="2"/>
        </w:rPr>
        <w:t xml:space="preserve"> as described in R.S. 49:965.2 through R.S. 49:965.8.</w:t>
      </w:r>
    </w:p>
    <w:p w14:paraId="3A847249" w14:textId="77777777" w:rsidR="00FC5566" w:rsidRPr="00FC5566" w:rsidRDefault="00FC5566" w:rsidP="00FC5566">
      <w:pPr>
        <w:keepNext/>
        <w:jc w:val="center"/>
        <w:rPr>
          <w:rFonts w:eastAsia="Calibri"/>
          <w:b/>
          <w:kern w:val="28"/>
        </w:rPr>
      </w:pPr>
      <w:r w:rsidRPr="00FC5566">
        <w:rPr>
          <w:rFonts w:eastAsia="Calibri"/>
          <w:b/>
          <w:kern w:val="28"/>
        </w:rPr>
        <w:t xml:space="preserve">Provider </w:t>
      </w:r>
      <w:r w:rsidRPr="00FC5566">
        <w:rPr>
          <w:b/>
          <w:kern w:val="28"/>
        </w:rPr>
        <w:t>Impact</w:t>
      </w:r>
      <w:r w:rsidRPr="00FC5566">
        <w:rPr>
          <w:rFonts w:eastAsia="Calibri"/>
          <w:b/>
          <w:kern w:val="28"/>
        </w:rPr>
        <w:t xml:space="preserve"> Statement</w:t>
      </w:r>
    </w:p>
    <w:p w14:paraId="06212A52"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This proposed Rule has no known impact on providers as described in HCR 170 of 2014.</w:t>
      </w:r>
    </w:p>
    <w:p w14:paraId="4161506C" w14:textId="77777777" w:rsidR="00FC5566" w:rsidRPr="00FC5566" w:rsidRDefault="00FC5566" w:rsidP="00FC5566">
      <w:pPr>
        <w:keepNext/>
        <w:jc w:val="center"/>
        <w:rPr>
          <w:b/>
          <w:kern w:val="28"/>
        </w:rPr>
      </w:pPr>
      <w:r w:rsidRPr="00FC5566">
        <w:rPr>
          <w:b/>
          <w:kern w:val="28"/>
        </w:rPr>
        <w:t>Public Comments</w:t>
      </w:r>
    </w:p>
    <w:p w14:paraId="4D5727C2"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Interested persons may submit written comments relative to the proposed Rule to Mr. David Breithaupt, Biologist Administrator, Department of Wildlife and Fisheries, P. O. Box 98000, Baton Rouge, Louisiana, 70898-9000, or via email to dbreithaupt@wlf.la.gov prior to September 25, 2026.</w:t>
      </w:r>
    </w:p>
    <w:p w14:paraId="239D263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p w14:paraId="5ED0565C" w14:textId="77777777" w:rsidR="00FC5566" w:rsidRPr="00FC5566" w:rsidRDefault="00FC5566" w:rsidP="00FC5566">
      <w:pPr>
        <w:keepNext/>
        <w:ind w:left="2160"/>
        <w:jc w:val="both"/>
      </w:pPr>
      <w:r w:rsidRPr="00FC5566">
        <w:t>Kenneth A. "Andy" Brister</w:t>
      </w:r>
    </w:p>
    <w:p w14:paraId="798DF8B6" w14:textId="77777777" w:rsidR="00FC5566" w:rsidRPr="00FC5566" w:rsidRDefault="00FC5566" w:rsidP="00FC5566">
      <w:pPr>
        <w:keepNext/>
        <w:ind w:left="2160"/>
        <w:jc w:val="both"/>
      </w:pPr>
      <w:r w:rsidRPr="00FC5566">
        <w:t>Chairman</w:t>
      </w:r>
    </w:p>
    <w:p w14:paraId="568B5088" w14:textId="77777777" w:rsidR="00FC5566" w:rsidRPr="00FC5566" w:rsidRDefault="00FC5566" w:rsidP="00FC5566">
      <w:pPr>
        <w:keepNext/>
        <w:jc w:val="center"/>
        <w:rPr>
          <w:b/>
        </w:rPr>
      </w:pPr>
    </w:p>
    <w:p w14:paraId="399D5955" w14:textId="77777777" w:rsidR="00FC5566" w:rsidRPr="00FC5566" w:rsidRDefault="00FC5566" w:rsidP="00FC5566">
      <w:pPr>
        <w:keepNext/>
        <w:jc w:val="center"/>
        <w:rPr>
          <w:b/>
        </w:rPr>
      </w:pPr>
      <w:r w:rsidRPr="00FC5566">
        <w:rPr>
          <w:b/>
        </w:rPr>
        <w:t>FISCAL AND ECONOMIC IMPACT STATEMENT FOR ADMINISTRATIVE RULES</w:t>
      </w:r>
    </w:p>
    <w:p w14:paraId="6478E93E" w14:textId="77777777" w:rsidR="00FC5566" w:rsidRPr="00FC5566" w:rsidRDefault="00FC5566" w:rsidP="00FC5566">
      <w:pPr>
        <w:keepNext/>
        <w:jc w:val="center"/>
        <w:rPr>
          <w:b/>
          <w:noProof/>
        </w:rPr>
      </w:pPr>
      <w:r w:rsidRPr="00FC5566">
        <w:rPr>
          <w:b/>
          <w:noProof/>
        </w:rPr>
        <w:t>RULE TITLE:  Conservation Incentive Program</w:t>
      </w:r>
    </w:p>
    <w:p w14:paraId="0D98E7C9"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3E00D1F3" w14:textId="77777777" w:rsidR="00FC5566" w:rsidRPr="00FC5566" w:rsidRDefault="00FC5566" w:rsidP="00FC5566">
      <w:pPr>
        <w:ind w:left="288" w:hanging="288"/>
        <w:jc w:val="both"/>
        <w:rPr>
          <w:spacing w:val="-10"/>
          <w:sz w:val="18"/>
        </w:rPr>
      </w:pPr>
      <w:r w:rsidRPr="00FC5566">
        <w:rPr>
          <w:spacing w:val="-10"/>
          <w:sz w:val="18"/>
        </w:rPr>
        <w:t>I.</w:t>
      </w:r>
      <w:r w:rsidRPr="00FC5566">
        <w:rPr>
          <w:spacing w:val="-10"/>
          <w:sz w:val="18"/>
        </w:rPr>
        <w:tab/>
        <w:t>ESTIMATED IMPLEMENTATION COSTS (SAVINGS) TO STATE OR LOCAL GOVERNMENT UNITS (Summary)</w:t>
      </w:r>
    </w:p>
    <w:p w14:paraId="40833F81" w14:textId="77777777" w:rsidR="00FC5566" w:rsidRPr="00FC5566" w:rsidRDefault="00FC5566" w:rsidP="00FC5566">
      <w:pPr>
        <w:ind w:left="288" w:firstLine="288"/>
        <w:jc w:val="both"/>
        <w:rPr>
          <w:noProof/>
          <w:sz w:val="18"/>
        </w:rPr>
      </w:pPr>
      <w:r w:rsidRPr="00FC5566">
        <w:rPr>
          <w:noProof/>
          <w:sz w:val="18"/>
        </w:rPr>
        <w:t>The proposed rule change is anticipated to impact expenditures for the Louisiana Department of Wildlife and Fisheries (LDWF) by $500,000 annually. The proposed rule change implements the Conservation Incentive Program (Program). The Program rewards private landowners through grants for voluntarily implementing practices that protect natural resources and enhance wildlife habitats.</w:t>
      </w:r>
    </w:p>
    <w:p w14:paraId="062804BE" w14:textId="77777777" w:rsidR="00FC5566" w:rsidRPr="00FC5566" w:rsidRDefault="00FC5566" w:rsidP="00FC5566">
      <w:pPr>
        <w:ind w:left="288" w:firstLine="288"/>
        <w:jc w:val="both"/>
        <w:rPr>
          <w:noProof/>
          <w:sz w:val="18"/>
        </w:rPr>
      </w:pPr>
      <w:r w:rsidRPr="00FC5566">
        <w:rPr>
          <w:noProof/>
          <w:sz w:val="18"/>
        </w:rPr>
        <w:t>The proposed rule change implements the Program created by Act 87 of the 2025 RS. In Act 3 of the 2026 RS, an appropriation was made to LDWF to fund the program, thereby allowing grants to be awarded in FY 27. The administrative costs for the Program are anticipated to be negligible, as the board that determines grant recipients will be comprised of current LDWF staff.</w:t>
      </w:r>
    </w:p>
    <w:p w14:paraId="484AAE70" w14:textId="77777777" w:rsidR="00FC5566" w:rsidRPr="00FC5566" w:rsidRDefault="00FC5566" w:rsidP="00FC5566">
      <w:pPr>
        <w:ind w:left="288" w:firstLine="288"/>
        <w:jc w:val="both"/>
        <w:rPr>
          <w:sz w:val="18"/>
        </w:rPr>
      </w:pPr>
      <w:r w:rsidRPr="00FC5566">
        <w:rPr>
          <w:sz w:val="18"/>
        </w:rPr>
        <w:t xml:space="preserve">The proposed rule change outlines how applicants under the Program may be selected and establishes how funds will be allocated to successful applicants. The proposed rule change </w:t>
      </w:r>
      <w:r w:rsidRPr="00FC5566">
        <w:rPr>
          <w:sz w:val="18"/>
        </w:rPr>
        <w:t>describes the application process, the system for evaluating scoring criteria, and the requirements for grant recipients.</w:t>
      </w:r>
    </w:p>
    <w:p w14:paraId="7412C81D" w14:textId="77777777" w:rsidR="00FC5566" w:rsidRPr="00FC5566" w:rsidRDefault="00FC5566" w:rsidP="00FC5566">
      <w:pPr>
        <w:ind w:left="288" w:hanging="288"/>
        <w:jc w:val="both"/>
        <w:rPr>
          <w:spacing w:val="-10"/>
          <w:sz w:val="18"/>
        </w:rPr>
      </w:pPr>
      <w:r w:rsidRPr="00FC5566">
        <w:rPr>
          <w:spacing w:val="-10"/>
          <w:sz w:val="18"/>
        </w:rPr>
        <w:t>II.</w:t>
      </w:r>
      <w:r w:rsidRPr="00FC5566">
        <w:rPr>
          <w:spacing w:val="-10"/>
          <w:sz w:val="18"/>
        </w:rPr>
        <w:tab/>
        <w:t>ESTIMATED EFFECT ON REVENUE COLLECTIONS OF STATE OR LOCAL GOVERNMENTAL UNITS (Summary)</w:t>
      </w:r>
    </w:p>
    <w:p w14:paraId="0F94010A" w14:textId="77777777" w:rsidR="00FC5566" w:rsidRPr="00FC5566" w:rsidRDefault="00FC5566" w:rsidP="00FC5566">
      <w:pPr>
        <w:ind w:left="288" w:firstLine="288"/>
        <w:jc w:val="both"/>
        <w:rPr>
          <w:sz w:val="18"/>
        </w:rPr>
      </w:pPr>
      <w:r w:rsidRPr="00FC5566">
        <w:rPr>
          <w:sz w:val="18"/>
        </w:rPr>
        <w:t>The proposed rule change is not anticipated to impact revenue collections for state or local governmental units. The proposed rule change implements the Program to distribute grant funds to private landowners.</w:t>
      </w:r>
    </w:p>
    <w:p w14:paraId="3BF8A3E4" w14:textId="77777777" w:rsidR="00FC5566" w:rsidRPr="00FC5566" w:rsidRDefault="00FC5566" w:rsidP="00FC5566">
      <w:pPr>
        <w:ind w:left="288" w:hanging="288"/>
        <w:jc w:val="both"/>
        <w:rPr>
          <w:spacing w:val="-10"/>
          <w:sz w:val="18"/>
        </w:rPr>
      </w:pPr>
      <w:r w:rsidRPr="00FC5566">
        <w:rPr>
          <w:spacing w:val="-10"/>
          <w:sz w:val="18"/>
        </w:rPr>
        <w:t>III.</w:t>
      </w:r>
      <w:r w:rsidRPr="00FC5566">
        <w:rPr>
          <w:spacing w:val="-10"/>
          <w:sz w:val="18"/>
        </w:rPr>
        <w:tab/>
        <w:t>ESTIMATED COSTS AND/OR ECONOMIC BENEFITS TO DIRECTLY AFFECTED PERSONS, SMALL BUSINESSES, OR NONGOVERNMENTAL GROUPS (Summary)</w:t>
      </w:r>
    </w:p>
    <w:p w14:paraId="4CB431B4" w14:textId="77777777" w:rsidR="00FC5566" w:rsidRPr="00FC5566" w:rsidRDefault="00FC5566" w:rsidP="00FC5566">
      <w:pPr>
        <w:ind w:left="288" w:firstLine="288"/>
        <w:jc w:val="both"/>
        <w:rPr>
          <w:sz w:val="18"/>
        </w:rPr>
      </w:pPr>
      <w:r w:rsidRPr="00FC5566">
        <w:rPr>
          <w:sz w:val="18"/>
        </w:rPr>
        <w:t>The proposed rule change may have an economic benefit for DIRECTLY AFFECTED PERSONS, SMALL BUSINESSES, OR small businesses that receive incentive payments through the Program. There is no anticipated impact on any non-governmental groups.</w:t>
      </w:r>
    </w:p>
    <w:p w14:paraId="37E391FE" w14:textId="77777777" w:rsidR="00FC5566" w:rsidRPr="00FC5566" w:rsidRDefault="00FC5566" w:rsidP="00FC5566">
      <w:pPr>
        <w:ind w:left="288" w:hanging="288"/>
        <w:jc w:val="both"/>
        <w:rPr>
          <w:spacing w:val="-10"/>
          <w:sz w:val="18"/>
        </w:rPr>
      </w:pPr>
      <w:r w:rsidRPr="00FC5566">
        <w:rPr>
          <w:spacing w:val="-10"/>
          <w:sz w:val="18"/>
        </w:rPr>
        <w:t>IV.</w:t>
      </w:r>
      <w:r w:rsidRPr="00FC5566">
        <w:rPr>
          <w:spacing w:val="-10"/>
          <w:sz w:val="18"/>
        </w:rPr>
        <w:tab/>
        <w:t>ESTIMATED EFFECT ON COMPETITION AND EMPLOYMENT (Summary)</w:t>
      </w:r>
    </w:p>
    <w:p w14:paraId="3064A1AE" w14:textId="77777777" w:rsidR="00FC5566" w:rsidRPr="00FC5566" w:rsidRDefault="00FC5566" w:rsidP="00FC5566">
      <w:pPr>
        <w:ind w:left="288" w:firstLine="288"/>
        <w:jc w:val="both"/>
        <w:rPr>
          <w:sz w:val="18"/>
        </w:rPr>
      </w:pPr>
      <w:r w:rsidRPr="00FC5566">
        <w:rPr>
          <w:sz w:val="18"/>
        </w:rPr>
        <w:t>The proposed rule change is not anticipated to impact competition or employment in either the public or private sector.</w:t>
      </w:r>
    </w:p>
    <w:p w14:paraId="1F9B52F9" w14:textId="77777777" w:rsidR="00FC5566" w:rsidRPr="00FC5566" w:rsidRDefault="00FC5566" w:rsidP="00FC5566">
      <w:pPr>
        <w:ind w:left="288" w:firstLine="288"/>
        <w:jc w:val="both"/>
        <w:rPr>
          <w:sz w:val="18"/>
        </w:rPr>
      </w:pPr>
    </w:p>
    <w:p w14:paraId="24CAEE3B" w14:textId="77777777" w:rsidR="00FC5566" w:rsidRPr="00FC5566" w:rsidRDefault="00FC5566" w:rsidP="00FC5566">
      <w:pPr>
        <w:tabs>
          <w:tab w:val="left" w:pos="2880"/>
          <w:tab w:val="decimal" w:pos="2988"/>
        </w:tabs>
        <w:outlineLvl w:val="8"/>
        <w:rPr>
          <w:kern w:val="2"/>
          <w:sz w:val="18"/>
        </w:rPr>
      </w:pPr>
      <w:r w:rsidRPr="00FC5566">
        <w:rPr>
          <w:kern w:val="2"/>
          <w:sz w:val="18"/>
        </w:rPr>
        <w:t>Cara Tyler</w:t>
      </w:r>
      <w:r w:rsidRPr="00FC5566">
        <w:rPr>
          <w:kern w:val="2"/>
          <w:sz w:val="18"/>
        </w:rPr>
        <w:tab/>
        <w:t>Patrice Thomas</w:t>
      </w:r>
    </w:p>
    <w:p w14:paraId="182203C2" w14:textId="77777777" w:rsidR="00FC5566" w:rsidRPr="00FC5566" w:rsidRDefault="00FC5566" w:rsidP="00FC5566">
      <w:pPr>
        <w:tabs>
          <w:tab w:val="left" w:pos="2880"/>
          <w:tab w:val="decimal" w:pos="2988"/>
        </w:tabs>
        <w:outlineLvl w:val="8"/>
        <w:rPr>
          <w:kern w:val="2"/>
          <w:sz w:val="18"/>
        </w:rPr>
      </w:pPr>
      <w:r w:rsidRPr="00FC5566">
        <w:rPr>
          <w:kern w:val="2"/>
          <w:sz w:val="18"/>
        </w:rPr>
        <w:t>Undersecretary</w:t>
      </w:r>
      <w:r w:rsidRPr="00FC5566">
        <w:rPr>
          <w:kern w:val="2"/>
          <w:sz w:val="18"/>
        </w:rPr>
        <w:tab/>
        <w:t>Deputy Fiscal Officer</w:t>
      </w:r>
    </w:p>
    <w:p w14:paraId="6BF6F766" w14:textId="77777777" w:rsidR="00FC5566" w:rsidRPr="00FC5566" w:rsidRDefault="00FC5566" w:rsidP="00FC5566">
      <w:pPr>
        <w:tabs>
          <w:tab w:val="left" w:pos="2880"/>
          <w:tab w:val="decimal" w:pos="2988"/>
        </w:tabs>
        <w:outlineLvl w:val="8"/>
        <w:rPr>
          <w:kern w:val="2"/>
          <w:sz w:val="18"/>
        </w:rPr>
      </w:pPr>
      <w:r w:rsidRPr="00FC5566">
        <w:rPr>
          <w:noProof/>
          <w:sz w:val="16"/>
        </w:rPr>
        <w:t>2608#032</w:t>
      </w:r>
      <w:r w:rsidRPr="00FC5566">
        <w:rPr>
          <w:kern w:val="2"/>
        </w:rPr>
        <w:tab/>
      </w:r>
      <w:r w:rsidRPr="00FC5566">
        <w:rPr>
          <w:kern w:val="2"/>
          <w:sz w:val="18"/>
        </w:rPr>
        <w:t>Legislative Fiscal Office</w:t>
      </w:r>
    </w:p>
    <w:p w14:paraId="7C7E00A8" w14:textId="77777777" w:rsidR="00FC5566" w:rsidRPr="00FC5566" w:rsidRDefault="00FC5566" w:rsidP="00FC5566"/>
    <w:p w14:paraId="08EC2FEF" w14:textId="77777777" w:rsidR="00FC5566" w:rsidRPr="00FC5566" w:rsidRDefault="00FC5566" w:rsidP="00FC5566">
      <w:pPr>
        <w:keepNext/>
        <w:tabs>
          <w:tab w:val="left" w:pos="-1440"/>
        </w:tabs>
        <w:spacing w:after="120"/>
        <w:jc w:val="center"/>
        <w:rPr>
          <w:b/>
          <w:noProof/>
        </w:rPr>
      </w:pPr>
      <w:r w:rsidRPr="00FC5566">
        <w:rPr>
          <w:b/>
          <w:noProof/>
        </w:rPr>
        <w:t>NOTICE OF INTENT</w:t>
      </w:r>
    </w:p>
    <w:p w14:paraId="67F7A3E3" w14:textId="77777777" w:rsidR="00FC5566" w:rsidRPr="00FC5566" w:rsidRDefault="00FC5566" w:rsidP="00FC5566">
      <w:pPr>
        <w:keepNext/>
        <w:jc w:val="center"/>
        <w:rPr>
          <w:b/>
          <w:noProof/>
        </w:rPr>
      </w:pPr>
      <w:r w:rsidRPr="00FC5566">
        <w:rPr>
          <w:b/>
          <w:noProof/>
        </w:rPr>
        <w:t>Department of Wildlife and Fisheries</w:t>
      </w:r>
    </w:p>
    <w:p w14:paraId="225720EB" w14:textId="77777777" w:rsidR="00FC5566" w:rsidRPr="00FC5566" w:rsidRDefault="00FC5566" w:rsidP="00FC5566">
      <w:pPr>
        <w:keepNext/>
        <w:jc w:val="center"/>
        <w:rPr>
          <w:b/>
          <w:noProof/>
        </w:rPr>
      </w:pPr>
      <w:r w:rsidRPr="00FC5566">
        <w:rPr>
          <w:b/>
          <w:noProof/>
        </w:rPr>
        <w:t>Wildlife and Fisheries Commission</w:t>
      </w:r>
    </w:p>
    <w:p w14:paraId="0396AEF7" w14:textId="77777777" w:rsidR="00FC5566" w:rsidRPr="00FC5566" w:rsidRDefault="00FC5566" w:rsidP="00FC5566">
      <w:pPr>
        <w:keepNext/>
        <w:spacing w:before="240" w:after="240"/>
        <w:jc w:val="center"/>
        <w:rPr>
          <w:noProof/>
        </w:rPr>
      </w:pPr>
      <w:r w:rsidRPr="00FC5566">
        <w:rPr>
          <w:noProof/>
        </w:rPr>
        <w:t>Derelict Crab Trap Removal Program</w:t>
      </w:r>
      <w:r w:rsidRPr="00FC5566">
        <w:rPr>
          <w:noProof/>
        </w:rPr>
        <w:br/>
        <w:t>(LAC 76:VII.367)</w:t>
      </w:r>
    </w:p>
    <w:p w14:paraId="46C2FA2B"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Notice is hereby given in accordance with the Administrative Procedure Act, R.S. 49:961 et seq., and through the authority granted in R.S. 56:332(N), that the Wildlife and Fisheries Commission proposes to amend LAC 76:VII.367 to temporarily close a portion of state inside waters to the use of crab traps in order to facilitate the removal of abandoned crab traps in these waters.</w:t>
      </w:r>
    </w:p>
    <w:p w14:paraId="4104258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These abandoned crab traps can cause navigational hazards, user-group conflicts, and stress on the state blue crab stock by continuing to fish after being abandoned or displaced. Traps are often displaced or abandoned due to storm and tidal movements, theft, from having the floats cut by propellers, or are captured in another fisherman’s gear. The removal of these traps is necessary to keep Louisiana’s coast pristine, reduce litter, and to facilitate improvement of the blue crab stock.</w:t>
      </w:r>
    </w:p>
    <w:p w14:paraId="57217B92"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The Wildlife and Fisheries Commission amended the provisions in LAC 76:VII.367 governing the locations of temporary crab trap closures to address problems in portions of state waters resulting from a large number of abandoned and derelict crab traps since 2004. The Wildlife and Fisheries Commission took action on August 6, 2026 to describe a new portion of state waters to be temporarily closed in 2027 to the use of crab traps for the purpose of conducting a crab trap cleanup.</w:t>
      </w:r>
    </w:p>
    <w:p w14:paraId="3A8E78B7"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 xml:space="preserve">The secretary of the Department of Wildlife and Fisheries is authorized to take any and all necessary steps on behalf of the commission to promulgate and effectuate this Notice of Intent, including but not limited to, the filing of the Fiscal and Economic Impact Statement, the filing of the Notice of Intent and compiling public comments and submissions for the commission’s review and consideration. In the absence of any </w:t>
      </w:r>
      <w:r w:rsidRPr="00FC5566">
        <w:rPr>
          <w:rFonts w:eastAsia="Calibri"/>
          <w:kern w:val="2"/>
        </w:rPr>
        <w:br w:type="page"/>
      </w:r>
    </w:p>
    <w:p w14:paraId="06B9D4CF" w14:textId="77777777" w:rsidR="00FC5566" w:rsidRPr="00FC5566" w:rsidRDefault="00FC5566" w:rsidP="00FC5566">
      <w:pPr>
        <w:tabs>
          <w:tab w:val="left" w:pos="144"/>
          <w:tab w:val="left" w:pos="187"/>
          <w:tab w:val="left" w:pos="540"/>
          <w:tab w:val="left" w:pos="907"/>
          <w:tab w:val="left" w:pos="1080"/>
        </w:tabs>
        <w:jc w:val="both"/>
        <w:outlineLvl w:val="3"/>
        <w:rPr>
          <w:kern w:val="2"/>
        </w:rPr>
      </w:pPr>
      <w:r w:rsidRPr="00FC5566">
        <w:rPr>
          <w:rFonts w:eastAsia="Calibri"/>
          <w:kern w:val="2"/>
        </w:rPr>
        <w:lastRenderedPageBreak/>
        <w:t>further action by the commission following an opportunity to consider all public comments regarding the proposed Rule, the secretary is authorized and directed to prepare and transmit a summary report to the legislative oversight committees and file the final Rule.</w:t>
      </w:r>
    </w:p>
    <w:p w14:paraId="2225B1E3" w14:textId="77777777" w:rsidR="00FC5566" w:rsidRPr="00FC5566" w:rsidRDefault="00FC5566" w:rsidP="00FC5566">
      <w:pPr>
        <w:keepNext/>
        <w:jc w:val="center"/>
        <w:rPr>
          <w:b/>
          <w:kern w:val="28"/>
        </w:rPr>
      </w:pPr>
      <w:r w:rsidRPr="00FC5566">
        <w:rPr>
          <w:b/>
          <w:kern w:val="28"/>
        </w:rPr>
        <w:t>Title 76</w:t>
      </w:r>
    </w:p>
    <w:p w14:paraId="1B261D25" w14:textId="77777777" w:rsidR="00FC5566" w:rsidRPr="00FC5566" w:rsidRDefault="00FC5566" w:rsidP="00FC5566">
      <w:pPr>
        <w:keepNext/>
        <w:jc w:val="center"/>
        <w:rPr>
          <w:b/>
          <w:kern w:val="28"/>
        </w:rPr>
      </w:pPr>
      <w:r w:rsidRPr="00FC5566">
        <w:rPr>
          <w:b/>
          <w:kern w:val="28"/>
        </w:rPr>
        <w:t>WILDLIFE AND FISHERIES</w:t>
      </w:r>
    </w:p>
    <w:p w14:paraId="2038D974" w14:textId="77777777" w:rsidR="00FC5566" w:rsidRPr="00FC5566" w:rsidRDefault="00FC5566" w:rsidP="00FC5566">
      <w:pPr>
        <w:keepNext/>
        <w:jc w:val="center"/>
        <w:rPr>
          <w:b/>
          <w:noProof/>
        </w:rPr>
      </w:pPr>
      <w:r w:rsidRPr="00FC5566">
        <w:rPr>
          <w:b/>
          <w:noProof/>
        </w:rPr>
        <w:t>Part VII.  Fish and Other Aquatic Life</w:t>
      </w:r>
    </w:p>
    <w:p w14:paraId="3FFAF5C8"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Chapter 3.</w:t>
      </w:r>
      <w:r w:rsidRPr="00FC5566">
        <w:rPr>
          <w:b/>
          <w:kern w:val="2"/>
        </w:rPr>
        <w:tab/>
        <w:t>Saltwater Sport and Commercial Fishery</w:t>
      </w:r>
    </w:p>
    <w:p w14:paraId="19B3CDCE"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§367.</w:t>
      </w:r>
      <w:r w:rsidRPr="00FC5566">
        <w:rPr>
          <w:b/>
          <w:kern w:val="2"/>
        </w:rPr>
        <w:tab/>
        <w:t>Derelict Crab Trap Removal Program</w:t>
      </w:r>
    </w:p>
    <w:p w14:paraId="21EB0AA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The use of crab traps shall be prohibited for a 14-day period from 12 a.m. February 1, 2027 through 11:59 p.m. February 14, 2027 within portions of Iberia and Vermilion Parishes as described below:</w:t>
      </w:r>
    </w:p>
    <w:p w14:paraId="5103EEE6"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from a point originating from the intersection of the Acadiana Navigational Channel and the Gulf Intracoastal Waterway (29 degrees 50 minutes 33.79 seconds north latitude, 91 degrees 50 minutes 26.43 seconds west longitude); thence westerly and southerly along the northern shore of the Gulf Intracoastal Waterway to its intersection with the western shore of Freshwater Bayou Canal; thence southwesterly along the western shore of Freshwater Bayou Canal to a point (29 degrees 44 minutes 54.06 seconds north latitude, 92 degrees 13 minutes 02.27 seconds west longitude) near its intersection with the westernmost shore of Vermilion Bay; thence southerly and easterly along the western shore of Vermilion Bay to Redfish Point; thence westerly and southerly along the southwestern shore of Vermilion Bay to its intersection with the western shore of Hell Hole; thence southerly and easterly along the western shore of Hell Hole to its intersection with Hell Hole Bayou; thence northerly along the eastern shore of Hell Hole to its intersection with the southern shore of Vermilion Bay; thence easterly along the southern shore of Vermilion Bay to Southwest Point; thence southeasterly along the southern shore of Vermilion Bay to the Green Light Channel Marker number 21 (29 degrees 36 minutes 44.54 seconds north latitude, 92 degrees 00 minutes 21.80 seconds west longitude); thence southerly to the red navigational marker number 20 (29 degrees 36 minutes 12.55 seconds north latitude, 92 degrees 00 minutes 18.48 seconds west longitude) near the Marsh Island shoreline near Southwest Pass; thence northeast along the Acadiana Navigational Channel red buoy line and terminating at the origin.</w:t>
      </w:r>
    </w:p>
    <w:p w14:paraId="1EF0C5AC"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The use of crab traps shall be prohibited for a 14-day period from 12:00 a.m. February 1, 2027 through 11:59 p.m. February 14, 2027 within Terrebonne Parish as described below:</w:t>
      </w:r>
    </w:p>
    <w:p w14:paraId="15DC2257"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 xml:space="preserve">from a point originating on the eastern shoreline of Bayou Dularge at 29 degrees 21 minutes 46.71 seconds north latitude, 90 degrees 49 minutes 11.65 seconds west longitude; thence westerly along latitude 29 degrees 21 minutes 46.71 seconds north to a point on the southern shoreline of Bayou de Cade (29 degrees 21 minutes 46.71 seconds north latitude, 90 degrees 55 minutes 51.50 seconds west longitude); thence northerly along longitude 90 degrees 55 minutes 51.50 seconds west to a point on the northern shoreline of Bayou de Cade (29 degrees 21 minutes 49.94 seconds north latitude, 90 degrees 55 minutes 51.50 seconds west longitude); thence southwesterly along the northern shoreline of Bayou de Cade to its intersection with Lost Lake; thence westerly and southerly along the northern and western shorelines of Lost </w:t>
      </w:r>
      <w:r w:rsidRPr="00FC5566">
        <w:rPr>
          <w:kern w:val="2"/>
        </w:rPr>
        <w:t>Lake to its intersection with the western shoreline of Rice Bayou; thence southerly along the western shoreline of Rice Bayou to its intersection with Blue Hammock Bayou (29 degrees 18 minutes 19.26 seconds north latitude, 91 degrees 05 minutes 05.33 seconds west longitude); thence southwesterly along the northern shore of Blue Hammock Bayou to Four League Bay (29 degrees 17 minutes 43.49 seconds north latitude, 91 degrees 07 minutes 26.81 seconds west longitude); thence southerly along the eastern shoreline of Four League Bay to the mouth of Oyster Bayou; thence southerly along the eastern shoreline of Oyster Bayou to a point along the inside-outside shrimp line as defined in LAC 76:VII.370 (29 degrees 13 minutes 17.52 seconds north latitude, 91 degrees 07 minutes 45.76 seconds west longitude); thence easterly along the inside-outside shrimp line to the eastern shoreline of Bayou Grand Caillou; thence northeasterly along the eastern shoreline of Bayou Grand Caillou to its intersection with the southern shoreline of the Tennessee Gas Pipeline (29 degrees 14 minutes 56.52 seconds north latitude, 90 degrees 48 minutes 17.97 seconds west longitude); thence northwesterly across Bayou Grand Caillou to the western shoreline of Bayou Grand Caillou and the northern shoreline of the Tennessee Gas Pipeline Canal (29 degrees 15 minutes 5.55 seconds north latitude, 90 degrees 48 minutes 26.46 seconds west longitude); thence northwesterly along the northern shoreline of the Tennessee Gas Pipeline Canal to the eastern shore of Bayou Dularge (29 degrees 17 minutes 48.98 seconds north latitude, 90 degrees 52 minutes 23.57 seconds west longitude); thence northeasterly along the eastern shoreline of Bayou Dularge and terminating at the origin.</w:t>
      </w:r>
    </w:p>
    <w:p w14:paraId="391E28B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The use of crab traps shall be prohibited for a 14-day period from 12:00 a.m. February 10, 2027 through 11:59 p.m. February 23, 2027 within portions of Plaquemines Parish as described below:</w:t>
      </w:r>
    </w:p>
    <w:p w14:paraId="550BD3E9"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from a point originating on the south bound lane of Louisiana Highway 23 (29 degrees 28 minutes 35.89 seconds north latitude, 89 degrees 41 minutes 25.88 seconds west longitude), approximately 0.15 miles south of the Plaquemines Parish Government Office in Port Sulphur; thence southwesterly along the northern shoreline of the Freeport Sulphur Canal to a point on the northern shoreline of the Freeport Sulphur Canal (29 degrees 24 minutes 36.94 seconds north latitude, 89 degrees 46 minutes 00.00 seconds west longitude); thence due south along 89 degrees 46 minutes 00.00 seconds west longitude to a point on the inside-outside shrimp line as defined in LAC 76:VII.370 (29 degrees 18 minutes 39.23 seconds north latitude, 89 degrees 46 minutes 00.00 seconds west longitude); thence easterly along the inside-outside shrimp line to a point on the inside-outside shrimp line (29 degrees 14 minutes 56.00 seconds north latitude, 89 degrees 35 minutes 14.00 seconds west longitude); thence due north along 89 degrees 35 minutes 14.00 seconds west longitude to a point on the</w:t>
      </w:r>
      <w:r w:rsidRPr="00FC5566">
        <w:rPr>
          <w:kern w:val="2"/>
          <w:sz w:val="16"/>
          <w:szCs w:val="16"/>
        </w:rPr>
        <w:t xml:space="preserve"> </w:t>
      </w:r>
      <w:r w:rsidRPr="00FC5566">
        <w:rPr>
          <w:kern w:val="2"/>
        </w:rPr>
        <w:t xml:space="preserve">south bound lane of Louisiana Highway 23 (29 degrees 22 minutes 21.40 seconds north latitude, 89 degrees 35 minutes 14.00 seconds west longitude); thence northwesterly along Louisiana Highway 23 and terminating at the origin. </w:t>
      </w:r>
    </w:p>
    <w:p w14:paraId="41CD61AB"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D.</w:t>
      </w:r>
      <w:r w:rsidRPr="00FC5566">
        <w:rPr>
          <w:kern w:val="2"/>
        </w:rPr>
        <w:tab/>
        <w:t>The use of crab traps shall be prohibited for a 14-day period from 12:00 a.m. February 15, 2027 through 11:59 p.m. February 28, 2027 within portions of Cameron Parish as described below:</w:t>
      </w:r>
    </w:p>
    <w:p w14:paraId="7F28B6A8" w14:textId="77777777" w:rsidR="00FC5566" w:rsidRPr="00FC5566" w:rsidRDefault="00FC5566" w:rsidP="00FC5566">
      <w:pPr>
        <w:tabs>
          <w:tab w:val="left" w:pos="720"/>
          <w:tab w:val="left" w:pos="979"/>
          <w:tab w:val="left" w:pos="1152"/>
        </w:tabs>
        <w:ind w:firstLine="360"/>
        <w:jc w:val="both"/>
        <w:outlineLvl w:val="4"/>
        <w:rPr>
          <w:kern w:val="2"/>
          <w:highlight w:val="yellow"/>
        </w:rPr>
      </w:pPr>
      <w:r w:rsidRPr="00FC5566">
        <w:rPr>
          <w:kern w:val="2"/>
        </w:rPr>
        <w:lastRenderedPageBreak/>
        <w:t>1.</w:t>
      </w:r>
      <w:r w:rsidRPr="00FC5566">
        <w:rPr>
          <w:kern w:val="2"/>
        </w:rPr>
        <w:tab/>
        <w:t>from a point located where the north bound lane of Highway 27 intersects the northern shoreline of West Cove Canal at 29 degrees 52 minutes 00.52 seconds north latitude, 93 degrees 27 minutes 13.66 seconds west longitude; thence southwesterly along the north bound lane of Highway 27 to its intersection with the southern shoreline of West Cove Canal (29 degrees 52 minutes 00.17 seconds north latitude, 93 degrees 27 minutes 14.29 seconds west longitude); thence southeasterly along the southern shoreline of West Cove Canal to its intersection with the Calcasieu Lake – West Cove (henceforth known as West Cove) at 29 minutes 51 degrees 44.10 seconds north latitude, 93 degrees 26 minutes 36.26 seconds west longitude; thence southeasterly following the western and southern shorelines of West Cove to its intersection with the southern shoreline of the Calcasieu Pass West Fork (29 degrees 49 minutes 54.53 seconds north latitude, 93 degrees 23 minutes 15.81 seconds west longitude); thence southerly and easterly along southern shoreline of the Calcasieu Pass West Fork to its intersection with the Calcasieu Lake Ship Channel (29 degrees 49 minutes 13.82 seconds north latitude, 93 degrees 21 minutes 01.03 seconds west longitude); thence northerly to a point on the northern shoreline of the Calcasieu Lake West Fork (29 degrees 49 minutes 27.26 seconds north latitude, 93 degrees 20 minutes 59.79 seconds west longitude); thence northwesterly along the northern shoreline of the Calcasieu Lake West Fork to its intersection with West Cove (29 degrees 49 minutes 45.45 seconds north latitude, 93 degrees 22 minutes 56.75 seconds west longitude); thence easterly along the southern shoreline of West Cove to the eastern shoreline of West Cove; thence northerly along the eastern shoreline of West Cove to the northern shoreline of West Cove; thence westerly and southerly along the northern and western shorelines of West Cove to its intersection with the northern shoreline of West Cove Canal (29 degrees 51 minutes 46.11 seconds north latitude, 93 degrees 26 minutes 35.43 seconds west longitude); thence northwesterly along the northern shoreline of West Cove Canal and terminating at the origin.</w:t>
      </w:r>
    </w:p>
    <w:p w14:paraId="57F44D8E"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E.</w:t>
      </w:r>
      <w:r w:rsidRPr="00FC5566">
        <w:rPr>
          <w:kern w:val="2"/>
        </w:rPr>
        <w:tab/>
        <w:t>The use of crab traps shall be prohibited for a 14-day period from 12:00 a.m. February 15, 2027 through 11:59 p.m. February 28, 2027 within portions of Plaquemines and St. Bernard Parishes as described below:</w:t>
      </w:r>
    </w:p>
    <w:p w14:paraId="52502A9C"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 xml:space="preserve">from a point originating at the intersection of the western shoreline of Bayou Terre Aux Boeufs and the western shoreline of Bayou Gentilly (29 degrees 45 minutes 39.81 seconds north latitude, 89 degrees 47 minutes 30.29 seconds west longitude); thence southerly along the western shoreline of Bayou Gentilly to its intersection with Petit Lake (29 degrees 43 minutes 45.19 seconds north latitude, 89 degrees 48 minutes 02.37 seconds west longitude); thence westerly following the northern and western shorelines of Petit Lake to its intersection with Alligator Pass (29 degrees 43 minutes 26.65 seconds north latitude, 89 degrees 48 minutes 39.16 seconds west longitude); thence westerly following the northern shoreline of Alligator Pass into Grand Lake; thence westerly and southerly along the northern and western shorelines of Grand Lake to its intersection with the western shoreline of Orange Bayou (29 degrees 41 minutes 58.25 seconds north latitude, 89 degrees 51 minutes 30.88 seconds west longitude); thence southerly along the western shoreline of Orange Bayou to its intersection with the eastern shoreline of River Aux Chenes (29 degrees 40 minutes 57.53 seconds </w:t>
      </w:r>
      <w:r w:rsidRPr="00FC5566">
        <w:rPr>
          <w:kern w:val="2"/>
        </w:rPr>
        <w:t>north latitude, 89 degrees 51 minutes 43.98 seconds west longitude); thence southerly to the western shoreline of River Aux Chenes (29 degrees 40 minutes 54.79 seconds north latitude, 89 degrees 51 minutes 43.98 seconds west longitude); thence southeasterly along the western shoreline of River Aux Chenes to its intersection with Bay of River Aux Chenes (29 degrees 38 minutes 12.97 seconds north latitude, 89 degrees 39 minutes 39.14 seconds west longitude); thence northerly and easterly along the northern shoreline of Bay of River Aux Chenes to its intersection with the western shoreline of Lake Campo Pass (29 degrees 38 minutes 47.55 seconds north latitude, 89 degrees 38 minutes 36.47 seconds west longitude); thence northerly along the western shoreline of Lake Campo Pass to its intersection with Lake Campo (29 degrees 39 minutes 19.10 seconds north latitude, 89 degrees 38 minutes 47.40 seconds west longitude); thence easterly along the western, northern, and eastern shorelines of Lake Campo to its intersection with the northern shoreline of Dead Duck Pass (29 degrees 39 minutes 33.15 seconds north latitude, 89 degrees 37 minutes 14.78 seconds west longitude); thence southeasterly along the marsh shoreline of Dead Duck Pass and the marsh shoreline along the western shoreline of Bayou Terre Aux Boeufs to Mozambique Point (29 degrees 38 minutes 04.25 seconds north latitude, 89 degrees 30 minutes 03.70 seconds west longitude); thence northwesterly along the marsh shoreline along the eastern shoreline of Bayou Terre Aux Boeufs and the marsh islands surrounding Drum Bay to its intersection with the eastern shoreline of Pumpkin Bay (29 degrees 40 minutes 34.57 seconds north latitude, 89 degrees 33 minutes 30.96 seconds west longitude); thence southerly and westerly along the eastern and southern shorelines of Pumpkin Bay and the southern marsh of Bayou Grande to its intersection with Bayou Terre Aux Boeufs (29 degrees 41 minutes 02.81 seconds north latitude, 89 degrees 37 minutes 50.39 seconds west longitude); thence northwesterly along the eastern shoreline of Bayou Terre Aux Boeufs to 29 degrees 45 minutes 41.88 seconds north latitude, 89 degrees 47 minutes 28.65 seconds west longitude; thence southwesterly and terminating at the origin.</w:t>
      </w:r>
    </w:p>
    <w:p w14:paraId="687F7D5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F.</w:t>
      </w:r>
      <w:r w:rsidRPr="00FC5566">
        <w:rPr>
          <w:kern w:val="2"/>
        </w:rPr>
        <w:tab/>
        <w:t>All crab traps remaining in the closed area during the specified period shall be considered abandoned. Crab trap removal regulations do not provide authorization for access to private property; authorization to access private property can only be provided by individual landowners. Crab traps may be removed only between one-half hour before sunrise to one-half hour after sunset. Department of Wildlife and Fisheries personnel or its designees are authorized to remove these abandoned crab traps within the closed area. All traps removed during a closed area are to be brought to the designated disposal area. The Wildlife and Fisheries Commission authorizes the secretary of the Department of Wildlife and Fisheries to designate disposal sites and determine the final disposition of crab traps removed from the closure areas, including but not limited to disposal, buy-back, recycling, surplus in conformity with R.S. 39:330.1, or returned to industry members participating in the retrieval of crab traps from within a closure area.</w:t>
      </w:r>
    </w:p>
    <w:p w14:paraId="7DF81DD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56:332(N).</w:t>
      </w:r>
    </w:p>
    <w:p w14:paraId="329D9387"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i/>
          <w:kern w:val="2"/>
          <w:sz w:val="18"/>
        </w:rPr>
      </w:pPr>
      <w:r w:rsidRPr="00FC5566">
        <w:rPr>
          <w:kern w:val="2"/>
          <w:sz w:val="18"/>
        </w:rPr>
        <w:t>HISTORICAL NOTE:</w:t>
      </w:r>
      <w:r w:rsidRPr="00FC5566">
        <w:rPr>
          <w:kern w:val="2"/>
          <w:sz w:val="18"/>
        </w:rPr>
        <w:tab/>
        <w:t xml:space="preserve">Promulgated by the Department of Wildlife and Fisheries, Wildlife and Fisheries Commission LR 30:101 (January 2004), amended LR 31:108 (January 2005), LR </w:t>
      </w:r>
      <w:r w:rsidRPr="00FC5566">
        <w:rPr>
          <w:kern w:val="2"/>
          <w:sz w:val="18"/>
        </w:rPr>
        <w:lastRenderedPageBreak/>
        <w:t xml:space="preserve">32:266 (February 2006), LR 33:113 (January 2007), LR 34:97 (January 2008), LR 36:77 (January 2010), LR 38:146 (January 2012), LR 38:3250 (December 2012), LR 40:96 (January 2014), LR 41:155 (January 2015), LR 42:70 (January 2016), amended by the Department of Wildlife and Fisheries, Office of Fisheries and the Wildlife and Fisheries Commission, LR 42:2196 (December 2016), LR 44:100 (January 2018), LR 45:78 (January 2019), repromulgated LR 45:282 (February 2019), amended by the Department of Wildlife and Fisheries, Wildlife and Fisheries Commission LR 45:1815 (December 2019), LR 46:1613 (November 2020), LR 47:1649 (November 2021), LR 48:2767 (November 2022), LR 50:38 (January 2024), LR 50:1860 (December 2024), LR 51:1892 (November 2025), LR 52: </w:t>
      </w:r>
    </w:p>
    <w:p w14:paraId="62317463" w14:textId="77777777" w:rsidR="00FC5566" w:rsidRPr="00FC5566" w:rsidRDefault="00FC5566" w:rsidP="00FC5566">
      <w:pPr>
        <w:keepNext/>
        <w:jc w:val="center"/>
        <w:rPr>
          <w:b/>
          <w:kern w:val="28"/>
        </w:rPr>
      </w:pPr>
      <w:r w:rsidRPr="00FC5566">
        <w:rPr>
          <w:b/>
          <w:kern w:val="28"/>
        </w:rPr>
        <w:t>Family Impact Statement</w:t>
      </w:r>
    </w:p>
    <w:p w14:paraId="1E4AEBB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In accordance with Act 1183 of 1999 Regular Session of the Louisiana Legislature, the Department of Wildlife and Fisheries, Wildlife and Fisheries Commission hereby issues its Family Impact Statement in connection with the preceding Notice of Intent. This Notice of Intent will have no impact on the six criteria set out at R.S. 49:972(B).</w:t>
      </w:r>
    </w:p>
    <w:p w14:paraId="3B414E41" w14:textId="77777777" w:rsidR="00FC5566" w:rsidRPr="00FC5566" w:rsidRDefault="00FC5566" w:rsidP="00FC5566">
      <w:pPr>
        <w:keepNext/>
        <w:jc w:val="center"/>
        <w:rPr>
          <w:b/>
          <w:kern w:val="28"/>
        </w:rPr>
      </w:pPr>
      <w:r w:rsidRPr="00FC5566">
        <w:rPr>
          <w:b/>
          <w:kern w:val="28"/>
        </w:rPr>
        <w:t>Poverty Impact Statement</w:t>
      </w:r>
    </w:p>
    <w:p w14:paraId="5363E2B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The proposed rulemaking will have no impact on poverty as described in R.S.49:973.</w:t>
      </w:r>
    </w:p>
    <w:p w14:paraId="39FE3F4F" w14:textId="77777777" w:rsidR="00FC5566" w:rsidRPr="00FC5566" w:rsidRDefault="00FC5566" w:rsidP="00FC5566">
      <w:pPr>
        <w:keepNext/>
        <w:jc w:val="center"/>
        <w:rPr>
          <w:rFonts w:eastAsia="Aptos"/>
          <w:b/>
          <w:kern w:val="28"/>
        </w:rPr>
      </w:pPr>
      <w:r w:rsidRPr="00FC5566">
        <w:rPr>
          <w:rFonts w:eastAsia="Aptos"/>
          <w:b/>
          <w:kern w:val="28"/>
        </w:rPr>
        <w:t xml:space="preserve">Small </w:t>
      </w:r>
      <w:r w:rsidRPr="00FC5566">
        <w:rPr>
          <w:b/>
          <w:kern w:val="28"/>
        </w:rPr>
        <w:t>Business</w:t>
      </w:r>
      <w:r w:rsidRPr="00FC5566">
        <w:rPr>
          <w:rFonts w:eastAsia="Aptos"/>
          <w:b/>
          <w:kern w:val="28"/>
        </w:rPr>
        <w:t xml:space="preserve"> Analysis</w:t>
      </w:r>
    </w:p>
    <w:p w14:paraId="69CF7A9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sz w:val="22"/>
          <w:szCs w:val="22"/>
        </w:rPr>
      </w:pPr>
      <w:r w:rsidRPr="00FC5566">
        <w:rPr>
          <w:kern w:val="2"/>
        </w:rPr>
        <w:t>The proposed Rule change may have a minor, short-term negative effect on revenues for certain commercial crab harvesters who catch crab in the affected areas and for the seafood dealers who purchase crabs from them. Most of the commercial crab harvesters and many of the seafood dealers meet the qualifications of small businesses.</w:t>
      </w:r>
    </w:p>
    <w:p w14:paraId="579EB1DE" w14:textId="77777777" w:rsidR="00FC5566" w:rsidRPr="00FC5566" w:rsidRDefault="00FC5566" w:rsidP="00FC5566">
      <w:pPr>
        <w:keepNext/>
        <w:jc w:val="center"/>
        <w:rPr>
          <w:rFonts w:eastAsia="Calibri"/>
          <w:b/>
          <w:kern w:val="28"/>
        </w:rPr>
      </w:pPr>
      <w:r w:rsidRPr="00FC5566">
        <w:rPr>
          <w:rFonts w:eastAsia="Calibri"/>
          <w:b/>
          <w:kern w:val="28"/>
        </w:rPr>
        <w:t xml:space="preserve">Provider </w:t>
      </w:r>
      <w:r w:rsidRPr="00FC5566">
        <w:rPr>
          <w:b/>
          <w:kern w:val="28"/>
        </w:rPr>
        <w:t>Impact</w:t>
      </w:r>
      <w:r w:rsidRPr="00FC5566">
        <w:rPr>
          <w:rFonts w:eastAsia="Calibri"/>
          <w:b/>
          <w:kern w:val="28"/>
        </w:rPr>
        <w:t xml:space="preserve"> Statement</w:t>
      </w:r>
    </w:p>
    <w:p w14:paraId="7E1A88A2"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This proposed Rule has no known impact on providers as described in HCR 170 of 2014.</w:t>
      </w:r>
    </w:p>
    <w:p w14:paraId="5AF899C6" w14:textId="77777777" w:rsidR="00FC5566" w:rsidRPr="00FC5566" w:rsidRDefault="00FC5566" w:rsidP="00FC5566">
      <w:pPr>
        <w:keepNext/>
        <w:jc w:val="center"/>
        <w:rPr>
          <w:b/>
          <w:kern w:val="28"/>
        </w:rPr>
      </w:pPr>
      <w:r w:rsidRPr="00FC5566">
        <w:rPr>
          <w:b/>
          <w:kern w:val="28"/>
        </w:rPr>
        <w:t>Public Comments</w:t>
      </w:r>
    </w:p>
    <w:p w14:paraId="0E30229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Interested persons may submit written comments relative to the proposed Rule to Konner Lockfield, Marine Fisheries Biologist DCL-B, Marine Fisheries Section, 2045 Lakeshore Drive, Suite 403, New Orleans, LA 70122, or via email to klockfield@wlf.la.gov prior to September 25, 2026.</w:t>
      </w:r>
    </w:p>
    <w:p w14:paraId="67AABBC9"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p w14:paraId="1BF3072E" w14:textId="77777777" w:rsidR="00FC5566" w:rsidRPr="00FC5566" w:rsidRDefault="00FC5566" w:rsidP="00FC5566">
      <w:pPr>
        <w:keepNext/>
        <w:ind w:left="2160"/>
        <w:jc w:val="both"/>
      </w:pPr>
      <w:r w:rsidRPr="00FC5566">
        <w:t>Kenneth A. "Andy" Brister</w:t>
      </w:r>
    </w:p>
    <w:p w14:paraId="55673E89" w14:textId="77777777" w:rsidR="00FC5566" w:rsidRPr="00FC5566" w:rsidRDefault="00FC5566" w:rsidP="00FC5566">
      <w:pPr>
        <w:keepNext/>
        <w:ind w:left="2160"/>
        <w:jc w:val="both"/>
      </w:pPr>
      <w:r w:rsidRPr="00FC5566">
        <w:t>Chairman</w:t>
      </w:r>
    </w:p>
    <w:p w14:paraId="74D6EAE7" w14:textId="77777777" w:rsidR="00FC5566" w:rsidRPr="00FC5566" w:rsidRDefault="00FC5566" w:rsidP="00FC5566">
      <w:pPr>
        <w:keepNext/>
        <w:jc w:val="center"/>
        <w:rPr>
          <w:b/>
        </w:rPr>
      </w:pPr>
    </w:p>
    <w:p w14:paraId="73FE97A7" w14:textId="77777777" w:rsidR="00FC5566" w:rsidRPr="00FC5566" w:rsidRDefault="00FC5566" w:rsidP="00FC5566">
      <w:pPr>
        <w:keepNext/>
        <w:jc w:val="center"/>
        <w:rPr>
          <w:b/>
        </w:rPr>
      </w:pPr>
      <w:r w:rsidRPr="00FC5566">
        <w:rPr>
          <w:b/>
        </w:rPr>
        <w:t>FISCAL AND ECONOMIC IMPACT STATEMENT FOR ADMINISTRATIVE RULES</w:t>
      </w:r>
    </w:p>
    <w:p w14:paraId="090CC5B3" w14:textId="77777777" w:rsidR="00FC5566" w:rsidRPr="00FC5566" w:rsidRDefault="00FC5566" w:rsidP="00FC5566">
      <w:pPr>
        <w:keepNext/>
        <w:jc w:val="center"/>
        <w:rPr>
          <w:b/>
          <w:noProof/>
        </w:rPr>
      </w:pPr>
      <w:r w:rsidRPr="00FC5566">
        <w:rPr>
          <w:b/>
          <w:noProof/>
        </w:rPr>
        <w:t>RULE TITLE:  Derelict Crab Trap Removal Program</w:t>
      </w:r>
    </w:p>
    <w:p w14:paraId="4A092A62"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5CABE0F2" w14:textId="77777777" w:rsidR="00FC5566" w:rsidRPr="00FC5566" w:rsidRDefault="00FC5566" w:rsidP="00FC5566">
      <w:pPr>
        <w:ind w:left="288" w:hanging="288"/>
        <w:jc w:val="both"/>
        <w:rPr>
          <w:spacing w:val="-10"/>
          <w:sz w:val="18"/>
        </w:rPr>
      </w:pPr>
      <w:r w:rsidRPr="00FC5566">
        <w:rPr>
          <w:spacing w:val="-10"/>
          <w:sz w:val="18"/>
        </w:rPr>
        <w:t>I.</w:t>
      </w:r>
      <w:r w:rsidRPr="00FC5566">
        <w:rPr>
          <w:spacing w:val="-10"/>
          <w:sz w:val="18"/>
        </w:rPr>
        <w:tab/>
        <w:t>ESTIMATED IMPLEMENTATION COSTS (SAVINGS) TO STATE OR LOCAL GOVERNMENT UNITS (Summary)</w:t>
      </w:r>
    </w:p>
    <w:p w14:paraId="48E17A9B" w14:textId="77777777" w:rsidR="00FC5566" w:rsidRPr="00FC5566" w:rsidRDefault="00FC5566" w:rsidP="00FC5566">
      <w:pPr>
        <w:ind w:left="288" w:firstLine="288"/>
        <w:jc w:val="both"/>
        <w:rPr>
          <w:noProof/>
          <w:sz w:val="18"/>
        </w:rPr>
      </w:pPr>
      <w:r w:rsidRPr="00FC5566">
        <w:rPr>
          <w:noProof/>
          <w:sz w:val="18"/>
        </w:rPr>
        <w:t>The proposed rule change is not anticipated to impact expenditures for the Louisiana Department of Wildlife and Fisheries (LDWF).</w:t>
      </w:r>
    </w:p>
    <w:p w14:paraId="0D296C38" w14:textId="77777777" w:rsidR="00FC5566" w:rsidRPr="00FC5566" w:rsidRDefault="00FC5566" w:rsidP="00FC5566">
      <w:pPr>
        <w:ind w:left="288" w:firstLine="288"/>
        <w:jc w:val="both"/>
        <w:rPr>
          <w:sz w:val="18"/>
        </w:rPr>
      </w:pPr>
      <w:r w:rsidRPr="00FC5566">
        <w:rPr>
          <w:sz w:val="18"/>
        </w:rPr>
        <w:t>The proposed rule change would prohibit the use of crab traps in portions of six parishes for different periods in February 2027. The proposed rule would ban the local use of crab traps in parts of Iberia, Terrebonne, and Vermilion parishes (February 1 to February 14, 2027); portions of Plaquemines Parish (February 10 to February 23, 2027); and parts of Cameron, Plaquemines, and Saint Bernard parishes (February 15 to February 28, 2027).</w:t>
      </w:r>
    </w:p>
    <w:p w14:paraId="09296701" w14:textId="77777777" w:rsidR="00FC5566" w:rsidRPr="00FC5566" w:rsidRDefault="00FC5566" w:rsidP="00FC5566">
      <w:pPr>
        <w:ind w:left="288" w:hanging="288"/>
        <w:jc w:val="both"/>
        <w:rPr>
          <w:spacing w:val="-10"/>
          <w:sz w:val="18"/>
        </w:rPr>
      </w:pPr>
      <w:r w:rsidRPr="00FC5566">
        <w:rPr>
          <w:spacing w:val="-10"/>
          <w:sz w:val="18"/>
        </w:rPr>
        <w:t>II.</w:t>
      </w:r>
      <w:r w:rsidRPr="00FC5566">
        <w:rPr>
          <w:spacing w:val="-10"/>
          <w:sz w:val="18"/>
        </w:rPr>
        <w:tab/>
        <w:t>ESTIMATED EFFECT ON REVENUE COLLECTIONS OF STATE OR LOCAL GOVERNMENTAL UNITS (Summary)</w:t>
      </w:r>
    </w:p>
    <w:p w14:paraId="14614FDB" w14:textId="77777777" w:rsidR="00FC5566" w:rsidRPr="00FC5566" w:rsidRDefault="00FC5566" w:rsidP="00FC5566">
      <w:pPr>
        <w:ind w:left="288" w:firstLine="288"/>
        <w:jc w:val="both"/>
        <w:rPr>
          <w:sz w:val="18"/>
        </w:rPr>
      </w:pPr>
      <w:r w:rsidRPr="00FC5566">
        <w:rPr>
          <w:sz w:val="18"/>
        </w:rPr>
        <w:t>The proposed rule change is not anticipated to have any impact on the revenues of the state or local governmental units.</w:t>
      </w:r>
    </w:p>
    <w:p w14:paraId="74414AC3" w14:textId="77777777" w:rsidR="00FC5566" w:rsidRPr="00FC5566" w:rsidRDefault="00FC5566" w:rsidP="00FC5566">
      <w:pPr>
        <w:ind w:left="288" w:hanging="288"/>
        <w:jc w:val="both"/>
        <w:rPr>
          <w:spacing w:val="-10"/>
          <w:sz w:val="18"/>
        </w:rPr>
      </w:pPr>
      <w:r w:rsidRPr="00FC5566">
        <w:rPr>
          <w:spacing w:val="-10"/>
          <w:sz w:val="18"/>
        </w:rPr>
        <w:t>III.</w:t>
      </w:r>
      <w:r w:rsidRPr="00FC5566">
        <w:rPr>
          <w:spacing w:val="-10"/>
          <w:sz w:val="18"/>
        </w:rPr>
        <w:tab/>
        <w:t>ESTIMATED COSTS AND/OR ECONOMIC BENEFITS TO DIRECTLY AFFECTED PERSONS, SMALL BUSINESSES, OR NONGOVERNMENTAL GROUPS (Summary)</w:t>
      </w:r>
    </w:p>
    <w:p w14:paraId="07DE229D" w14:textId="77777777" w:rsidR="00FC5566" w:rsidRPr="00FC5566" w:rsidRDefault="00FC5566" w:rsidP="00FC5566">
      <w:pPr>
        <w:ind w:left="288" w:firstLine="288"/>
        <w:jc w:val="both"/>
        <w:rPr>
          <w:noProof/>
          <w:sz w:val="18"/>
        </w:rPr>
      </w:pPr>
      <w:r w:rsidRPr="00FC5566">
        <w:rPr>
          <w:noProof/>
          <w:sz w:val="18"/>
        </w:rPr>
        <w:t xml:space="preserve">The overall impact of the proposed rule change, which proposes area closures, is anticipated to be minimal because the closures would occur during the time of the year with the lowest harvests, and adjacent waters will remain open for crab fishers to continue to fish. </w:t>
      </w:r>
    </w:p>
    <w:p w14:paraId="6FE2999A" w14:textId="77777777" w:rsidR="00FC5566" w:rsidRPr="00FC5566" w:rsidRDefault="00FC5566" w:rsidP="00FC5566">
      <w:pPr>
        <w:ind w:left="288" w:firstLine="288"/>
        <w:jc w:val="both"/>
        <w:rPr>
          <w:noProof/>
          <w:sz w:val="18"/>
        </w:rPr>
      </w:pPr>
      <w:r w:rsidRPr="00FC5566">
        <w:rPr>
          <w:noProof/>
          <w:sz w:val="18"/>
        </w:rPr>
        <w:t>Crab fishers who utilize the areas proposed for closure will experience lost fishing time during the designated period and incur additional costs to remove their traps temporarily. These crab fishers must either move their traps to open fishing areas or remove their traps from the water for the duration of the closure. Traps that are not removed from waters in the closed areas within the allotted time may be destroyed, potentially creating an additional cost to replace the traps for noncompliant fishers.</w:t>
      </w:r>
    </w:p>
    <w:p w14:paraId="632BAE77" w14:textId="77777777" w:rsidR="00FC5566" w:rsidRPr="00FC5566" w:rsidRDefault="00FC5566" w:rsidP="00FC5566">
      <w:pPr>
        <w:ind w:left="288" w:firstLine="288"/>
        <w:jc w:val="both"/>
        <w:rPr>
          <w:noProof/>
          <w:sz w:val="18"/>
        </w:rPr>
      </w:pPr>
      <w:r w:rsidRPr="00FC5566">
        <w:rPr>
          <w:noProof/>
          <w:sz w:val="18"/>
        </w:rPr>
        <w:t>Local seafood dealers, processors, and consumers may experience a slight decrease in the availability of fresh crabs during the closures, resulting in a slightly higher price for fresh crabs in the short term. However, the crab resource will not be lost or harmed in any way and will be available for harvest when the closed area is reopened.</w:t>
      </w:r>
    </w:p>
    <w:p w14:paraId="1DD0FF72" w14:textId="77777777" w:rsidR="00FC5566" w:rsidRPr="00FC5566" w:rsidRDefault="00FC5566" w:rsidP="00FC5566">
      <w:pPr>
        <w:ind w:left="288" w:firstLine="288"/>
        <w:jc w:val="both"/>
        <w:rPr>
          <w:sz w:val="18"/>
        </w:rPr>
      </w:pPr>
      <w:r w:rsidRPr="00FC5566">
        <w:rPr>
          <w:sz w:val="18"/>
        </w:rPr>
        <w:t>The removal of abandoned crab traps should provide improved fishing and reduced fishing costs for recreational saltwater fishers, commercial fishers, and individuals who operate vessels within the designated areas by reducing encounters with abandoned traps that often result in lost fishing time and damage to the vessel’s lower unit or fishing gear. The removal of abandoned crab traps will reduce the mortality and injuries to crabs and bycatch that become captured and die in these traps, benefiting crab harvesters.</w:t>
      </w:r>
    </w:p>
    <w:p w14:paraId="75E487AF" w14:textId="77777777" w:rsidR="00FC5566" w:rsidRPr="00FC5566" w:rsidRDefault="00FC5566" w:rsidP="00FC5566">
      <w:pPr>
        <w:ind w:left="288" w:hanging="288"/>
        <w:jc w:val="both"/>
        <w:rPr>
          <w:spacing w:val="-10"/>
          <w:sz w:val="18"/>
        </w:rPr>
      </w:pPr>
      <w:r w:rsidRPr="00FC5566">
        <w:rPr>
          <w:spacing w:val="-10"/>
          <w:sz w:val="18"/>
        </w:rPr>
        <w:t>IV.</w:t>
      </w:r>
      <w:r w:rsidRPr="00FC5566">
        <w:rPr>
          <w:spacing w:val="-10"/>
          <w:sz w:val="18"/>
        </w:rPr>
        <w:tab/>
        <w:t>ESTIMATED EFFECT ON COMPETITION AND EMPLOYMENT (Summary)</w:t>
      </w:r>
    </w:p>
    <w:p w14:paraId="5B364B85" w14:textId="77777777" w:rsidR="00FC5566" w:rsidRPr="00FC5566" w:rsidRDefault="00FC5566" w:rsidP="00FC5566">
      <w:pPr>
        <w:ind w:left="288" w:firstLine="288"/>
        <w:jc w:val="both"/>
        <w:rPr>
          <w:sz w:val="18"/>
        </w:rPr>
      </w:pPr>
      <w:r w:rsidRPr="00FC5566">
        <w:rPr>
          <w:sz w:val="18"/>
        </w:rPr>
        <w:t>There will be a negligible effect on competition and employment as a result of the rule change. Waters adjacent to the closure areas will remain open for crab harvest, and fishers who fish during this period are expected to relocate their traps to these areas.</w:t>
      </w:r>
    </w:p>
    <w:p w14:paraId="4CFC0C66" w14:textId="77777777" w:rsidR="00FC5566" w:rsidRPr="00FC5566" w:rsidRDefault="00FC5566" w:rsidP="00FC5566">
      <w:pPr>
        <w:ind w:left="288" w:firstLine="288"/>
        <w:jc w:val="both"/>
        <w:rPr>
          <w:sz w:val="18"/>
        </w:rPr>
      </w:pPr>
    </w:p>
    <w:p w14:paraId="7C749226" w14:textId="77777777" w:rsidR="00FC5566" w:rsidRPr="00FC5566" w:rsidRDefault="00FC5566" w:rsidP="00FC5566">
      <w:pPr>
        <w:tabs>
          <w:tab w:val="left" w:pos="2880"/>
          <w:tab w:val="decimal" w:pos="2988"/>
        </w:tabs>
        <w:outlineLvl w:val="8"/>
        <w:rPr>
          <w:kern w:val="2"/>
          <w:sz w:val="18"/>
        </w:rPr>
      </w:pPr>
      <w:r w:rsidRPr="00FC5566">
        <w:rPr>
          <w:kern w:val="2"/>
          <w:sz w:val="18"/>
        </w:rPr>
        <w:t>Cara Tyler</w:t>
      </w:r>
      <w:r w:rsidRPr="00FC5566">
        <w:rPr>
          <w:kern w:val="2"/>
          <w:sz w:val="18"/>
        </w:rPr>
        <w:tab/>
        <w:t>Patrice Thomas</w:t>
      </w:r>
    </w:p>
    <w:p w14:paraId="1F17A7A1" w14:textId="77777777" w:rsidR="00FC5566" w:rsidRPr="00FC5566" w:rsidRDefault="00FC5566" w:rsidP="00FC5566">
      <w:pPr>
        <w:tabs>
          <w:tab w:val="left" w:pos="2880"/>
          <w:tab w:val="decimal" w:pos="2988"/>
        </w:tabs>
        <w:outlineLvl w:val="8"/>
        <w:rPr>
          <w:kern w:val="2"/>
          <w:sz w:val="18"/>
        </w:rPr>
      </w:pPr>
      <w:r w:rsidRPr="00FC5566">
        <w:rPr>
          <w:kern w:val="2"/>
          <w:sz w:val="18"/>
        </w:rPr>
        <w:t>Undersecretary</w:t>
      </w:r>
      <w:r w:rsidRPr="00FC5566">
        <w:rPr>
          <w:kern w:val="2"/>
          <w:sz w:val="18"/>
        </w:rPr>
        <w:tab/>
        <w:t>Deputy Fiscal Officer</w:t>
      </w:r>
    </w:p>
    <w:p w14:paraId="69868DA6" w14:textId="77777777" w:rsidR="00FC5566" w:rsidRPr="00FC5566" w:rsidRDefault="00FC5566" w:rsidP="00FC5566">
      <w:pPr>
        <w:tabs>
          <w:tab w:val="left" w:pos="2880"/>
          <w:tab w:val="decimal" w:pos="2988"/>
        </w:tabs>
        <w:outlineLvl w:val="8"/>
        <w:rPr>
          <w:kern w:val="2"/>
          <w:sz w:val="18"/>
        </w:rPr>
      </w:pPr>
      <w:r w:rsidRPr="00FC5566">
        <w:rPr>
          <w:noProof/>
          <w:sz w:val="16"/>
        </w:rPr>
        <w:t>2608#033</w:t>
      </w:r>
      <w:r w:rsidRPr="00FC5566">
        <w:rPr>
          <w:kern w:val="2"/>
        </w:rPr>
        <w:tab/>
      </w:r>
      <w:r w:rsidRPr="00FC5566">
        <w:rPr>
          <w:kern w:val="2"/>
          <w:sz w:val="18"/>
        </w:rPr>
        <w:t>Legislative Fiscal Office</w:t>
      </w:r>
    </w:p>
    <w:p w14:paraId="69F5020D" w14:textId="77777777" w:rsidR="00FC5566" w:rsidRPr="00FC5566" w:rsidRDefault="00FC5566" w:rsidP="00FC5566">
      <w:pPr>
        <w:rPr>
          <w:noProof/>
          <w:sz w:val="16"/>
        </w:rPr>
      </w:pPr>
    </w:p>
    <w:p w14:paraId="775CAA60" w14:textId="77777777" w:rsidR="00FC5566" w:rsidRPr="00FC5566" w:rsidRDefault="00FC5566" w:rsidP="00FC5566"/>
    <w:p w14:paraId="3901162B" w14:textId="77777777" w:rsidR="00FC5566" w:rsidRPr="00FC5566" w:rsidRDefault="00FC5566" w:rsidP="00FC5566">
      <w:pPr>
        <w:sectPr w:rsidR="00FC5566" w:rsidRPr="00FC5566" w:rsidSect="00FC5566">
          <w:type w:val="continuous"/>
          <w:pgSz w:w="12240" w:h="15840" w:code="1"/>
          <w:pgMar w:top="720" w:right="864" w:bottom="317" w:left="864" w:header="576" w:footer="432" w:gutter="0"/>
          <w:cols w:num="2" w:space="720"/>
        </w:sectPr>
      </w:pPr>
    </w:p>
    <w:p w14:paraId="79BC3BAC" w14:textId="77777777" w:rsidR="00FC5566" w:rsidRPr="00FC5566" w:rsidRDefault="00FC5566" w:rsidP="00FC5566"/>
    <w:p w14:paraId="2C3A49CB" w14:textId="77777777" w:rsidR="00FC5566" w:rsidRDefault="00FC5566">
      <w:pPr>
        <w:sectPr w:rsidR="00FC5566" w:rsidSect="00FC5566">
          <w:type w:val="continuous"/>
          <w:pgSz w:w="12240" w:h="15840" w:code="1"/>
          <w:pgMar w:top="720" w:right="864" w:bottom="317" w:left="864" w:header="576" w:footer="432" w:gutter="0"/>
          <w:cols w:num="2" w:space="720"/>
        </w:sectPr>
      </w:pPr>
    </w:p>
    <w:p w14:paraId="5BEF944F" w14:textId="77777777" w:rsidR="00FC5566" w:rsidRPr="008F3592" w:rsidRDefault="00FC5566" w:rsidP="00FC5566">
      <w:pPr>
        <w:pStyle w:val="RegSectionTitle"/>
      </w:pPr>
      <w:r>
        <w:lastRenderedPageBreak/>
        <w:t>Potpourri</w:t>
      </w:r>
    </w:p>
    <w:p w14:paraId="11197C42" w14:textId="77777777" w:rsidR="00FC5566" w:rsidRPr="008F3592" w:rsidRDefault="00FC5566" w:rsidP="00FC5566"/>
    <w:p w14:paraId="19C0B67D" w14:textId="77777777" w:rsidR="00FC5566" w:rsidRPr="008F3592" w:rsidRDefault="00FC5566" w:rsidP="00FC5566"/>
    <w:p w14:paraId="112589F8" w14:textId="77777777" w:rsidR="00FC5566" w:rsidRPr="008F3592" w:rsidRDefault="00FC5566" w:rsidP="00FC5566">
      <w:pPr>
        <w:sectPr w:rsidR="00FC5566" w:rsidRPr="008F3592" w:rsidSect="00FC5566">
          <w:footerReference w:type="even" r:id="rId21"/>
          <w:footerReference w:type="default" r:id="rId22"/>
          <w:pgSz w:w="12240" w:h="15840"/>
          <w:pgMar w:top="720" w:right="864" w:bottom="864" w:left="864" w:header="576" w:footer="432" w:gutter="0"/>
          <w:pgNumType w:start="1455"/>
          <w:cols w:space="720"/>
          <w:docGrid w:linePitch="272"/>
        </w:sectPr>
      </w:pPr>
    </w:p>
    <w:p w14:paraId="682A972E" w14:textId="77777777" w:rsidR="00FC5566" w:rsidRDefault="00FC5566" w:rsidP="00FC5566">
      <w:pPr>
        <w:pStyle w:val="RegItemFirstLine"/>
      </w:pPr>
      <w:r>
        <w:t>POTPOURRI</w:t>
      </w:r>
    </w:p>
    <w:p w14:paraId="44F6A05E" w14:textId="77777777" w:rsidR="00FC5566" w:rsidRDefault="00FC5566" w:rsidP="00FC5566">
      <w:pPr>
        <w:pStyle w:val="RegDepartment"/>
      </w:pPr>
      <w:r>
        <w:t>Department of Environmental Quality</w:t>
      </w:r>
    </w:p>
    <w:p w14:paraId="44731C20" w14:textId="77777777" w:rsidR="00FC5566" w:rsidRDefault="00FC5566" w:rsidP="00FC5566">
      <w:pPr>
        <w:pStyle w:val="RegDepartment"/>
      </w:pPr>
      <w:r>
        <w:t>Office of the Secretary</w:t>
      </w:r>
      <w:r>
        <w:br/>
      </w:r>
      <w:r w:rsidRPr="00C27287">
        <w:t>Legal Affairs Division</w:t>
      </w:r>
    </w:p>
    <w:p w14:paraId="0F0AD9A2" w14:textId="77777777" w:rsidR="00FC5566" w:rsidRDefault="00FC5566" w:rsidP="00FC5566">
      <w:pPr>
        <w:pStyle w:val="RegItemTitle"/>
        <w:spacing w:before="240"/>
      </w:pPr>
      <w:r w:rsidRPr="00C27287">
        <w:t xml:space="preserve">Solicitation of Public Input on Louisiana’s State Plan </w:t>
      </w:r>
      <w:r>
        <w:br/>
      </w:r>
      <w:r w:rsidRPr="00C27287">
        <w:t xml:space="preserve">for the Control of Greenhouse Gas Emissions from </w:t>
      </w:r>
      <w:r>
        <w:br/>
      </w:r>
      <w:r w:rsidRPr="00C27287">
        <w:t>Existing Crude Oil and Natural Gas Facilities</w:t>
      </w:r>
    </w:p>
    <w:p w14:paraId="2E4BE5CF" w14:textId="77777777" w:rsidR="00FC5566" w:rsidRDefault="00FC5566" w:rsidP="00FC5566">
      <w:pPr>
        <w:pStyle w:val="A0"/>
      </w:pPr>
      <w:r w:rsidRPr="00C27287">
        <w:t>On March 8, 2024, the U.S. Environmental Protection Agency (EPA) promulgated 40 CFR 60 Subpart OOOOc (Emissions Guidelines for Greenhouse Gas Emissions From Existing Crude Oil and Natural Gas Facilities).</w:t>
      </w:r>
      <w:r>
        <w:t xml:space="preserve"> </w:t>
      </w:r>
      <w:r w:rsidRPr="00C27287">
        <w:t>Subpart OOOOc requires states to submit plans to EPA that implement the emission guidelines contained in this subpart by January 22, 2027. (2608Pot1)</w:t>
      </w:r>
    </w:p>
    <w:p w14:paraId="30BBF464" w14:textId="77777777" w:rsidR="00FC5566" w:rsidRDefault="00FC5566" w:rsidP="00FC5566">
      <w:pPr>
        <w:pStyle w:val="A0"/>
      </w:pPr>
      <w:r w:rsidRPr="00C27287">
        <w:t>As allowed by 40 CFR 60.5376c(a), the Louisiana Department of Environmental Quality (LDEQ) has tentatively decided to adopt the model rule developed by EPA set forth in Subpart OOOOc by incorporating the rule by reference in Louisiana’s air quality regulations at LAC 33:III.3003.B.9.</w:t>
      </w:r>
      <w:r>
        <w:t xml:space="preserve"> </w:t>
      </w:r>
      <w:r w:rsidRPr="00C27287">
        <w:t>The model rule limits methane emissions from the following designated facilities that commenced construction, modification, or reconstruction on or before December 6, 2022: gas well liquids unloading operations, associated gas wells, centrifugal compressors, reciprocating compressors, process controllers, pumps, storage vessels, fugitive emissions components, process unit equipment at onshore natural gas processing plants, and super-emitter events.</w:t>
      </w:r>
    </w:p>
    <w:p w14:paraId="359B7107" w14:textId="77777777" w:rsidR="00FC5566" w:rsidRDefault="00FC5566" w:rsidP="00FC5566">
      <w:pPr>
        <w:pStyle w:val="A0"/>
      </w:pPr>
      <w:r w:rsidRPr="00C27287">
        <w:t>Per 40 CFR 60.5363c(a) of Subpart OOOOc, a state plan must include the following:</w:t>
      </w:r>
    </w:p>
    <w:p w14:paraId="274BE513" w14:textId="77777777" w:rsidR="00FC5566" w:rsidRPr="004519C1" w:rsidRDefault="00FC5566" w:rsidP="00FC5566">
      <w:pPr>
        <w:pStyle w:val="1"/>
        <w:numPr>
          <w:ilvl w:val="0"/>
          <w:numId w:val="33"/>
        </w:numPr>
        <w:tabs>
          <w:tab w:val="clear" w:pos="720"/>
          <w:tab w:val="clear" w:pos="979"/>
          <w:tab w:val="clear" w:pos="1152"/>
          <w:tab w:val="left" w:pos="450"/>
          <w:tab w:val="left" w:pos="990"/>
        </w:tabs>
        <w:ind w:hanging="900"/>
        <w:rPr>
          <w:sz w:val="19"/>
          <w:szCs w:val="19"/>
        </w:rPr>
      </w:pPr>
      <w:r w:rsidRPr="004519C1">
        <w:rPr>
          <w:sz w:val="19"/>
          <w:szCs w:val="19"/>
        </w:rPr>
        <w:t>compliance schedules for each designated facility;</w:t>
      </w:r>
    </w:p>
    <w:p w14:paraId="259FC0FA" w14:textId="77777777" w:rsidR="00FC5566" w:rsidRPr="004519C1" w:rsidRDefault="00FC5566" w:rsidP="00FC5566">
      <w:pPr>
        <w:pStyle w:val="1"/>
        <w:numPr>
          <w:ilvl w:val="0"/>
          <w:numId w:val="33"/>
        </w:numPr>
        <w:tabs>
          <w:tab w:val="clear" w:pos="720"/>
          <w:tab w:val="clear" w:pos="979"/>
          <w:tab w:val="clear" w:pos="1152"/>
          <w:tab w:val="left" w:pos="450"/>
          <w:tab w:val="left" w:pos="540"/>
          <w:tab w:val="left" w:pos="900"/>
        </w:tabs>
        <w:ind w:left="450" w:hanging="270"/>
        <w:rPr>
          <w:sz w:val="19"/>
          <w:szCs w:val="19"/>
        </w:rPr>
      </w:pPr>
      <w:r w:rsidRPr="004519C1">
        <w:rPr>
          <w:sz w:val="19"/>
          <w:szCs w:val="19"/>
        </w:rPr>
        <w:t>standards of performance for designated facilities that are at least as stringent as the emission guidelines contained in Subpart OOOOc, unless otherwise provided for under 40 CFR 60.5365c;</w:t>
      </w:r>
    </w:p>
    <w:p w14:paraId="7CBAFDB3" w14:textId="77777777" w:rsidR="00FC5566" w:rsidRPr="004519C1" w:rsidRDefault="00FC5566" w:rsidP="00FC5566">
      <w:pPr>
        <w:pStyle w:val="1"/>
        <w:numPr>
          <w:ilvl w:val="0"/>
          <w:numId w:val="33"/>
        </w:numPr>
        <w:tabs>
          <w:tab w:val="clear" w:pos="720"/>
          <w:tab w:val="clear" w:pos="979"/>
          <w:tab w:val="clear" w:pos="1152"/>
          <w:tab w:val="left" w:pos="450"/>
          <w:tab w:val="left" w:pos="540"/>
          <w:tab w:val="left" w:pos="900"/>
        </w:tabs>
        <w:ind w:left="450" w:hanging="270"/>
        <w:rPr>
          <w:sz w:val="19"/>
          <w:szCs w:val="19"/>
        </w:rPr>
      </w:pPr>
      <w:r w:rsidRPr="004519C1">
        <w:rPr>
          <w:sz w:val="19"/>
          <w:szCs w:val="19"/>
        </w:rPr>
        <w:t>performance testing, monitoring, recordkeeping, and reporting requirements;</w:t>
      </w:r>
    </w:p>
    <w:p w14:paraId="2CA3B5CA" w14:textId="77777777" w:rsidR="00FC5566" w:rsidRPr="004519C1" w:rsidRDefault="00FC5566" w:rsidP="00FC5566">
      <w:pPr>
        <w:pStyle w:val="1"/>
        <w:numPr>
          <w:ilvl w:val="0"/>
          <w:numId w:val="33"/>
        </w:numPr>
        <w:tabs>
          <w:tab w:val="clear" w:pos="720"/>
          <w:tab w:val="clear" w:pos="979"/>
          <w:tab w:val="clear" w:pos="1152"/>
          <w:tab w:val="left" w:pos="450"/>
          <w:tab w:val="left" w:pos="540"/>
          <w:tab w:val="left" w:pos="900"/>
        </w:tabs>
        <w:ind w:left="450" w:hanging="270"/>
        <w:rPr>
          <w:sz w:val="19"/>
          <w:szCs w:val="19"/>
        </w:rPr>
      </w:pPr>
      <w:r w:rsidRPr="004519C1">
        <w:rPr>
          <w:sz w:val="19"/>
          <w:szCs w:val="19"/>
        </w:rPr>
        <w:t>documentation of meaningful engagement as specified in 40 CFR 60.23a(i);</w:t>
      </w:r>
    </w:p>
    <w:p w14:paraId="1F81C04E" w14:textId="77777777" w:rsidR="00FC5566" w:rsidRPr="004519C1" w:rsidRDefault="00FC5566" w:rsidP="00FC5566">
      <w:pPr>
        <w:pStyle w:val="1"/>
        <w:numPr>
          <w:ilvl w:val="0"/>
          <w:numId w:val="33"/>
        </w:numPr>
        <w:tabs>
          <w:tab w:val="clear" w:pos="720"/>
          <w:tab w:val="clear" w:pos="979"/>
          <w:tab w:val="clear" w:pos="1152"/>
          <w:tab w:val="left" w:pos="450"/>
          <w:tab w:val="left" w:pos="540"/>
          <w:tab w:val="left" w:pos="900"/>
        </w:tabs>
        <w:ind w:left="450" w:hanging="270"/>
        <w:rPr>
          <w:sz w:val="19"/>
          <w:szCs w:val="19"/>
        </w:rPr>
      </w:pPr>
      <w:r w:rsidRPr="004519C1">
        <w:rPr>
          <w:sz w:val="19"/>
          <w:szCs w:val="19"/>
        </w:rPr>
        <w:t>certification that the required hearing on the state plan was held, a list of witnesses and their organizational affiliations, if any, appearing at the hearing, and a brief written summary of each presentation or written submission as specified in 40 CFR 60.23a(c)-(e);</w:t>
      </w:r>
    </w:p>
    <w:p w14:paraId="4FBB3379" w14:textId="77777777" w:rsidR="00FC5566" w:rsidRPr="004519C1" w:rsidRDefault="00FC5566" w:rsidP="00FC5566">
      <w:pPr>
        <w:pStyle w:val="1"/>
        <w:numPr>
          <w:ilvl w:val="0"/>
          <w:numId w:val="33"/>
        </w:numPr>
        <w:tabs>
          <w:tab w:val="clear" w:pos="720"/>
          <w:tab w:val="clear" w:pos="1152"/>
          <w:tab w:val="left" w:pos="450"/>
        </w:tabs>
        <w:ind w:hanging="900"/>
        <w:rPr>
          <w:sz w:val="19"/>
          <w:szCs w:val="19"/>
        </w:rPr>
      </w:pPr>
      <w:r w:rsidRPr="004519C1">
        <w:rPr>
          <w:sz w:val="19"/>
          <w:szCs w:val="19"/>
        </w:rPr>
        <w:t>provision for state progress reports to EPA;</w:t>
      </w:r>
    </w:p>
    <w:p w14:paraId="5BB27934" w14:textId="77777777" w:rsidR="00FC5566" w:rsidRPr="004519C1" w:rsidRDefault="00FC5566" w:rsidP="00FC5566">
      <w:pPr>
        <w:pStyle w:val="1"/>
        <w:numPr>
          <w:ilvl w:val="0"/>
          <w:numId w:val="33"/>
        </w:numPr>
        <w:tabs>
          <w:tab w:val="clear" w:pos="720"/>
          <w:tab w:val="clear" w:pos="979"/>
          <w:tab w:val="clear" w:pos="1152"/>
          <w:tab w:val="left" w:pos="450"/>
          <w:tab w:val="left" w:pos="540"/>
          <w:tab w:val="left" w:pos="900"/>
        </w:tabs>
        <w:ind w:left="450" w:hanging="270"/>
        <w:rPr>
          <w:sz w:val="19"/>
          <w:szCs w:val="19"/>
        </w:rPr>
      </w:pPr>
      <w:r w:rsidRPr="004519C1">
        <w:rPr>
          <w:sz w:val="19"/>
          <w:szCs w:val="19"/>
        </w:rPr>
        <w:t>identification of enforceable state mechanisms selected for implementing Subpart OOOOc; and</w:t>
      </w:r>
    </w:p>
    <w:p w14:paraId="68E0AE55" w14:textId="77777777" w:rsidR="00FC5566" w:rsidRPr="004519C1" w:rsidRDefault="00FC5566" w:rsidP="00FC5566">
      <w:pPr>
        <w:pStyle w:val="1"/>
        <w:numPr>
          <w:ilvl w:val="0"/>
          <w:numId w:val="33"/>
        </w:numPr>
        <w:tabs>
          <w:tab w:val="clear" w:pos="720"/>
          <w:tab w:val="clear" w:pos="979"/>
          <w:tab w:val="clear" w:pos="1152"/>
          <w:tab w:val="left" w:pos="450"/>
          <w:tab w:val="left" w:pos="540"/>
          <w:tab w:val="left" w:pos="900"/>
        </w:tabs>
        <w:ind w:left="450" w:hanging="270"/>
        <w:rPr>
          <w:sz w:val="19"/>
          <w:szCs w:val="19"/>
        </w:rPr>
      </w:pPr>
      <w:r w:rsidRPr="004519C1">
        <w:rPr>
          <w:sz w:val="19"/>
          <w:szCs w:val="19"/>
        </w:rPr>
        <w:t>demonstration of the state’s legal authority to carry out the Clean Air Act section 111(d) state plan.</w:t>
      </w:r>
    </w:p>
    <w:p w14:paraId="0E8CE90B" w14:textId="77777777" w:rsidR="00FC5566" w:rsidRDefault="00FC5566" w:rsidP="00FC5566">
      <w:pPr>
        <w:pStyle w:val="RegCodeTitle"/>
      </w:pPr>
      <w:r>
        <w:t>Public Comments</w:t>
      </w:r>
    </w:p>
    <w:p w14:paraId="4ED50FA1" w14:textId="77777777" w:rsidR="00FC5566" w:rsidRPr="004519C1" w:rsidRDefault="00FC5566" w:rsidP="00FC5566">
      <w:pPr>
        <w:pStyle w:val="A0"/>
        <w:rPr>
          <w:sz w:val="18"/>
          <w:szCs w:val="18"/>
        </w:rPr>
      </w:pPr>
      <w:r w:rsidRPr="004519C1">
        <w:rPr>
          <w:sz w:val="18"/>
          <w:szCs w:val="18"/>
        </w:rPr>
        <w:t>Comments should be submitted to:</w:t>
      </w:r>
    </w:p>
    <w:p w14:paraId="5EC57C03" w14:textId="77777777" w:rsidR="00FC5566" w:rsidRPr="004519C1" w:rsidRDefault="00FC5566" w:rsidP="00FC5566">
      <w:pPr>
        <w:pStyle w:val="RegDoubleIndent"/>
        <w:rPr>
          <w:sz w:val="17"/>
          <w:szCs w:val="17"/>
        </w:rPr>
      </w:pPr>
      <w:r w:rsidRPr="004519C1">
        <w:rPr>
          <w:sz w:val="17"/>
          <w:szCs w:val="17"/>
        </w:rPr>
        <w:t>Bryan D. Johnston</w:t>
      </w:r>
    </w:p>
    <w:p w14:paraId="593367D7" w14:textId="77777777" w:rsidR="00FC5566" w:rsidRPr="004519C1" w:rsidRDefault="00FC5566" w:rsidP="00FC5566">
      <w:pPr>
        <w:pStyle w:val="RegDoubleIndent"/>
        <w:rPr>
          <w:sz w:val="17"/>
          <w:szCs w:val="17"/>
        </w:rPr>
      </w:pPr>
      <w:r w:rsidRPr="004519C1">
        <w:rPr>
          <w:sz w:val="17"/>
          <w:szCs w:val="17"/>
        </w:rPr>
        <w:t>Louisiana Department of Environmental Quality</w:t>
      </w:r>
    </w:p>
    <w:p w14:paraId="24237A66" w14:textId="77777777" w:rsidR="00FC5566" w:rsidRPr="004519C1" w:rsidRDefault="00FC5566" w:rsidP="00FC5566">
      <w:pPr>
        <w:pStyle w:val="RegDoubleIndent"/>
        <w:rPr>
          <w:sz w:val="17"/>
          <w:szCs w:val="17"/>
        </w:rPr>
      </w:pPr>
      <w:r w:rsidRPr="004519C1">
        <w:rPr>
          <w:sz w:val="17"/>
          <w:szCs w:val="17"/>
        </w:rPr>
        <w:t>Office of Environmental Services, Air Permits Division</w:t>
      </w:r>
    </w:p>
    <w:p w14:paraId="001B65FD" w14:textId="77777777" w:rsidR="00FC5566" w:rsidRPr="004519C1" w:rsidRDefault="00FC5566" w:rsidP="00FC5566">
      <w:pPr>
        <w:pStyle w:val="RegDoubleIndent"/>
        <w:rPr>
          <w:sz w:val="17"/>
          <w:szCs w:val="17"/>
        </w:rPr>
      </w:pPr>
      <w:r w:rsidRPr="004519C1">
        <w:rPr>
          <w:sz w:val="17"/>
          <w:szCs w:val="17"/>
        </w:rPr>
        <w:t>P.O. Box 4313</w:t>
      </w:r>
    </w:p>
    <w:p w14:paraId="3624409A" w14:textId="77777777" w:rsidR="00FC5566" w:rsidRPr="004519C1" w:rsidRDefault="00FC5566" w:rsidP="00FC5566">
      <w:pPr>
        <w:pStyle w:val="RegDoubleIndent"/>
        <w:rPr>
          <w:sz w:val="17"/>
          <w:szCs w:val="17"/>
        </w:rPr>
      </w:pPr>
      <w:r w:rsidRPr="004519C1">
        <w:rPr>
          <w:sz w:val="17"/>
          <w:szCs w:val="17"/>
        </w:rPr>
        <w:t>Baton Rouge, Louisiana 70821-4313</w:t>
      </w:r>
    </w:p>
    <w:p w14:paraId="27CF1570" w14:textId="77777777" w:rsidR="00FC5566" w:rsidRDefault="00FC5566" w:rsidP="00FC5566">
      <w:pPr>
        <w:pStyle w:val="A0"/>
      </w:pPr>
      <w:r w:rsidRPr="00C27287">
        <w:t>Alternatively, comments may be e-mailed to bryan.johnston@la.gov.</w:t>
      </w:r>
      <w:r>
        <w:t xml:space="preserve"> </w:t>
      </w:r>
      <w:r w:rsidRPr="00C27287">
        <w:t>Comments must be received by September 30, 2026.</w:t>
      </w:r>
      <w:r>
        <w:t xml:space="preserve"> </w:t>
      </w:r>
      <w:r w:rsidRPr="00C27287">
        <w:t>LDEQ will consider all comments received prior to finalizing the state plan.</w:t>
      </w:r>
      <w:r>
        <w:t xml:space="preserve"> </w:t>
      </w:r>
      <w:r w:rsidRPr="00C27287">
        <w:t>A public hearing on the state plan will be held at a later date.</w:t>
      </w:r>
    </w:p>
    <w:p w14:paraId="4E76221C" w14:textId="77777777" w:rsidR="00FC5566" w:rsidRDefault="00FC5566" w:rsidP="00FC5566">
      <w:pPr>
        <w:pStyle w:val="A0"/>
        <w:rPr>
          <w:spacing w:val="-3"/>
        </w:rPr>
      </w:pPr>
      <w:r w:rsidRPr="00C27287">
        <w:t>If you have any questions concerning this matter or would like to schedule a meeting with Air Permits Division staff to discuss any aspect of the state plan</w:t>
      </w:r>
      <w:r w:rsidRPr="00C27287">
        <w:rPr>
          <w:spacing w:val="-3"/>
        </w:rPr>
        <w:t>, please contact Bryan D. Johnston at (225) 219-3450 or via the e-mail address provided above.</w:t>
      </w:r>
    </w:p>
    <w:p w14:paraId="25075D65" w14:textId="77777777" w:rsidR="00FC5566" w:rsidRDefault="00FC5566" w:rsidP="00FC5566">
      <w:pPr>
        <w:pStyle w:val="A0"/>
      </w:pPr>
    </w:p>
    <w:p w14:paraId="2696C1A3" w14:textId="77777777" w:rsidR="00FC5566" w:rsidRPr="00C27287" w:rsidRDefault="00FC5566" w:rsidP="00FC5566">
      <w:pPr>
        <w:pStyle w:val="RegSignature"/>
      </w:pPr>
      <w:r w:rsidRPr="00C27287">
        <w:t>Jill C. Clark</w:t>
      </w:r>
    </w:p>
    <w:p w14:paraId="008F4ACF" w14:textId="77777777" w:rsidR="00FC5566" w:rsidRDefault="00FC5566" w:rsidP="00FC5566">
      <w:pPr>
        <w:pStyle w:val="RegSignature"/>
      </w:pPr>
      <w:r w:rsidRPr="00C27287">
        <w:t>General Counsel</w:t>
      </w:r>
    </w:p>
    <w:p w14:paraId="14358A58" w14:textId="77777777" w:rsidR="00FC5566" w:rsidRPr="00C27287" w:rsidRDefault="00FC5566" w:rsidP="00FC5566">
      <w:pPr>
        <w:pStyle w:val="RegLogNumber"/>
      </w:pPr>
      <w:r>
        <w:t>2608#042</w:t>
      </w:r>
    </w:p>
    <w:p w14:paraId="65090CB6" w14:textId="77777777" w:rsidR="00FC5566" w:rsidRPr="008F3592" w:rsidRDefault="00FC5566" w:rsidP="00FC5566"/>
    <w:p w14:paraId="2739970B" w14:textId="77777777" w:rsidR="00FC5566" w:rsidRDefault="00FC5566" w:rsidP="00FC5566">
      <w:pPr>
        <w:pStyle w:val="RegItemFirstLine"/>
      </w:pPr>
      <w:r>
        <w:t>POTPOURRI</w:t>
      </w:r>
    </w:p>
    <w:p w14:paraId="676458F6" w14:textId="77777777" w:rsidR="00FC5566" w:rsidRDefault="00FC5566" w:rsidP="00FC5566">
      <w:pPr>
        <w:pStyle w:val="RegDepartment"/>
      </w:pPr>
      <w:r>
        <w:t>Department of Insurance</w:t>
      </w:r>
    </w:p>
    <w:p w14:paraId="0FB5B8A7" w14:textId="77777777" w:rsidR="00FC5566" w:rsidRPr="00067BBF" w:rsidRDefault="00FC5566" w:rsidP="00FC5566">
      <w:pPr>
        <w:pStyle w:val="RegDepartment"/>
      </w:pPr>
      <w:r>
        <w:t>Office of the Commissioner</w:t>
      </w:r>
    </w:p>
    <w:p w14:paraId="497985A1" w14:textId="77777777" w:rsidR="00FC5566" w:rsidRDefault="00FC5566" w:rsidP="00FC5566">
      <w:pPr>
        <w:pStyle w:val="RegItemTitle"/>
        <w:spacing w:before="240"/>
      </w:pPr>
      <w:r>
        <w:t>Notice of Public Hearing</w:t>
      </w:r>
      <w:r>
        <w:br/>
        <w:t>Substantive Changes to Proposed Rule</w:t>
      </w:r>
      <w:r>
        <w:br/>
      </w:r>
      <w:r w:rsidRPr="00A018A7">
        <w:t xml:space="preserve">Regulation 139—Captive Insurance Companies </w:t>
      </w:r>
      <w:r>
        <w:br/>
      </w:r>
      <w:r w:rsidRPr="00A018A7">
        <w:t>(LAC 37:XIII.Chapter 215)</w:t>
      </w:r>
    </w:p>
    <w:p w14:paraId="56085CB6" w14:textId="77777777" w:rsidR="00FC5566" w:rsidRPr="00610EA8" w:rsidRDefault="00FC5566" w:rsidP="00FC5566">
      <w:pPr>
        <w:pStyle w:val="RegDoubleIndent"/>
        <w:spacing w:after="120"/>
        <w:rPr>
          <w:sz w:val="16"/>
          <w:szCs w:val="16"/>
        </w:rPr>
      </w:pPr>
      <w:r w:rsidRPr="00610EA8">
        <w:rPr>
          <w:sz w:val="16"/>
          <w:szCs w:val="16"/>
        </w:rPr>
        <w:t xml:space="preserve">Editor’s Note: </w:t>
      </w:r>
      <w:r>
        <w:rPr>
          <w:sz w:val="16"/>
          <w:szCs w:val="16"/>
        </w:rPr>
        <w:t>This Potpourri</w:t>
      </w:r>
      <w:r w:rsidRPr="00610EA8">
        <w:rPr>
          <w:sz w:val="16"/>
          <w:szCs w:val="16"/>
        </w:rPr>
        <w:t xml:space="preserve"> is being repromulgated to correct submission error</w:t>
      </w:r>
      <w:r>
        <w:rPr>
          <w:sz w:val="16"/>
          <w:szCs w:val="16"/>
        </w:rPr>
        <w:t>s</w:t>
      </w:r>
      <w:r w:rsidRPr="00610EA8">
        <w:rPr>
          <w:sz w:val="16"/>
          <w:szCs w:val="16"/>
        </w:rPr>
        <w:t xml:space="preserve">. The original </w:t>
      </w:r>
      <w:r>
        <w:rPr>
          <w:sz w:val="16"/>
          <w:szCs w:val="16"/>
        </w:rPr>
        <w:t>Potpourri</w:t>
      </w:r>
      <w:r w:rsidRPr="00610EA8">
        <w:rPr>
          <w:sz w:val="16"/>
          <w:szCs w:val="16"/>
        </w:rPr>
        <w:t xml:space="preserve"> may be viewed in its entirety on page </w:t>
      </w:r>
      <w:r>
        <w:rPr>
          <w:sz w:val="16"/>
          <w:szCs w:val="16"/>
        </w:rPr>
        <w:t>1083</w:t>
      </w:r>
      <w:r w:rsidRPr="00610EA8">
        <w:rPr>
          <w:sz w:val="16"/>
          <w:szCs w:val="16"/>
        </w:rPr>
        <w:t xml:space="preserve"> of the Ju</w:t>
      </w:r>
      <w:r>
        <w:rPr>
          <w:sz w:val="16"/>
          <w:szCs w:val="16"/>
        </w:rPr>
        <w:t>ne</w:t>
      </w:r>
      <w:r w:rsidRPr="00610EA8">
        <w:rPr>
          <w:sz w:val="16"/>
          <w:szCs w:val="16"/>
        </w:rPr>
        <w:t xml:space="preserve"> 20, 20</w:t>
      </w:r>
      <w:r>
        <w:rPr>
          <w:sz w:val="16"/>
          <w:szCs w:val="16"/>
        </w:rPr>
        <w:t>26</w:t>
      </w:r>
      <w:r w:rsidRPr="00610EA8">
        <w:rPr>
          <w:sz w:val="16"/>
          <w:szCs w:val="16"/>
        </w:rPr>
        <w:t xml:space="preserve"> </w:t>
      </w:r>
      <w:r w:rsidRPr="00610EA8">
        <w:rPr>
          <w:i/>
          <w:sz w:val="16"/>
          <w:szCs w:val="16"/>
        </w:rPr>
        <w:t>Louisiana Register</w:t>
      </w:r>
      <w:r w:rsidRPr="00610EA8">
        <w:rPr>
          <w:sz w:val="16"/>
          <w:szCs w:val="16"/>
        </w:rPr>
        <w:t>.</w:t>
      </w:r>
    </w:p>
    <w:p w14:paraId="19D98930" w14:textId="77777777" w:rsidR="00FC5566" w:rsidRPr="00C879B3" w:rsidRDefault="00FC5566" w:rsidP="00FC5566">
      <w:pPr>
        <w:pStyle w:val="A0"/>
      </w:pPr>
      <w:bookmarkStart w:id="769" w:name="_Hlk104976772"/>
      <w:r w:rsidRPr="00C879B3">
        <w:t xml:space="preserve">The Department of Insurance published a Notice of Intent to amend its </w:t>
      </w:r>
      <w:r>
        <w:t>R</w:t>
      </w:r>
      <w:r w:rsidRPr="00C879B3">
        <w:t xml:space="preserve">ule, Regulation 139, </w:t>
      </w:r>
      <w:bookmarkEnd w:id="769"/>
      <w:r w:rsidRPr="00C879B3">
        <w:t>to update the qualifications and regulatory requirements applicable to captive insurance companies and risk retention groups licensed in Louisiana. Specifically, the amendments remove the provision authorizing the commissioner to waive certain background submission requirements for captive managers under §21513 and clarify that any person or entity acting as a captive manager must be authorized by the commissioner and possess the requisite experience, competence, and knowledge of captive insurance operations. Additionally, the amendments revise §21519 to permit a captive insurance company, except an association captive insurance company, or a risk retention group chartered and licensed in Louisiana to expose itself to loss on a single risk in an amount up to thirty percent of its capital and surplus, while continuing to require that any reinsured portion of the risk be deducted when determining compliance with the limitation.</w:t>
      </w:r>
    </w:p>
    <w:p w14:paraId="4970AC76" w14:textId="77777777" w:rsidR="00FC5566" w:rsidRPr="00C879B3" w:rsidRDefault="00FC5566" w:rsidP="00FC5566">
      <w:pPr>
        <w:pStyle w:val="RegCodeTitle"/>
      </w:pPr>
      <w:r w:rsidRPr="00C879B3">
        <w:t>Title 37</w:t>
      </w:r>
    </w:p>
    <w:p w14:paraId="02950349" w14:textId="77777777" w:rsidR="00FC5566" w:rsidRPr="00C879B3" w:rsidRDefault="00FC5566" w:rsidP="00FC5566">
      <w:pPr>
        <w:pStyle w:val="RegCodeTitle"/>
      </w:pPr>
      <w:r w:rsidRPr="00C879B3">
        <w:t>INSURANCE</w:t>
      </w:r>
    </w:p>
    <w:p w14:paraId="29ABC7E2" w14:textId="77777777" w:rsidR="00FC5566" w:rsidRPr="00C879B3" w:rsidRDefault="00FC5566" w:rsidP="00FC5566">
      <w:pPr>
        <w:pStyle w:val="RegCodePart"/>
      </w:pPr>
      <w:r w:rsidRPr="00C879B3">
        <w:t>Part XIII.</w:t>
      </w:r>
      <w:r>
        <w:t xml:space="preserve">  </w:t>
      </w:r>
      <w:r w:rsidRPr="00C879B3">
        <w:t>Regulations</w:t>
      </w:r>
    </w:p>
    <w:p w14:paraId="3E200411" w14:textId="77777777" w:rsidR="00FC5566" w:rsidRPr="00C879B3" w:rsidRDefault="00FC5566" w:rsidP="00FC5566">
      <w:pPr>
        <w:pStyle w:val="Chapter"/>
      </w:pPr>
      <w:r w:rsidRPr="00C879B3">
        <w:t>Chapter 215.</w:t>
      </w:r>
      <w:r w:rsidRPr="00C879B3">
        <w:tab/>
        <w:t>Regulation Number 139—</w:t>
      </w:r>
      <w:r w:rsidRPr="00C879B3">
        <w:rPr>
          <w:bCs/>
          <w:noProof/>
        </w:rPr>
        <w:t>Captive Insurance Companies</w:t>
      </w:r>
    </w:p>
    <w:p w14:paraId="6D48DE49" w14:textId="77777777" w:rsidR="00FC5566" w:rsidRPr="00C879B3" w:rsidRDefault="00FC5566" w:rsidP="00FC5566">
      <w:pPr>
        <w:pStyle w:val="Section"/>
      </w:pPr>
      <w:bookmarkStart w:id="770" w:name="_Hlk80278081"/>
      <w:r w:rsidRPr="00C879B3">
        <w:t>§21513.</w:t>
      </w:r>
      <w:r w:rsidRPr="00C879B3">
        <w:tab/>
        <w:t>Qualifications of Captive Managers, Certified Public Accountants, and Actuaries</w:t>
      </w:r>
    </w:p>
    <w:p w14:paraId="1F8475C1" w14:textId="77777777" w:rsidR="00FC5566" w:rsidRDefault="00FC5566" w:rsidP="00FC5566">
      <w:pPr>
        <w:pStyle w:val="A0"/>
      </w:pPr>
      <w:r w:rsidRPr="00C879B3">
        <w:t>A.</w:t>
      </w:r>
      <w:r w:rsidRPr="00C879B3">
        <w:tab/>
        <w:t xml:space="preserve">Any person or entity acting as a captive manager for a captive insurance company or risk retention group licensed in Louisiana shall be experienced, competent, and knowledgeable in captive insurance operations and shall be </w:t>
      </w:r>
      <w:r>
        <w:br w:type="page"/>
      </w:r>
    </w:p>
    <w:p w14:paraId="37A641DC" w14:textId="77777777" w:rsidR="00FC5566" w:rsidRPr="00C879B3" w:rsidRDefault="00FC5566" w:rsidP="00FC5566">
      <w:pPr>
        <w:pStyle w:val="A0"/>
        <w:ind w:firstLine="0"/>
      </w:pPr>
      <w:r w:rsidRPr="00C879B3">
        <w:lastRenderedPageBreak/>
        <w:t>authorized by the commissioner prior to providing management services. Application for such authorization must be on a form prescribed by the commissioner.</w:t>
      </w:r>
    </w:p>
    <w:p w14:paraId="0039591C" w14:textId="77777777" w:rsidR="00FC5566" w:rsidRPr="00C879B3" w:rsidRDefault="00FC5566" w:rsidP="00FC5566">
      <w:pPr>
        <w:pStyle w:val="1"/>
      </w:pPr>
      <w:r w:rsidRPr="00C879B3">
        <w:t>1.</w:t>
      </w:r>
      <w:r w:rsidRPr="00C879B3">
        <w:tab/>
        <w:t>Repealed.</w:t>
      </w:r>
    </w:p>
    <w:p w14:paraId="331C45E3" w14:textId="77777777" w:rsidR="00FC5566" w:rsidRPr="00C879B3" w:rsidRDefault="00FC5566" w:rsidP="00FC5566">
      <w:pPr>
        <w:pStyle w:val="A0"/>
      </w:pPr>
      <w:r w:rsidRPr="00C879B3">
        <w:t>B. - E.</w:t>
      </w:r>
      <w:r w:rsidRPr="00C879B3">
        <w:tab/>
        <w:t>...</w:t>
      </w:r>
    </w:p>
    <w:bookmarkEnd w:id="770"/>
    <w:p w14:paraId="5EB1F094" w14:textId="77777777" w:rsidR="00FC5566" w:rsidRPr="00C879B3" w:rsidRDefault="00FC5566" w:rsidP="00FC5566">
      <w:pPr>
        <w:pStyle w:val="AuthorityNote"/>
      </w:pPr>
      <w:r w:rsidRPr="00C879B3">
        <w:t>AUTHORITY NOTE:</w:t>
      </w:r>
      <w:r w:rsidRPr="00C879B3">
        <w:tab/>
        <w:t xml:space="preserve">Promulgated in accordance with R.S. 22:11, </w:t>
      </w:r>
      <w:bookmarkStart w:id="771" w:name="_Hlk204177304"/>
      <w:r w:rsidRPr="00C879B3">
        <w:t xml:space="preserve">22:550.1 et seq., </w:t>
      </w:r>
      <w:bookmarkEnd w:id="771"/>
      <w:r w:rsidRPr="00C879B3">
        <w:t>and the Administrative Procedure Act, R.S. 49:950 et seq.</w:t>
      </w:r>
    </w:p>
    <w:p w14:paraId="6B674131" w14:textId="77777777" w:rsidR="00FC5566" w:rsidRPr="00C879B3" w:rsidRDefault="00FC5566" w:rsidP="00FC5566">
      <w:pPr>
        <w:pStyle w:val="HistoricalNote"/>
      </w:pPr>
      <w:r w:rsidRPr="00C879B3">
        <w:t>HISTORICAL NOTE:</w:t>
      </w:r>
      <w:r w:rsidRPr="00C879B3">
        <w:tab/>
        <w:t>Promulgated by the Department of Insurance, Office of the Commissioner, LR 52:</w:t>
      </w:r>
    </w:p>
    <w:p w14:paraId="733CF66D" w14:textId="77777777" w:rsidR="00FC5566" w:rsidRPr="00C879B3" w:rsidRDefault="00FC5566" w:rsidP="00FC5566">
      <w:pPr>
        <w:pStyle w:val="Section"/>
      </w:pPr>
      <w:r w:rsidRPr="00C879B3">
        <w:t>§21519.</w:t>
      </w:r>
      <w:r w:rsidRPr="00C879B3">
        <w:tab/>
        <w:t>Exposure to Loss</w:t>
      </w:r>
    </w:p>
    <w:p w14:paraId="04C696BB" w14:textId="77777777" w:rsidR="00FC5566" w:rsidRPr="00C879B3" w:rsidRDefault="00FC5566" w:rsidP="00FC5566">
      <w:pPr>
        <w:pStyle w:val="A0"/>
      </w:pPr>
      <w:r w:rsidRPr="00C879B3">
        <w:rPr>
          <w:bCs/>
        </w:rPr>
        <w:t>A.</w:t>
      </w:r>
      <w:r w:rsidRPr="00C879B3">
        <w:rPr>
          <w:bCs/>
        </w:rPr>
        <w:tab/>
      </w:r>
      <w:r w:rsidRPr="00C879B3">
        <w:t>The commissioner may allow a captive insurance company, except an association captive insurance company, or a risk retention group chartered and licensed in this state to expose itself to loss on a single risk in an amount up to thirty percent of the capital and surplus of the captive insurance company or risk retention group. A risk, or any portion thereof, which has been reinsured shall be deducted in determining the limitation of risk prescribed in the Section.</w:t>
      </w:r>
    </w:p>
    <w:p w14:paraId="51914366" w14:textId="77777777" w:rsidR="00FC5566" w:rsidRPr="00C879B3" w:rsidRDefault="00FC5566" w:rsidP="00FC5566">
      <w:pPr>
        <w:pStyle w:val="AuthorityNote"/>
      </w:pPr>
      <w:r w:rsidRPr="00C879B3">
        <w:t>AUTHORITY NOTE:</w:t>
      </w:r>
      <w:r w:rsidRPr="00C879B3">
        <w:tab/>
        <w:t>Promulgated in accordance with R.S. 22:11, 22:550.1 et seq., and the Administrative Procedure Act, R.S. 49:950 et seq.</w:t>
      </w:r>
    </w:p>
    <w:p w14:paraId="4CD37420" w14:textId="77777777" w:rsidR="00FC5566" w:rsidRDefault="00FC5566" w:rsidP="00FC5566">
      <w:pPr>
        <w:pStyle w:val="HistoricalNote"/>
      </w:pPr>
      <w:r w:rsidRPr="00C879B3">
        <w:t>HISTORICAL NOTE:</w:t>
      </w:r>
      <w:r w:rsidRPr="00C879B3">
        <w:tab/>
        <w:t>Promulgated by the Department of Insurance, Office of the Commissioner, LR 52:</w:t>
      </w:r>
    </w:p>
    <w:p w14:paraId="671AC1D2" w14:textId="77777777" w:rsidR="00FC5566" w:rsidRPr="00C879B3" w:rsidRDefault="00FC5566" w:rsidP="00FC5566">
      <w:pPr>
        <w:pStyle w:val="RegCodeTitle"/>
      </w:pPr>
      <w:r w:rsidRPr="00C879B3">
        <w:t>Public Hearing</w:t>
      </w:r>
    </w:p>
    <w:p w14:paraId="088A7919" w14:textId="77777777" w:rsidR="00FC5566" w:rsidRDefault="00FC5566" w:rsidP="00FC5566">
      <w:pPr>
        <w:pStyle w:val="A0"/>
      </w:pPr>
      <w:bookmarkStart w:id="772" w:name="_Hlk121381732"/>
      <w:r w:rsidRPr="00C879B3">
        <w:t xml:space="preserve">A public hearing on the proposed substantive change will be held by the Louisiana Department of Insurance on July 28, 2026, at 10 a.m. in the Poydras Hearing Room, Poydras Building, 1702 North Third Street, Baton Rouge, Louisiana. </w:t>
      </w:r>
      <w:bookmarkEnd w:id="772"/>
      <w:r w:rsidRPr="00C879B3">
        <w:t>Interested persons who wish to make comments may do so at the public hearing or by writing to Jennifer Land, Louisiana Department of Insurance, P.O. Box 94214, Baton Rouge, LA 70804-9214. Comments will be accepted no later than July 28, 2026, by close of business, 4:30 p.m.</w:t>
      </w:r>
    </w:p>
    <w:p w14:paraId="43546576" w14:textId="77777777" w:rsidR="00FC5566" w:rsidRDefault="00FC5566" w:rsidP="00FC5566">
      <w:pPr>
        <w:pStyle w:val="A0"/>
      </w:pPr>
    </w:p>
    <w:p w14:paraId="17C52E3F" w14:textId="77777777" w:rsidR="00FC5566" w:rsidRPr="00C879B3" w:rsidRDefault="00FC5566" w:rsidP="00FC5566">
      <w:pPr>
        <w:pStyle w:val="RegSignature"/>
      </w:pPr>
      <w:r w:rsidRPr="00C879B3">
        <w:t>Jennifer Land</w:t>
      </w:r>
    </w:p>
    <w:p w14:paraId="028BDA37" w14:textId="77777777" w:rsidR="00FC5566" w:rsidRDefault="00FC5566" w:rsidP="00FC5566">
      <w:pPr>
        <w:pStyle w:val="RegSignature"/>
      </w:pPr>
      <w:r w:rsidRPr="00C879B3">
        <w:t>Attorney</w:t>
      </w:r>
    </w:p>
    <w:p w14:paraId="4A3F33B7" w14:textId="77777777" w:rsidR="00FC5566" w:rsidRPr="00C879B3" w:rsidRDefault="00FC5566" w:rsidP="00FC5566">
      <w:pPr>
        <w:pStyle w:val="RegLogNumber"/>
      </w:pPr>
      <w:r>
        <w:t>2608#028</w:t>
      </w:r>
    </w:p>
    <w:p w14:paraId="75AFD51D" w14:textId="77777777" w:rsidR="00FC5566" w:rsidRPr="008F3592" w:rsidRDefault="00FC5566" w:rsidP="00FC5566"/>
    <w:p w14:paraId="758F9E03" w14:textId="77777777" w:rsidR="00FC5566" w:rsidRDefault="00FC5566" w:rsidP="00FC5566">
      <w:pPr>
        <w:pStyle w:val="RegItemFirstLine"/>
      </w:pPr>
      <w:r>
        <w:t>POTPOURRI</w:t>
      </w:r>
    </w:p>
    <w:p w14:paraId="21ADC942" w14:textId="77777777" w:rsidR="00FC5566" w:rsidRDefault="00FC5566" w:rsidP="00FC5566">
      <w:pPr>
        <w:pStyle w:val="RegDepartment"/>
      </w:pPr>
      <w:r>
        <w:t>Louisiana Works</w:t>
      </w:r>
    </w:p>
    <w:p w14:paraId="230EBFAC" w14:textId="77777777" w:rsidR="00FC5566" w:rsidRPr="004B499B" w:rsidRDefault="00FC5566" w:rsidP="00FC5566">
      <w:pPr>
        <w:pStyle w:val="RegDepartment"/>
      </w:pPr>
      <w:r>
        <w:t>Office of Workers' Compensation Administration</w:t>
      </w:r>
    </w:p>
    <w:p w14:paraId="07DBE308" w14:textId="77777777" w:rsidR="00FC5566" w:rsidRPr="008C697F" w:rsidRDefault="00FC5566" w:rsidP="00FC5566">
      <w:pPr>
        <w:pStyle w:val="RegItemTitle"/>
        <w:spacing w:before="240"/>
      </w:pPr>
      <w:r w:rsidRPr="008C697F">
        <w:t>Weekly Compensation Benefits Limits</w:t>
      </w:r>
    </w:p>
    <w:p w14:paraId="19A17091" w14:textId="77777777" w:rsidR="00FC5566" w:rsidRDefault="00FC5566" w:rsidP="00FC5566">
      <w:pPr>
        <w:pStyle w:val="A0"/>
      </w:pPr>
      <w:r w:rsidRPr="008C697F">
        <w:t>Pursuant to R.S. 23:1202, and based on the statewide average weekly wage as determined by Workforce Commission, the following limits shall apply to weekly compensation benefits for claimants injured during the period September 1, 2026 through August 31, 2027.</w:t>
      </w:r>
    </w:p>
    <w:p w14:paraId="6168292A" w14:textId="77777777" w:rsidR="00FC5566" w:rsidRPr="008C697F" w:rsidRDefault="00FC5566" w:rsidP="00FC5566">
      <w:pPr>
        <w:pStyle w:val="A0"/>
      </w:pPr>
    </w:p>
    <w:tbl>
      <w:tblPr>
        <w:tblW w:w="4927"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ayout w:type="fixed"/>
        <w:tblLook w:val="0000" w:firstRow="0" w:lastRow="0" w:firstColumn="0" w:lastColumn="0" w:noHBand="0" w:noVBand="0"/>
      </w:tblPr>
      <w:tblGrid>
        <w:gridCol w:w="864"/>
        <w:gridCol w:w="1260"/>
        <w:gridCol w:w="1368"/>
        <w:gridCol w:w="1435"/>
      </w:tblGrid>
      <w:tr w:rsidR="00FC5566" w:rsidRPr="008C697F" w14:paraId="791EEE5B" w14:textId="77777777" w:rsidTr="00B247D5">
        <w:trPr>
          <w:cantSplit/>
          <w:trHeight w:val="585"/>
          <w:tblHeader/>
        </w:trPr>
        <w:tc>
          <w:tcPr>
            <w:tcW w:w="864" w:type="dxa"/>
            <w:shd w:val="clear" w:color="auto" w:fill="BFBFBF"/>
            <w:vAlign w:val="bottom"/>
          </w:tcPr>
          <w:p w14:paraId="74001CD3" w14:textId="77777777" w:rsidR="00FC5566" w:rsidRPr="00527BF1" w:rsidRDefault="00FC5566" w:rsidP="00B247D5">
            <w:pPr>
              <w:keepNext/>
              <w:jc w:val="center"/>
              <w:rPr>
                <w:rFonts w:eastAsia="Calibri"/>
                <w:b/>
                <w:bCs/>
                <w:sz w:val="16"/>
                <w:szCs w:val="16"/>
              </w:rPr>
            </w:pPr>
            <w:r w:rsidRPr="00527BF1">
              <w:rPr>
                <w:rFonts w:eastAsia="Calibri"/>
                <w:b/>
                <w:bCs/>
                <w:sz w:val="16"/>
                <w:szCs w:val="16"/>
              </w:rPr>
              <w:t>Average Weekly Wage</w:t>
            </w:r>
          </w:p>
        </w:tc>
        <w:tc>
          <w:tcPr>
            <w:tcW w:w="1260" w:type="dxa"/>
            <w:shd w:val="clear" w:color="auto" w:fill="BFBFBF"/>
            <w:vAlign w:val="bottom"/>
          </w:tcPr>
          <w:p w14:paraId="435ED26C" w14:textId="77777777" w:rsidR="00FC5566" w:rsidRPr="00527BF1" w:rsidRDefault="00FC5566" w:rsidP="00B247D5">
            <w:pPr>
              <w:keepNext/>
              <w:jc w:val="center"/>
              <w:rPr>
                <w:rFonts w:eastAsia="Calibri"/>
                <w:b/>
                <w:bCs/>
                <w:sz w:val="16"/>
                <w:szCs w:val="16"/>
              </w:rPr>
            </w:pPr>
            <w:r w:rsidRPr="00527BF1">
              <w:rPr>
                <w:rFonts w:eastAsia="Calibri"/>
                <w:b/>
                <w:bCs/>
                <w:sz w:val="16"/>
                <w:szCs w:val="16"/>
              </w:rPr>
              <w:t>Maximum Compensation</w:t>
            </w:r>
          </w:p>
        </w:tc>
        <w:tc>
          <w:tcPr>
            <w:tcW w:w="1368" w:type="dxa"/>
            <w:shd w:val="clear" w:color="auto" w:fill="BFBFBF"/>
            <w:vAlign w:val="bottom"/>
          </w:tcPr>
          <w:p w14:paraId="27BB582C" w14:textId="77777777" w:rsidR="00FC5566" w:rsidRPr="00527BF1" w:rsidRDefault="00FC5566" w:rsidP="00B247D5">
            <w:pPr>
              <w:keepNext/>
              <w:jc w:val="center"/>
              <w:rPr>
                <w:rFonts w:eastAsia="Calibri"/>
                <w:b/>
                <w:bCs/>
                <w:sz w:val="16"/>
                <w:szCs w:val="16"/>
              </w:rPr>
            </w:pPr>
            <w:r w:rsidRPr="00527BF1">
              <w:rPr>
                <w:rFonts w:eastAsia="Calibri"/>
                <w:b/>
                <w:bCs/>
                <w:sz w:val="16"/>
                <w:szCs w:val="16"/>
              </w:rPr>
              <w:t>Minimum Compensation</w:t>
            </w:r>
          </w:p>
        </w:tc>
        <w:tc>
          <w:tcPr>
            <w:tcW w:w="1435" w:type="dxa"/>
            <w:shd w:val="clear" w:color="auto" w:fill="BFBFBF"/>
            <w:vAlign w:val="bottom"/>
          </w:tcPr>
          <w:p w14:paraId="593248C7" w14:textId="77777777" w:rsidR="00FC5566" w:rsidRPr="00527BF1" w:rsidRDefault="00FC5566" w:rsidP="00B247D5">
            <w:pPr>
              <w:keepNext/>
              <w:jc w:val="center"/>
              <w:rPr>
                <w:rFonts w:eastAsia="Calibri"/>
                <w:b/>
                <w:bCs/>
                <w:sz w:val="16"/>
                <w:szCs w:val="16"/>
              </w:rPr>
            </w:pPr>
            <w:r w:rsidRPr="00527BF1">
              <w:rPr>
                <w:rFonts w:eastAsia="Calibri"/>
                <w:b/>
                <w:bCs/>
                <w:sz w:val="16"/>
                <w:szCs w:val="16"/>
              </w:rPr>
              <w:t>Mileage Reimbursement</w:t>
            </w:r>
          </w:p>
        </w:tc>
      </w:tr>
      <w:tr w:rsidR="00FC5566" w:rsidRPr="008C697F" w14:paraId="6F9AC9BC" w14:textId="77777777" w:rsidTr="00B247D5">
        <w:trPr>
          <w:cantSplit/>
          <w:trHeight w:val="179"/>
          <w:tblHeader/>
        </w:trPr>
        <w:tc>
          <w:tcPr>
            <w:tcW w:w="864" w:type="dxa"/>
          </w:tcPr>
          <w:p w14:paraId="32AB00C3" w14:textId="77777777" w:rsidR="00FC5566" w:rsidRPr="008C697F" w:rsidRDefault="00FC5566" w:rsidP="00B247D5">
            <w:pPr>
              <w:keepNext/>
              <w:rPr>
                <w:rFonts w:eastAsia="Calibri"/>
                <w:sz w:val="16"/>
                <w:szCs w:val="16"/>
              </w:rPr>
            </w:pPr>
            <w:r w:rsidRPr="008C697F">
              <w:rPr>
                <w:rFonts w:eastAsia="Calibri"/>
                <w:sz w:val="16"/>
                <w:szCs w:val="16"/>
              </w:rPr>
              <w:t>$1204.02</w:t>
            </w:r>
          </w:p>
        </w:tc>
        <w:tc>
          <w:tcPr>
            <w:tcW w:w="1260" w:type="dxa"/>
          </w:tcPr>
          <w:p w14:paraId="6548FB4D" w14:textId="77777777" w:rsidR="00FC5566" w:rsidRPr="008C697F" w:rsidRDefault="00FC5566" w:rsidP="00B247D5">
            <w:pPr>
              <w:keepNext/>
              <w:jc w:val="center"/>
              <w:rPr>
                <w:rFonts w:eastAsia="Calibri"/>
                <w:sz w:val="16"/>
                <w:szCs w:val="16"/>
              </w:rPr>
            </w:pPr>
            <w:r w:rsidRPr="008C697F">
              <w:rPr>
                <w:rFonts w:eastAsia="Calibri"/>
                <w:sz w:val="16"/>
                <w:szCs w:val="16"/>
              </w:rPr>
              <w:t>$903.00</w:t>
            </w:r>
          </w:p>
        </w:tc>
        <w:tc>
          <w:tcPr>
            <w:tcW w:w="1368" w:type="dxa"/>
          </w:tcPr>
          <w:p w14:paraId="3BDD973C" w14:textId="77777777" w:rsidR="00FC5566" w:rsidRPr="008C697F" w:rsidRDefault="00FC5566" w:rsidP="00B247D5">
            <w:pPr>
              <w:keepNext/>
              <w:jc w:val="center"/>
              <w:rPr>
                <w:rFonts w:eastAsia="Calibri"/>
                <w:sz w:val="16"/>
                <w:szCs w:val="16"/>
              </w:rPr>
            </w:pPr>
            <w:r w:rsidRPr="008C697F">
              <w:rPr>
                <w:rFonts w:eastAsia="Calibri"/>
                <w:sz w:val="16"/>
                <w:szCs w:val="16"/>
              </w:rPr>
              <w:t>$241.00</w:t>
            </w:r>
          </w:p>
        </w:tc>
        <w:tc>
          <w:tcPr>
            <w:tcW w:w="1435" w:type="dxa"/>
          </w:tcPr>
          <w:p w14:paraId="3EFF9F9B" w14:textId="77777777" w:rsidR="00FC5566" w:rsidRPr="008C697F" w:rsidRDefault="00FC5566" w:rsidP="00B247D5">
            <w:pPr>
              <w:keepNext/>
              <w:rPr>
                <w:rFonts w:eastAsia="Calibri"/>
                <w:sz w:val="16"/>
                <w:szCs w:val="16"/>
              </w:rPr>
            </w:pPr>
            <w:r w:rsidRPr="008C697F">
              <w:rPr>
                <w:rFonts w:eastAsia="Calibri"/>
                <w:sz w:val="16"/>
                <w:szCs w:val="16"/>
              </w:rPr>
              <w:t>* 76 cents per mile</w:t>
            </w:r>
          </w:p>
        </w:tc>
      </w:tr>
      <w:tr w:rsidR="00FC5566" w:rsidRPr="008C697F" w14:paraId="6F5C7D5A" w14:textId="77777777" w:rsidTr="00B247D5">
        <w:trPr>
          <w:cantSplit/>
          <w:tblHeader/>
        </w:trPr>
        <w:tc>
          <w:tcPr>
            <w:tcW w:w="4927" w:type="dxa"/>
            <w:gridSpan w:val="4"/>
            <w:vAlign w:val="bottom"/>
          </w:tcPr>
          <w:p w14:paraId="203A15A1" w14:textId="77777777" w:rsidR="00FC5566" w:rsidRPr="008C697F" w:rsidRDefault="00FC5566" w:rsidP="00B247D5">
            <w:pPr>
              <w:rPr>
                <w:rFonts w:eastAsia="Calibri"/>
                <w:sz w:val="16"/>
                <w:szCs w:val="16"/>
              </w:rPr>
            </w:pPr>
            <w:r w:rsidRPr="008C697F">
              <w:rPr>
                <w:rFonts w:eastAsia="Calibri"/>
                <w:sz w:val="16"/>
                <w:szCs w:val="16"/>
              </w:rPr>
              <w:t>*Effective July 1, 2026 the mileage reimbursement is $0.76 per mile pursuant to R.S. 23:1203(D).</w:t>
            </w:r>
          </w:p>
        </w:tc>
      </w:tr>
    </w:tbl>
    <w:p w14:paraId="4A41EAEB" w14:textId="77777777" w:rsidR="00FC5566" w:rsidRDefault="00FC5566" w:rsidP="00FC5566">
      <w:pPr>
        <w:pStyle w:val="Text"/>
      </w:pPr>
    </w:p>
    <w:p w14:paraId="5DDE11B6" w14:textId="77777777" w:rsidR="00FC5566" w:rsidRDefault="00FC5566" w:rsidP="00FC5566">
      <w:pPr>
        <w:pStyle w:val="A0"/>
      </w:pPr>
      <w:r w:rsidRPr="008C697F">
        <w:t>This information updates R.S. 23:1202 of the Louisiana Workers Compensation Act.</w:t>
      </w:r>
    </w:p>
    <w:p w14:paraId="2B5A52E1" w14:textId="77777777" w:rsidR="00FC5566" w:rsidRPr="008C697F" w:rsidRDefault="00FC5566" w:rsidP="00FC5566">
      <w:pPr>
        <w:pStyle w:val="Text"/>
      </w:pPr>
    </w:p>
    <w:tbl>
      <w:tblPr>
        <w:tblW w:w="4958" w:type="dxa"/>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4A0" w:firstRow="1" w:lastRow="0" w:firstColumn="1" w:lastColumn="0" w:noHBand="0" w:noVBand="1"/>
      </w:tblPr>
      <w:tblGrid>
        <w:gridCol w:w="2047"/>
        <w:gridCol w:w="871"/>
        <w:gridCol w:w="990"/>
        <w:gridCol w:w="1050"/>
      </w:tblGrid>
      <w:tr w:rsidR="00FC5566" w:rsidRPr="008C697F" w14:paraId="2B8DC56E" w14:textId="77777777" w:rsidTr="00B247D5">
        <w:trPr>
          <w:cantSplit/>
          <w:jc w:val="center"/>
        </w:trPr>
        <w:tc>
          <w:tcPr>
            <w:tcW w:w="2047" w:type="dxa"/>
            <w:shd w:val="clear" w:color="auto" w:fill="BFBFBF"/>
            <w:vAlign w:val="bottom"/>
          </w:tcPr>
          <w:p w14:paraId="432A3A76" w14:textId="77777777" w:rsidR="00FC5566" w:rsidRPr="008C697F" w:rsidRDefault="00FC5566" w:rsidP="00B247D5">
            <w:pPr>
              <w:keepNext/>
              <w:rPr>
                <w:rFonts w:eastAsia="Calibri"/>
                <w:sz w:val="16"/>
                <w:szCs w:val="16"/>
              </w:rPr>
            </w:pPr>
            <w:r>
              <w:rPr>
                <w:rFonts w:eastAsia="Calibri"/>
                <w:sz w:val="16"/>
                <w:szCs w:val="16"/>
              </w:rPr>
              <w:t xml:space="preserve"> </w:t>
            </w:r>
          </w:p>
        </w:tc>
        <w:tc>
          <w:tcPr>
            <w:tcW w:w="871" w:type="dxa"/>
            <w:shd w:val="clear" w:color="auto" w:fill="BFBFBF"/>
            <w:vAlign w:val="bottom"/>
          </w:tcPr>
          <w:p w14:paraId="46118799" w14:textId="77777777" w:rsidR="00FC5566" w:rsidRPr="00527BF1" w:rsidRDefault="00FC5566" w:rsidP="00B247D5">
            <w:pPr>
              <w:keepNext/>
              <w:rPr>
                <w:rFonts w:eastAsia="Calibri"/>
                <w:b/>
                <w:bCs/>
                <w:sz w:val="16"/>
                <w:szCs w:val="16"/>
              </w:rPr>
            </w:pPr>
            <w:r w:rsidRPr="00527BF1">
              <w:rPr>
                <w:rFonts w:eastAsia="Calibri"/>
                <w:b/>
                <w:bCs/>
                <w:sz w:val="16"/>
                <w:szCs w:val="16"/>
              </w:rPr>
              <w:t>Average Weekly Wage</w:t>
            </w:r>
          </w:p>
        </w:tc>
        <w:tc>
          <w:tcPr>
            <w:tcW w:w="990" w:type="dxa"/>
            <w:shd w:val="clear" w:color="auto" w:fill="BFBFBF"/>
            <w:vAlign w:val="bottom"/>
          </w:tcPr>
          <w:p w14:paraId="298BE468" w14:textId="77777777" w:rsidR="00FC5566" w:rsidRPr="00527BF1" w:rsidRDefault="00FC5566" w:rsidP="00B247D5">
            <w:pPr>
              <w:keepNext/>
              <w:rPr>
                <w:rFonts w:eastAsia="Calibri"/>
                <w:b/>
                <w:bCs/>
                <w:sz w:val="16"/>
                <w:szCs w:val="16"/>
              </w:rPr>
            </w:pPr>
            <w:r w:rsidRPr="00527BF1">
              <w:rPr>
                <w:rFonts w:eastAsia="Calibri"/>
                <w:b/>
                <w:bCs/>
                <w:sz w:val="16"/>
                <w:szCs w:val="16"/>
              </w:rPr>
              <w:t>Maximum Comp</w:t>
            </w:r>
          </w:p>
        </w:tc>
        <w:tc>
          <w:tcPr>
            <w:tcW w:w="1050" w:type="dxa"/>
            <w:shd w:val="clear" w:color="auto" w:fill="BFBFBF"/>
            <w:vAlign w:val="bottom"/>
          </w:tcPr>
          <w:p w14:paraId="76C62BDD" w14:textId="77777777" w:rsidR="00FC5566" w:rsidRPr="00527BF1" w:rsidRDefault="00FC5566" w:rsidP="00B247D5">
            <w:pPr>
              <w:keepNext/>
              <w:rPr>
                <w:rFonts w:eastAsia="Calibri"/>
                <w:b/>
                <w:bCs/>
                <w:sz w:val="16"/>
                <w:szCs w:val="16"/>
              </w:rPr>
            </w:pPr>
            <w:r w:rsidRPr="00527BF1">
              <w:rPr>
                <w:rFonts w:eastAsia="Calibri"/>
                <w:b/>
                <w:bCs/>
                <w:sz w:val="16"/>
                <w:szCs w:val="16"/>
              </w:rPr>
              <w:t>Minimum Comp</w:t>
            </w:r>
          </w:p>
        </w:tc>
      </w:tr>
      <w:tr w:rsidR="00FC5566" w:rsidRPr="008C697F" w14:paraId="4FAAB92E" w14:textId="77777777" w:rsidTr="00B247D5">
        <w:trPr>
          <w:cantSplit/>
          <w:jc w:val="center"/>
        </w:trPr>
        <w:tc>
          <w:tcPr>
            <w:tcW w:w="2047" w:type="dxa"/>
          </w:tcPr>
          <w:p w14:paraId="78DBE872" w14:textId="77777777" w:rsidR="00FC5566" w:rsidRPr="004B499B" w:rsidRDefault="00FC5566" w:rsidP="00B247D5">
            <w:pPr>
              <w:rPr>
                <w:rFonts w:eastAsia="Calibri"/>
                <w:sz w:val="16"/>
                <w:szCs w:val="16"/>
              </w:rPr>
            </w:pPr>
            <w:r w:rsidRPr="004B499B">
              <w:rPr>
                <w:rFonts w:eastAsia="Calibri"/>
                <w:sz w:val="16"/>
                <w:szCs w:val="16"/>
              </w:rPr>
              <w:t>Sept 1, 2003-Aug 31, 2004</w:t>
            </w:r>
          </w:p>
        </w:tc>
        <w:tc>
          <w:tcPr>
            <w:tcW w:w="871" w:type="dxa"/>
            <w:vAlign w:val="bottom"/>
          </w:tcPr>
          <w:p w14:paraId="2771554D" w14:textId="77777777" w:rsidR="00FC5566" w:rsidRPr="004B499B" w:rsidRDefault="00FC5566" w:rsidP="00B247D5">
            <w:pPr>
              <w:rPr>
                <w:rFonts w:eastAsia="Calibri"/>
                <w:sz w:val="16"/>
                <w:szCs w:val="16"/>
              </w:rPr>
            </w:pPr>
            <w:r w:rsidRPr="004B499B">
              <w:rPr>
                <w:rFonts w:eastAsia="Calibri"/>
                <w:sz w:val="16"/>
                <w:szCs w:val="16"/>
              </w:rPr>
              <w:t>572.53</w:t>
            </w:r>
          </w:p>
        </w:tc>
        <w:tc>
          <w:tcPr>
            <w:tcW w:w="990" w:type="dxa"/>
            <w:vAlign w:val="bottom"/>
          </w:tcPr>
          <w:p w14:paraId="41E2366D" w14:textId="77777777" w:rsidR="00FC5566" w:rsidRPr="004B499B" w:rsidRDefault="00FC5566" w:rsidP="00B247D5">
            <w:pPr>
              <w:rPr>
                <w:rFonts w:eastAsia="Calibri"/>
                <w:sz w:val="16"/>
                <w:szCs w:val="16"/>
              </w:rPr>
            </w:pPr>
            <w:r w:rsidRPr="004B499B">
              <w:rPr>
                <w:rFonts w:eastAsia="Calibri"/>
                <w:sz w:val="16"/>
                <w:szCs w:val="16"/>
              </w:rPr>
              <w:t>429.00</w:t>
            </w:r>
          </w:p>
        </w:tc>
        <w:tc>
          <w:tcPr>
            <w:tcW w:w="1050" w:type="dxa"/>
            <w:vAlign w:val="bottom"/>
          </w:tcPr>
          <w:p w14:paraId="1E4ECA11" w14:textId="77777777" w:rsidR="00FC5566" w:rsidRPr="004B499B" w:rsidRDefault="00FC5566" w:rsidP="00B247D5">
            <w:pPr>
              <w:rPr>
                <w:rFonts w:eastAsia="Calibri"/>
                <w:sz w:val="16"/>
                <w:szCs w:val="16"/>
              </w:rPr>
            </w:pPr>
            <w:r w:rsidRPr="004B499B">
              <w:rPr>
                <w:rFonts w:eastAsia="Calibri"/>
                <w:sz w:val="16"/>
                <w:szCs w:val="16"/>
              </w:rPr>
              <w:t>114.00</w:t>
            </w:r>
          </w:p>
        </w:tc>
      </w:tr>
      <w:tr w:rsidR="00FC5566" w:rsidRPr="008C697F" w14:paraId="010010FA" w14:textId="77777777" w:rsidTr="00B247D5">
        <w:trPr>
          <w:cantSplit/>
          <w:jc w:val="center"/>
        </w:trPr>
        <w:tc>
          <w:tcPr>
            <w:tcW w:w="2047" w:type="dxa"/>
          </w:tcPr>
          <w:p w14:paraId="638EECBB" w14:textId="77777777" w:rsidR="00FC5566" w:rsidRPr="004B499B" w:rsidRDefault="00FC5566" w:rsidP="00B247D5">
            <w:pPr>
              <w:rPr>
                <w:rFonts w:eastAsia="Calibri"/>
                <w:sz w:val="16"/>
                <w:szCs w:val="16"/>
              </w:rPr>
            </w:pPr>
            <w:r w:rsidRPr="004B499B">
              <w:rPr>
                <w:rFonts w:eastAsia="Calibri"/>
                <w:sz w:val="16"/>
                <w:szCs w:val="16"/>
              </w:rPr>
              <w:t>Sept 1, 2004-Aug 31, 2005</w:t>
            </w:r>
          </w:p>
        </w:tc>
        <w:tc>
          <w:tcPr>
            <w:tcW w:w="871" w:type="dxa"/>
            <w:vAlign w:val="bottom"/>
          </w:tcPr>
          <w:p w14:paraId="7D1CA5A9" w14:textId="77777777" w:rsidR="00FC5566" w:rsidRPr="004B499B" w:rsidRDefault="00FC5566" w:rsidP="00B247D5">
            <w:pPr>
              <w:rPr>
                <w:rFonts w:eastAsia="Calibri"/>
                <w:sz w:val="16"/>
                <w:szCs w:val="16"/>
              </w:rPr>
            </w:pPr>
            <w:r w:rsidRPr="004B499B">
              <w:rPr>
                <w:rFonts w:eastAsia="Calibri"/>
                <w:sz w:val="16"/>
                <w:szCs w:val="16"/>
              </w:rPr>
              <w:t>584.40</w:t>
            </w:r>
          </w:p>
        </w:tc>
        <w:tc>
          <w:tcPr>
            <w:tcW w:w="990" w:type="dxa"/>
            <w:vAlign w:val="bottom"/>
          </w:tcPr>
          <w:p w14:paraId="4F0C3B88" w14:textId="77777777" w:rsidR="00FC5566" w:rsidRPr="004B499B" w:rsidRDefault="00FC5566" w:rsidP="00B247D5">
            <w:pPr>
              <w:rPr>
                <w:rFonts w:eastAsia="Calibri"/>
                <w:sz w:val="16"/>
                <w:szCs w:val="16"/>
              </w:rPr>
            </w:pPr>
            <w:r w:rsidRPr="004B499B">
              <w:rPr>
                <w:rFonts w:eastAsia="Calibri"/>
                <w:sz w:val="16"/>
                <w:szCs w:val="16"/>
              </w:rPr>
              <w:t>438.00</w:t>
            </w:r>
          </w:p>
        </w:tc>
        <w:tc>
          <w:tcPr>
            <w:tcW w:w="1050" w:type="dxa"/>
            <w:vAlign w:val="bottom"/>
          </w:tcPr>
          <w:p w14:paraId="2354A30E" w14:textId="77777777" w:rsidR="00FC5566" w:rsidRPr="004B499B" w:rsidRDefault="00FC5566" w:rsidP="00B247D5">
            <w:pPr>
              <w:rPr>
                <w:rFonts w:eastAsia="Calibri"/>
                <w:sz w:val="16"/>
                <w:szCs w:val="16"/>
              </w:rPr>
            </w:pPr>
            <w:r w:rsidRPr="004B499B">
              <w:rPr>
                <w:rFonts w:eastAsia="Calibri"/>
                <w:sz w:val="16"/>
                <w:szCs w:val="16"/>
              </w:rPr>
              <w:t>117.00</w:t>
            </w:r>
          </w:p>
        </w:tc>
      </w:tr>
      <w:tr w:rsidR="00FC5566" w:rsidRPr="008C697F" w14:paraId="3EB97CBC" w14:textId="77777777" w:rsidTr="00B247D5">
        <w:trPr>
          <w:cantSplit/>
          <w:jc w:val="center"/>
        </w:trPr>
        <w:tc>
          <w:tcPr>
            <w:tcW w:w="2047" w:type="dxa"/>
          </w:tcPr>
          <w:p w14:paraId="7A9805D5" w14:textId="77777777" w:rsidR="00FC5566" w:rsidRPr="004B499B" w:rsidRDefault="00FC5566" w:rsidP="00B247D5">
            <w:pPr>
              <w:rPr>
                <w:rFonts w:eastAsia="Calibri"/>
                <w:sz w:val="16"/>
                <w:szCs w:val="16"/>
              </w:rPr>
            </w:pPr>
            <w:r w:rsidRPr="004B499B">
              <w:rPr>
                <w:rFonts w:eastAsia="Calibri"/>
                <w:sz w:val="16"/>
                <w:szCs w:val="16"/>
              </w:rPr>
              <w:t>Sept 1, 2005-Aug 31, 2006</w:t>
            </w:r>
          </w:p>
        </w:tc>
        <w:tc>
          <w:tcPr>
            <w:tcW w:w="871" w:type="dxa"/>
            <w:vAlign w:val="bottom"/>
          </w:tcPr>
          <w:p w14:paraId="3524B35E" w14:textId="77777777" w:rsidR="00FC5566" w:rsidRPr="004B499B" w:rsidRDefault="00FC5566" w:rsidP="00B247D5">
            <w:pPr>
              <w:rPr>
                <w:rFonts w:eastAsia="Calibri"/>
                <w:sz w:val="16"/>
                <w:szCs w:val="16"/>
              </w:rPr>
            </w:pPr>
            <w:r w:rsidRPr="004B499B">
              <w:rPr>
                <w:rFonts w:eastAsia="Calibri"/>
                <w:sz w:val="16"/>
                <w:szCs w:val="16"/>
              </w:rPr>
              <w:t>605.46</w:t>
            </w:r>
          </w:p>
        </w:tc>
        <w:tc>
          <w:tcPr>
            <w:tcW w:w="990" w:type="dxa"/>
            <w:vAlign w:val="bottom"/>
          </w:tcPr>
          <w:p w14:paraId="5C01ED3F" w14:textId="77777777" w:rsidR="00FC5566" w:rsidRPr="004B499B" w:rsidRDefault="00FC5566" w:rsidP="00B247D5">
            <w:pPr>
              <w:rPr>
                <w:rFonts w:eastAsia="Calibri"/>
                <w:sz w:val="16"/>
                <w:szCs w:val="16"/>
              </w:rPr>
            </w:pPr>
            <w:r w:rsidRPr="004B499B">
              <w:rPr>
                <w:rFonts w:eastAsia="Calibri"/>
                <w:sz w:val="16"/>
                <w:szCs w:val="16"/>
              </w:rPr>
              <w:t>454.00</w:t>
            </w:r>
          </w:p>
        </w:tc>
        <w:tc>
          <w:tcPr>
            <w:tcW w:w="1050" w:type="dxa"/>
            <w:vAlign w:val="bottom"/>
          </w:tcPr>
          <w:p w14:paraId="50F76A65" w14:textId="77777777" w:rsidR="00FC5566" w:rsidRPr="004B499B" w:rsidRDefault="00FC5566" w:rsidP="00B247D5">
            <w:pPr>
              <w:rPr>
                <w:rFonts w:eastAsia="Calibri"/>
                <w:sz w:val="16"/>
                <w:szCs w:val="16"/>
              </w:rPr>
            </w:pPr>
            <w:r w:rsidRPr="004B499B">
              <w:rPr>
                <w:rFonts w:eastAsia="Calibri"/>
                <w:sz w:val="16"/>
                <w:szCs w:val="16"/>
              </w:rPr>
              <w:t>121.00</w:t>
            </w:r>
          </w:p>
        </w:tc>
      </w:tr>
      <w:tr w:rsidR="00FC5566" w:rsidRPr="008C697F" w14:paraId="55221D0C" w14:textId="77777777" w:rsidTr="00B247D5">
        <w:trPr>
          <w:cantSplit/>
          <w:jc w:val="center"/>
        </w:trPr>
        <w:tc>
          <w:tcPr>
            <w:tcW w:w="2047" w:type="dxa"/>
          </w:tcPr>
          <w:p w14:paraId="6CF2FC2E" w14:textId="77777777" w:rsidR="00FC5566" w:rsidRPr="004B499B" w:rsidRDefault="00FC5566" w:rsidP="00B247D5">
            <w:pPr>
              <w:rPr>
                <w:rFonts w:eastAsia="Calibri"/>
                <w:sz w:val="16"/>
                <w:szCs w:val="16"/>
              </w:rPr>
            </w:pPr>
            <w:r w:rsidRPr="004B499B">
              <w:rPr>
                <w:rFonts w:eastAsia="Calibri"/>
                <w:sz w:val="16"/>
                <w:szCs w:val="16"/>
              </w:rPr>
              <w:t>Sept 1, 2006-Aug 31, 2007</w:t>
            </w:r>
          </w:p>
        </w:tc>
        <w:tc>
          <w:tcPr>
            <w:tcW w:w="871" w:type="dxa"/>
            <w:vAlign w:val="bottom"/>
          </w:tcPr>
          <w:p w14:paraId="40C16048" w14:textId="77777777" w:rsidR="00FC5566" w:rsidRPr="004B499B" w:rsidRDefault="00FC5566" w:rsidP="00B247D5">
            <w:pPr>
              <w:rPr>
                <w:rFonts w:eastAsia="Calibri"/>
                <w:sz w:val="16"/>
                <w:szCs w:val="16"/>
              </w:rPr>
            </w:pPr>
            <w:r w:rsidRPr="004B499B">
              <w:rPr>
                <w:rFonts w:eastAsia="Calibri"/>
                <w:sz w:val="16"/>
                <w:szCs w:val="16"/>
              </w:rPr>
              <w:t>637.19</w:t>
            </w:r>
          </w:p>
        </w:tc>
        <w:tc>
          <w:tcPr>
            <w:tcW w:w="990" w:type="dxa"/>
            <w:vAlign w:val="bottom"/>
          </w:tcPr>
          <w:p w14:paraId="55976F77" w14:textId="77777777" w:rsidR="00FC5566" w:rsidRPr="004B499B" w:rsidRDefault="00FC5566" w:rsidP="00B247D5">
            <w:pPr>
              <w:rPr>
                <w:rFonts w:eastAsia="Calibri"/>
                <w:sz w:val="16"/>
                <w:szCs w:val="16"/>
              </w:rPr>
            </w:pPr>
            <w:r w:rsidRPr="004B499B">
              <w:rPr>
                <w:rFonts w:eastAsia="Calibri"/>
                <w:sz w:val="16"/>
                <w:szCs w:val="16"/>
              </w:rPr>
              <w:t>478.00</w:t>
            </w:r>
          </w:p>
        </w:tc>
        <w:tc>
          <w:tcPr>
            <w:tcW w:w="1050" w:type="dxa"/>
            <w:vAlign w:val="bottom"/>
          </w:tcPr>
          <w:p w14:paraId="2D9C02BF" w14:textId="77777777" w:rsidR="00FC5566" w:rsidRPr="004B499B" w:rsidRDefault="00FC5566" w:rsidP="00B247D5">
            <w:pPr>
              <w:rPr>
                <w:rFonts w:eastAsia="Calibri"/>
                <w:sz w:val="16"/>
                <w:szCs w:val="16"/>
              </w:rPr>
            </w:pPr>
            <w:r w:rsidRPr="004B499B">
              <w:rPr>
                <w:rFonts w:eastAsia="Calibri"/>
                <w:sz w:val="16"/>
                <w:szCs w:val="16"/>
              </w:rPr>
              <w:t>127.00</w:t>
            </w:r>
          </w:p>
        </w:tc>
      </w:tr>
      <w:tr w:rsidR="00FC5566" w:rsidRPr="008C697F" w14:paraId="20D29D65" w14:textId="77777777" w:rsidTr="00B247D5">
        <w:trPr>
          <w:cantSplit/>
          <w:jc w:val="center"/>
        </w:trPr>
        <w:tc>
          <w:tcPr>
            <w:tcW w:w="2047" w:type="dxa"/>
          </w:tcPr>
          <w:p w14:paraId="18C13006" w14:textId="77777777" w:rsidR="00FC5566" w:rsidRPr="004B499B" w:rsidRDefault="00FC5566" w:rsidP="00B247D5">
            <w:pPr>
              <w:rPr>
                <w:rFonts w:eastAsia="Calibri"/>
                <w:sz w:val="16"/>
                <w:szCs w:val="16"/>
              </w:rPr>
            </w:pPr>
            <w:r w:rsidRPr="004B499B">
              <w:rPr>
                <w:rFonts w:eastAsia="Calibri"/>
                <w:sz w:val="16"/>
                <w:szCs w:val="16"/>
              </w:rPr>
              <w:t>Sept.1, 2007-Aug 31, 2008</w:t>
            </w:r>
          </w:p>
        </w:tc>
        <w:tc>
          <w:tcPr>
            <w:tcW w:w="871" w:type="dxa"/>
            <w:vAlign w:val="bottom"/>
          </w:tcPr>
          <w:p w14:paraId="465C27C7" w14:textId="77777777" w:rsidR="00FC5566" w:rsidRPr="004B499B" w:rsidRDefault="00FC5566" w:rsidP="00B247D5">
            <w:pPr>
              <w:rPr>
                <w:rFonts w:eastAsia="Calibri"/>
                <w:sz w:val="16"/>
                <w:szCs w:val="16"/>
              </w:rPr>
            </w:pPr>
            <w:r w:rsidRPr="004B499B">
              <w:rPr>
                <w:rFonts w:eastAsia="Calibri"/>
                <w:sz w:val="16"/>
                <w:szCs w:val="16"/>
              </w:rPr>
              <w:t>696.00</w:t>
            </w:r>
          </w:p>
        </w:tc>
        <w:tc>
          <w:tcPr>
            <w:tcW w:w="990" w:type="dxa"/>
            <w:vAlign w:val="bottom"/>
          </w:tcPr>
          <w:p w14:paraId="586ECFB7" w14:textId="77777777" w:rsidR="00FC5566" w:rsidRPr="004B499B" w:rsidRDefault="00FC5566" w:rsidP="00B247D5">
            <w:pPr>
              <w:rPr>
                <w:rFonts w:eastAsia="Calibri"/>
                <w:sz w:val="16"/>
                <w:szCs w:val="16"/>
              </w:rPr>
            </w:pPr>
            <w:r w:rsidRPr="004B499B">
              <w:rPr>
                <w:rFonts w:eastAsia="Calibri"/>
                <w:sz w:val="16"/>
                <w:szCs w:val="16"/>
              </w:rPr>
              <w:t>522.00</w:t>
            </w:r>
          </w:p>
        </w:tc>
        <w:tc>
          <w:tcPr>
            <w:tcW w:w="1050" w:type="dxa"/>
            <w:vAlign w:val="bottom"/>
          </w:tcPr>
          <w:p w14:paraId="2E2371D4" w14:textId="77777777" w:rsidR="00FC5566" w:rsidRPr="004B499B" w:rsidRDefault="00FC5566" w:rsidP="00B247D5">
            <w:pPr>
              <w:rPr>
                <w:rFonts w:eastAsia="Calibri"/>
                <w:sz w:val="16"/>
                <w:szCs w:val="16"/>
              </w:rPr>
            </w:pPr>
            <w:r w:rsidRPr="004B499B">
              <w:rPr>
                <w:rFonts w:eastAsia="Calibri"/>
                <w:sz w:val="16"/>
                <w:szCs w:val="16"/>
              </w:rPr>
              <w:t>139.00</w:t>
            </w:r>
          </w:p>
        </w:tc>
      </w:tr>
      <w:tr w:rsidR="00FC5566" w:rsidRPr="008C697F" w14:paraId="4B5B7D59" w14:textId="77777777" w:rsidTr="00B247D5">
        <w:trPr>
          <w:cantSplit/>
          <w:jc w:val="center"/>
        </w:trPr>
        <w:tc>
          <w:tcPr>
            <w:tcW w:w="2047" w:type="dxa"/>
          </w:tcPr>
          <w:p w14:paraId="4AECFB31" w14:textId="77777777" w:rsidR="00FC5566" w:rsidRPr="004B499B" w:rsidRDefault="00FC5566" w:rsidP="00B247D5">
            <w:pPr>
              <w:rPr>
                <w:rFonts w:eastAsia="Calibri"/>
                <w:sz w:val="16"/>
                <w:szCs w:val="16"/>
              </w:rPr>
            </w:pPr>
            <w:r w:rsidRPr="004B499B">
              <w:rPr>
                <w:rFonts w:eastAsia="Calibri"/>
                <w:sz w:val="16"/>
                <w:szCs w:val="16"/>
              </w:rPr>
              <w:t>Sept. 1, 2008-Aug. 31, 2009</w:t>
            </w:r>
          </w:p>
        </w:tc>
        <w:tc>
          <w:tcPr>
            <w:tcW w:w="871" w:type="dxa"/>
            <w:vAlign w:val="bottom"/>
          </w:tcPr>
          <w:p w14:paraId="006D55EE" w14:textId="77777777" w:rsidR="00FC5566" w:rsidRPr="004B499B" w:rsidRDefault="00FC5566" w:rsidP="00B247D5">
            <w:pPr>
              <w:rPr>
                <w:rFonts w:eastAsia="Calibri"/>
                <w:sz w:val="16"/>
                <w:szCs w:val="16"/>
              </w:rPr>
            </w:pPr>
            <w:r w:rsidRPr="004B499B">
              <w:rPr>
                <w:rFonts w:eastAsia="Calibri"/>
                <w:sz w:val="16"/>
                <w:szCs w:val="16"/>
              </w:rPr>
              <w:t>728.10</w:t>
            </w:r>
          </w:p>
        </w:tc>
        <w:tc>
          <w:tcPr>
            <w:tcW w:w="990" w:type="dxa"/>
            <w:vAlign w:val="bottom"/>
          </w:tcPr>
          <w:p w14:paraId="7D8637BD" w14:textId="77777777" w:rsidR="00FC5566" w:rsidRPr="004B499B" w:rsidRDefault="00FC5566" w:rsidP="00B247D5">
            <w:pPr>
              <w:rPr>
                <w:rFonts w:eastAsia="Calibri"/>
                <w:sz w:val="16"/>
                <w:szCs w:val="16"/>
              </w:rPr>
            </w:pPr>
            <w:r w:rsidRPr="004B499B">
              <w:rPr>
                <w:rFonts w:eastAsia="Calibri"/>
                <w:sz w:val="16"/>
                <w:szCs w:val="16"/>
              </w:rPr>
              <w:t>546.00</w:t>
            </w:r>
          </w:p>
        </w:tc>
        <w:tc>
          <w:tcPr>
            <w:tcW w:w="1050" w:type="dxa"/>
            <w:vAlign w:val="bottom"/>
          </w:tcPr>
          <w:p w14:paraId="21155B47" w14:textId="77777777" w:rsidR="00FC5566" w:rsidRPr="004B499B" w:rsidRDefault="00FC5566" w:rsidP="00B247D5">
            <w:pPr>
              <w:rPr>
                <w:rFonts w:eastAsia="Calibri"/>
                <w:sz w:val="16"/>
                <w:szCs w:val="16"/>
              </w:rPr>
            </w:pPr>
            <w:r w:rsidRPr="004B499B">
              <w:rPr>
                <w:rFonts w:eastAsia="Calibri"/>
                <w:sz w:val="16"/>
                <w:szCs w:val="16"/>
              </w:rPr>
              <w:t>146.00</w:t>
            </w:r>
          </w:p>
        </w:tc>
      </w:tr>
      <w:tr w:rsidR="00FC5566" w:rsidRPr="008C697F" w14:paraId="6302CE11" w14:textId="77777777" w:rsidTr="00B247D5">
        <w:trPr>
          <w:cantSplit/>
          <w:jc w:val="center"/>
        </w:trPr>
        <w:tc>
          <w:tcPr>
            <w:tcW w:w="2047" w:type="dxa"/>
          </w:tcPr>
          <w:p w14:paraId="0FE48EE9" w14:textId="77777777" w:rsidR="00FC5566" w:rsidRPr="004B499B" w:rsidRDefault="00FC5566" w:rsidP="00B247D5">
            <w:pPr>
              <w:rPr>
                <w:rFonts w:eastAsia="Calibri"/>
                <w:sz w:val="16"/>
                <w:szCs w:val="16"/>
              </w:rPr>
            </w:pPr>
            <w:r w:rsidRPr="004B499B">
              <w:rPr>
                <w:rFonts w:eastAsia="Calibri"/>
                <w:sz w:val="16"/>
                <w:szCs w:val="16"/>
              </w:rPr>
              <w:t>Sept. 1, 2009-Aug. 31, 2010</w:t>
            </w:r>
          </w:p>
        </w:tc>
        <w:tc>
          <w:tcPr>
            <w:tcW w:w="871" w:type="dxa"/>
            <w:vAlign w:val="bottom"/>
          </w:tcPr>
          <w:p w14:paraId="4E4B3060" w14:textId="77777777" w:rsidR="00FC5566" w:rsidRPr="004B499B" w:rsidRDefault="00FC5566" w:rsidP="00B247D5">
            <w:pPr>
              <w:rPr>
                <w:rFonts w:eastAsia="Calibri"/>
                <w:sz w:val="16"/>
                <w:szCs w:val="16"/>
              </w:rPr>
            </w:pPr>
            <w:r w:rsidRPr="004B499B">
              <w:rPr>
                <w:rFonts w:eastAsia="Calibri"/>
                <w:sz w:val="16"/>
                <w:szCs w:val="16"/>
              </w:rPr>
              <w:t>768.83</w:t>
            </w:r>
          </w:p>
        </w:tc>
        <w:tc>
          <w:tcPr>
            <w:tcW w:w="990" w:type="dxa"/>
            <w:vAlign w:val="bottom"/>
          </w:tcPr>
          <w:p w14:paraId="358BA167" w14:textId="77777777" w:rsidR="00FC5566" w:rsidRPr="004B499B" w:rsidRDefault="00FC5566" w:rsidP="00B247D5">
            <w:pPr>
              <w:rPr>
                <w:rFonts w:eastAsia="Calibri"/>
                <w:sz w:val="16"/>
                <w:szCs w:val="16"/>
              </w:rPr>
            </w:pPr>
            <w:r w:rsidRPr="004B499B">
              <w:rPr>
                <w:rFonts w:eastAsia="Calibri"/>
                <w:sz w:val="16"/>
                <w:szCs w:val="16"/>
              </w:rPr>
              <w:t>577.00</w:t>
            </w:r>
          </w:p>
        </w:tc>
        <w:tc>
          <w:tcPr>
            <w:tcW w:w="1050" w:type="dxa"/>
            <w:vAlign w:val="bottom"/>
          </w:tcPr>
          <w:p w14:paraId="48BBADAE" w14:textId="77777777" w:rsidR="00FC5566" w:rsidRPr="004B499B" w:rsidRDefault="00FC5566" w:rsidP="00B247D5">
            <w:pPr>
              <w:rPr>
                <w:rFonts w:eastAsia="Calibri"/>
                <w:sz w:val="16"/>
                <w:szCs w:val="16"/>
              </w:rPr>
            </w:pPr>
            <w:r w:rsidRPr="004B499B">
              <w:rPr>
                <w:rFonts w:eastAsia="Calibri"/>
                <w:sz w:val="16"/>
                <w:szCs w:val="16"/>
              </w:rPr>
              <w:t>154.00</w:t>
            </w:r>
          </w:p>
        </w:tc>
      </w:tr>
      <w:tr w:rsidR="00FC5566" w:rsidRPr="008C697F" w14:paraId="3CF2D208" w14:textId="77777777" w:rsidTr="00B247D5">
        <w:trPr>
          <w:cantSplit/>
          <w:jc w:val="center"/>
        </w:trPr>
        <w:tc>
          <w:tcPr>
            <w:tcW w:w="2047" w:type="dxa"/>
          </w:tcPr>
          <w:p w14:paraId="7DA8448E" w14:textId="77777777" w:rsidR="00FC5566" w:rsidRPr="004B499B" w:rsidRDefault="00FC5566" w:rsidP="00B247D5">
            <w:pPr>
              <w:rPr>
                <w:rFonts w:eastAsia="Calibri"/>
                <w:sz w:val="16"/>
                <w:szCs w:val="16"/>
              </w:rPr>
            </w:pPr>
            <w:r w:rsidRPr="004B499B">
              <w:rPr>
                <w:rFonts w:eastAsia="Calibri"/>
                <w:sz w:val="16"/>
                <w:szCs w:val="16"/>
              </w:rPr>
              <w:t>Sept. 1, 2010-Aug. 31, 2011</w:t>
            </w:r>
          </w:p>
        </w:tc>
        <w:tc>
          <w:tcPr>
            <w:tcW w:w="871" w:type="dxa"/>
            <w:vAlign w:val="bottom"/>
          </w:tcPr>
          <w:p w14:paraId="3B5AE862" w14:textId="77777777" w:rsidR="00FC5566" w:rsidRPr="004B499B" w:rsidRDefault="00FC5566" w:rsidP="00B247D5">
            <w:pPr>
              <w:rPr>
                <w:rFonts w:eastAsia="Calibri"/>
                <w:sz w:val="16"/>
                <w:szCs w:val="16"/>
              </w:rPr>
            </w:pPr>
            <w:r w:rsidRPr="004B499B">
              <w:rPr>
                <w:rFonts w:eastAsia="Calibri"/>
                <w:sz w:val="16"/>
                <w:szCs w:val="16"/>
              </w:rPr>
              <w:t>772.18</w:t>
            </w:r>
          </w:p>
        </w:tc>
        <w:tc>
          <w:tcPr>
            <w:tcW w:w="990" w:type="dxa"/>
            <w:vAlign w:val="bottom"/>
          </w:tcPr>
          <w:p w14:paraId="2991C78D" w14:textId="77777777" w:rsidR="00FC5566" w:rsidRPr="004B499B" w:rsidRDefault="00FC5566" w:rsidP="00B247D5">
            <w:pPr>
              <w:rPr>
                <w:rFonts w:eastAsia="Calibri"/>
                <w:sz w:val="16"/>
                <w:szCs w:val="16"/>
              </w:rPr>
            </w:pPr>
            <w:r w:rsidRPr="004B499B">
              <w:rPr>
                <w:rFonts w:eastAsia="Calibri"/>
                <w:sz w:val="16"/>
                <w:szCs w:val="16"/>
              </w:rPr>
              <w:t>579.00</w:t>
            </w:r>
          </w:p>
        </w:tc>
        <w:tc>
          <w:tcPr>
            <w:tcW w:w="1050" w:type="dxa"/>
            <w:vAlign w:val="bottom"/>
          </w:tcPr>
          <w:p w14:paraId="58A13ECB" w14:textId="77777777" w:rsidR="00FC5566" w:rsidRPr="004B499B" w:rsidRDefault="00FC5566" w:rsidP="00B247D5">
            <w:pPr>
              <w:rPr>
                <w:rFonts w:eastAsia="Calibri"/>
                <w:sz w:val="16"/>
                <w:szCs w:val="16"/>
              </w:rPr>
            </w:pPr>
            <w:r w:rsidRPr="004B499B">
              <w:rPr>
                <w:rFonts w:eastAsia="Calibri"/>
                <w:sz w:val="16"/>
                <w:szCs w:val="16"/>
              </w:rPr>
              <w:t>154.00</w:t>
            </w:r>
          </w:p>
        </w:tc>
      </w:tr>
      <w:tr w:rsidR="00FC5566" w:rsidRPr="008C697F" w14:paraId="5FF310D3" w14:textId="77777777" w:rsidTr="00B247D5">
        <w:trPr>
          <w:cantSplit/>
          <w:jc w:val="center"/>
        </w:trPr>
        <w:tc>
          <w:tcPr>
            <w:tcW w:w="2047" w:type="dxa"/>
          </w:tcPr>
          <w:p w14:paraId="4A70400B" w14:textId="77777777" w:rsidR="00FC5566" w:rsidRPr="004B499B" w:rsidRDefault="00FC5566" w:rsidP="00B247D5">
            <w:pPr>
              <w:rPr>
                <w:rFonts w:eastAsia="Calibri"/>
                <w:sz w:val="16"/>
                <w:szCs w:val="16"/>
              </w:rPr>
            </w:pPr>
            <w:r w:rsidRPr="004B499B">
              <w:rPr>
                <w:rFonts w:eastAsia="Calibri"/>
                <w:sz w:val="16"/>
                <w:szCs w:val="16"/>
              </w:rPr>
              <w:t>Sept. 1, 2011-Aug. 31, 2012</w:t>
            </w:r>
          </w:p>
        </w:tc>
        <w:tc>
          <w:tcPr>
            <w:tcW w:w="871" w:type="dxa"/>
            <w:vAlign w:val="bottom"/>
          </w:tcPr>
          <w:p w14:paraId="4F55B63E" w14:textId="77777777" w:rsidR="00FC5566" w:rsidRPr="004B499B" w:rsidRDefault="00FC5566" w:rsidP="00B247D5">
            <w:pPr>
              <w:rPr>
                <w:rFonts w:eastAsia="Calibri"/>
                <w:sz w:val="16"/>
                <w:szCs w:val="16"/>
              </w:rPr>
            </w:pPr>
            <w:r w:rsidRPr="004B499B">
              <w:rPr>
                <w:rFonts w:eastAsia="Calibri"/>
                <w:sz w:val="16"/>
                <w:szCs w:val="16"/>
              </w:rPr>
              <w:t>789.00</w:t>
            </w:r>
          </w:p>
        </w:tc>
        <w:tc>
          <w:tcPr>
            <w:tcW w:w="990" w:type="dxa"/>
            <w:vAlign w:val="bottom"/>
          </w:tcPr>
          <w:p w14:paraId="263D56F8" w14:textId="77777777" w:rsidR="00FC5566" w:rsidRPr="004B499B" w:rsidRDefault="00FC5566" w:rsidP="00B247D5">
            <w:pPr>
              <w:rPr>
                <w:rFonts w:eastAsia="Calibri"/>
                <w:sz w:val="16"/>
                <w:szCs w:val="16"/>
              </w:rPr>
            </w:pPr>
            <w:r w:rsidRPr="004B499B">
              <w:rPr>
                <w:rFonts w:eastAsia="Calibri"/>
                <w:sz w:val="16"/>
                <w:szCs w:val="16"/>
              </w:rPr>
              <w:t>592.00</w:t>
            </w:r>
          </w:p>
        </w:tc>
        <w:tc>
          <w:tcPr>
            <w:tcW w:w="1050" w:type="dxa"/>
            <w:vAlign w:val="bottom"/>
          </w:tcPr>
          <w:p w14:paraId="1A3E37E5" w14:textId="77777777" w:rsidR="00FC5566" w:rsidRPr="004B499B" w:rsidRDefault="00FC5566" w:rsidP="00B247D5">
            <w:pPr>
              <w:rPr>
                <w:rFonts w:eastAsia="Calibri"/>
                <w:sz w:val="16"/>
                <w:szCs w:val="16"/>
              </w:rPr>
            </w:pPr>
            <w:r w:rsidRPr="004B499B">
              <w:rPr>
                <w:rFonts w:eastAsia="Calibri"/>
                <w:sz w:val="16"/>
                <w:szCs w:val="16"/>
              </w:rPr>
              <w:t>158.00</w:t>
            </w:r>
          </w:p>
        </w:tc>
      </w:tr>
      <w:tr w:rsidR="00FC5566" w:rsidRPr="008C697F" w14:paraId="19C813E4" w14:textId="77777777" w:rsidTr="00B247D5">
        <w:trPr>
          <w:cantSplit/>
          <w:jc w:val="center"/>
        </w:trPr>
        <w:tc>
          <w:tcPr>
            <w:tcW w:w="2047" w:type="dxa"/>
          </w:tcPr>
          <w:p w14:paraId="0AD9572E" w14:textId="77777777" w:rsidR="00FC5566" w:rsidRPr="004B499B" w:rsidRDefault="00FC5566" w:rsidP="00B247D5">
            <w:pPr>
              <w:rPr>
                <w:rFonts w:eastAsia="Calibri"/>
                <w:sz w:val="16"/>
                <w:szCs w:val="16"/>
              </w:rPr>
            </w:pPr>
            <w:r w:rsidRPr="004B499B">
              <w:rPr>
                <w:rFonts w:eastAsia="Calibri"/>
                <w:sz w:val="16"/>
                <w:szCs w:val="16"/>
              </w:rPr>
              <w:t>Sept. 1, 2012-Aug. 31, 2013</w:t>
            </w:r>
          </w:p>
        </w:tc>
        <w:tc>
          <w:tcPr>
            <w:tcW w:w="871" w:type="dxa"/>
            <w:vAlign w:val="bottom"/>
          </w:tcPr>
          <w:p w14:paraId="4EF24219" w14:textId="77777777" w:rsidR="00FC5566" w:rsidRPr="004B499B" w:rsidRDefault="00FC5566" w:rsidP="00B247D5">
            <w:pPr>
              <w:rPr>
                <w:rFonts w:eastAsia="Calibri"/>
                <w:sz w:val="16"/>
                <w:szCs w:val="16"/>
              </w:rPr>
            </w:pPr>
            <w:r w:rsidRPr="004B499B">
              <w:rPr>
                <w:rFonts w:eastAsia="Calibri"/>
                <w:sz w:val="16"/>
                <w:szCs w:val="16"/>
              </w:rPr>
              <w:t>807.07</w:t>
            </w:r>
          </w:p>
        </w:tc>
        <w:tc>
          <w:tcPr>
            <w:tcW w:w="990" w:type="dxa"/>
            <w:vAlign w:val="bottom"/>
          </w:tcPr>
          <w:p w14:paraId="3EDE9060" w14:textId="77777777" w:rsidR="00FC5566" w:rsidRPr="004B499B" w:rsidRDefault="00FC5566" w:rsidP="00B247D5">
            <w:pPr>
              <w:rPr>
                <w:rFonts w:eastAsia="Calibri"/>
                <w:sz w:val="16"/>
                <w:szCs w:val="16"/>
              </w:rPr>
            </w:pPr>
            <w:r w:rsidRPr="004B499B">
              <w:rPr>
                <w:rFonts w:eastAsia="Calibri"/>
                <w:sz w:val="16"/>
                <w:szCs w:val="16"/>
              </w:rPr>
              <w:t>605.00</w:t>
            </w:r>
          </w:p>
        </w:tc>
        <w:tc>
          <w:tcPr>
            <w:tcW w:w="1050" w:type="dxa"/>
            <w:vAlign w:val="bottom"/>
          </w:tcPr>
          <w:p w14:paraId="7B557DCD" w14:textId="77777777" w:rsidR="00FC5566" w:rsidRPr="004B499B" w:rsidRDefault="00FC5566" w:rsidP="00B247D5">
            <w:pPr>
              <w:rPr>
                <w:rFonts w:eastAsia="Calibri"/>
                <w:sz w:val="16"/>
                <w:szCs w:val="16"/>
              </w:rPr>
            </w:pPr>
            <w:r w:rsidRPr="004B499B">
              <w:rPr>
                <w:rFonts w:eastAsia="Calibri"/>
                <w:sz w:val="16"/>
                <w:szCs w:val="16"/>
              </w:rPr>
              <w:t>161.00</w:t>
            </w:r>
          </w:p>
        </w:tc>
      </w:tr>
      <w:tr w:rsidR="00FC5566" w:rsidRPr="008C697F" w14:paraId="0214EEC1" w14:textId="77777777" w:rsidTr="00B247D5">
        <w:trPr>
          <w:cantSplit/>
          <w:jc w:val="center"/>
        </w:trPr>
        <w:tc>
          <w:tcPr>
            <w:tcW w:w="2047" w:type="dxa"/>
          </w:tcPr>
          <w:p w14:paraId="2BAFD364" w14:textId="77777777" w:rsidR="00FC5566" w:rsidRPr="004B499B" w:rsidRDefault="00FC5566" w:rsidP="00B247D5">
            <w:pPr>
              <w:rPr>
                <w:rFonts w:eastAsia="Calibri"/>
                <w:sz w:val="16"/>
                <w:szCs w:val="16"/>
              </w:rPr>
            </w:pPr>
            <w:r w:rsidRPr="004B499B">
              <w:rPr>
                <w:rFonts w:eastAsia="Calibri"/>
                <w:sz w:val="16"/>
                <w:szCs w:val="16"/>
              </w:rPr>
              <w:t>Sept. 1, 2013-Aug. 31, 2014</w:t>
            </w:r>
          </w:p>
        </w:tc>
        <w:tc>
          <w:tcPr>
            <w:tcW w:w="871" w:type="dxa"/>
            <w:vAlign w:val="bottom"/>
          </w:tcPr>
          <w:p w14:paraId="134D7AB3" w14:textId="77777777" w:rsidR="00FC5566" w:rsidRPr="004B499B" w:rsidRDefault="00FC5566" w:rsidP="00B247D5">
            <w:pPr>
              <w:rPr>
                <w:rFonts w:eastAsia="Calibri"/>
                <w:sz w:val="16"/>
                <w:szCs w:val="16"/>
              </w:rPr>
            </w:pPr>
            <w:r w:rsidRPr="004B499B">
              <w:rPr>
                <w:rFonts w:eastAsia="Calibri"/>
                <w:sz w:val="16"/>
                <w:szCs w:val="16"/>
              </w:rPr>
              <w:t>825.54</w:t>
            </w:r>
          </w:p>
        </w:tc>
        <w:tc>
          <w:tcPr>
            <w:tcW w:w="990" w:type="dxa"/>
            <w:vAlign w:val="bottom"/>
          </w:tcPr>
          <w:p w14:paraId="1E68D090" w14:textId="77777777" w:rsidR="00FC5566" w:rsidRPr="004B499B" w:rsidRDefault="00FC5566" w:rsidP="00B247D5">
            <w:pPr>
              <w:rPr>
                <w:rFonts w:eastAsia="Calibri"/>
                <w:sz w:val="16"/>
                <w:szCs w:val="16"/>
              </w:rPr>
            </w:pPr>
            <w:r w:rsidRPr="004B499B">
              <w:rPr>
                <w:rFonts w:eastAsia="Calibri"/>
                <w:sz w:val="16"/>
                <w:szCs w:val="16"/>
              </w:rPr>
              <w:t>619.00</w:t>
            </w:r>
          </w:p>
        </w:tc>
        <w:tc>
          <w:tcPr>
            <w:tcW w:w="1050" w:type="dxa"/>
            <w:vAlign w:val="bottom"/>
          </w:tcPr>
          <w:p w14:paraId="3615EC3F" w14:textId="77777777" w:rsidR="00FC5566" w:rsidRPr="004B499B" w:rsidRDefault="00FC5566" w:rsidP="00B247D5">
            <w:pPr>
              <w:rPr>
                <w:rFonts w:eastAsia="Calibri"/>
                <w:sz w:val="16"/>
                <w:szCs w:val="16"/>
              </w:rPr>
            </w:pPr>
            <w:r w:rsidRPr="004B499B">
              <w:rPr>
                <w:rFonts w:eastAsia="Calibri"/>
                <w:sz w:val="16"/>
                <w:szCs w:val="16"/>
              </w:rPr>
              <w:t>165.00</w:t>
            </w:r>
          </w:p>
        </w:tc>
      </w:tr>
      <w:tr w:rsidR="00FC5566" w:rsidRPr="008C697F" w14:paraId="46CD21B9" w14:textId="77777777" w:rsidTr="00B247D5">
        <w:trPr>
          <w:cantSplit/>
          <w:jc w:val="center"/>
        </w:trPr>
        <w:tc>
          <w:tcPr>
            <w:tcW w:w="2047" w:type="dxa"/>
          </w:tcPr>
          <w:p w14:paraId="781808A0" w14:textId="77777777" w:rsidR="00FC5566" w:rsidRPr="004B499B" w:rsidRDefault="00FC5566" w:rsidP="00B247D5">
            <w:pPr>
              <w:rPr>
                <w:rFonts w:eastAsia="Calibri"/>
                <w:sz w:val="16"/>
                <w:szCs w:val="16"/>
              </w:rPr>
            </w:pPr>
            <w:r w:rsidRPr="004B499B">
              <w:rPr>
                <w:rFonts w:eastAsia="Calibri"/>
                <w:sz w:val="16"/>
                <w:szCs w:val="16"/>
              </w:rPr>
              <w:t>Sept. 1, 2014-Aug. 31, 2015</w:t>
            </w:r>
          </w:p>
        </w:tc>
        <w:tc>
          <w:tcPr>
            <w:tcW w:w="871" w:type="dxa"/>
            <w:vAlign w:val="bottom"/>
          </w:tcPr>
          <w:p w14:paraId="4D0FC9E7" w14:textId="77777777" w:rsidR="00FC5566" w:rsidRPr="004B499B" w:rsidRDefault="00FC5566" w:rsidP="00B247D5">
            <w:pPr>
              <w:rPr>
                <w:rFonts w:eastAsia="Calibri"/>
                <w:sz w:val="16"/>
                <w:szCs w:val="16"/>
              </w:rPr>
            </w:pPr>
            <w:r w:rsidRPr="004B499B">
              <w:rPr>
                <w:rFonts w:eastAsia="Calibri"/>
                <w:sz w:val="16"/>
                <w:szCs w:val="16"/>
              </w:rPr>
              <w:t>839.76</w:t>
            </w:r>
          </w:p>
        </w:tc>
        <w:tc>
          <w:tcPr>
            <w:tcW w:w="990" w:type="dxa"/>
            <w:vAlign w:val="bottom"/>
          </w:tcPr>
          <w:p w14:paraId="71C18359" w14:textId="77777777" w:rsidR="00FC5566" w:rsidRPr="004B499B" w:rsidRDefault="00FC5566" w:rsidP="00B247D5">
            <w:pPr>
              <w:rPr>
                <w:rFonts w:eastAsia="Calibri"/>
                <w:sz w:val="16"/>
                <w:szCs w:val="16"/>
              </w:rPr>
            </w:pPr>
            <w:r w:rsidRPr="004B499B">
              <w:rPr>
                <w:rFonts w:eastAsia="Calibri"/>
                <w:sz w:val="16"/>
                <w:szCs w:val="16"/>
              </w:rPr>
              <w:t>630.00</w:t>
            </w:r>
          </w:p>
        </w:tc>
        <w:tc>
          <w:tcPr>
            <w:tcW w:w="1050" w:type="dxa"/>
            <w:vAlign w:val="bottom"/>
          </w:tcPr>
          <w:p w14:paraId="27D8E4C5" w14:textId="77777777" w:rsidR="00FC5566" w:rsidRPr="004B499B" w:rsidRDefault="00FC5566" w:rsidP="00B247D5">
            <w:pPr>
              <w:rPr>
                <w:rFonts w:eastAsia="Calibri"/>
                <w:sz w:val="16"/>
                <w:szCs w:val="16"/>
              </w:rPr>
            </w:pPr>
            <w:r w:rsidRPr="004B499B">
              <w:rPr>
                <w:rFonts w:eastAsia="Calibri"/>
                <w:sz w:val="16"/>
                <w:szCs w:val="16"/>
              </w:rPr>
              <w:t>168.00</w:t>
            </w:r>
          </w:p>
        </w:tc>
      </w:tr>
      <w:tr w:rsidR="00FC5566" w:rsidRPr="008C697F" w14:paraId="357F3E5E" w14:textId="77777777" w:rsidTr="00B247D5">
        <w:trPr>
          <w:cantSplit/>
          <w:jc w:val="center"/>
        </w:trPr>
        <w:tc>
          <w:tcPr>
            <w:tcW w:w="2047" w:type="dxa"/>
          </w:tcPr>
          <w:p w14:paraId="46938CF9" w14:textId="77777777" w:rsidR="00FC5566" w:rsidRPr="004B499B" w:rsidRDefault="00FC5566" w:rsidP="00B247D5">
            <w:pPr>
              <w:rPr>
                <w:rFonts w:eastAsia="Calibri"/>
                <w:sz w:val="16"/>
                <w:szCs w:val="16"/>
              </w:rPr>
            </w:pPr>
            <w:r w:rsidRPr="004B499B">
              <w:rPr>
                <w:rFonts w:eastAsia="Calibri"/>
                <w:sz w:val="16"/>
                <w:szCs w:val="16"/>
              </w:rPr>
              <w:t>Sept. 1, 2015-Aug. 31, 2016</w:t>
            </w:r>
          </w:p>
        </w:tc>
        <w:tc>
          <w:tcPr>
            <w:tcW w:w="871" w:type="dxa"/>
            <w:vAlign w:val="bottom"/>
          </w:tcPr>
          <w:p w14:paraId="25941356" w14:textId="77777777" w:rsidR="00FC5566" w:rsidRPr="004B499B" w:rsidRDefault="00FC5566" w:rsidP="00B247D5">
            <w:pPr>
              <w:rPr>
                <w:rFonts w:eastAsia="Calibri"/>
                <w:sz w:val="16"/>
                <w:szCs w:val="16"/>
              </w:rPr>
            </w:pPr>
            <w:r w:rsidRPr="004B499B">
              <w:rPr>
                <w:rFonts w:eastAsia="Calibri"/>
                <w:sz w:val="16"/>
                <w:szCs w:val="16"/>
              </w:rPr>
              <w:t>865.31</w:t>
            </w:r>
          </w:p>
        </w:tc>
        <w:tc>
          <w:tcPr>
            <w:tcW w:w="990" w:type="dxa"/>
            <w:vAlign w:val="bottom"/>
          </w:tcPr>
          <w:p w14:paraId="3CB68CC7" w14:textId="77777777" w:rsidR="00FC5566" w:rsidRPr="004B499B" w:rsidRDefault="00FC5566" w:rsidP="00B247D5">
            <w:pPr>
              <w:rPr>
                <w:rFonts w:eastAsia="Calibri"/>
                <w:sz w:val="16"/>
                <w:szCs w:val="16"/>
              </w:rPr>
            </w:pPr>
            <w:r w:rsidRPr="004B499B">
              <w:rPr>
                <w:rFonts w:eastAsia="Calibri"/>
                <w:sz w:val="16"/>
                <w:szCs w:val="16"/>
              </w:rPr>
              <w:t>649.00</w:t>
            </w:r>
          </w:p>
        </w:tc>
        <w:tc>
          <w:tcPr>
            <w:tcW w:w="1050" w:type="dxa"/>
            <w:vAlign w:val="bottom"/>
          </w:tcPr>
          <w:p w14:paraId="42439385" w14:textId="77777777" w:rsidR="00FC5566" w:rsidRPr="004B499B" w:rsidRDefault="00FC5566" w:rsidP="00B247D5">
            <w:pPr>
              <w:rPr>
                <w:rFonts w:eastAsia="Calibri"/>
                <w:sz w:val="16"/>
                <w:szCs w:val="16"/>
              </w:rPr>
            </w:pPr>
            <w:r w:rsidRPr="004B499B">
              <w:rPr>
                <w:rFonts w:eastAsia="Calibri"/>
                <w:sz w:val="16"/>
                <w:szCs w:val="16"/>
              </w:rPr>
              <w:t>173.00</w:t>
            </w:r>
          </w:p>
        </w:tc>
      </w:tr>
      <w:tr w:rsidR="00FC5566" w:rsidRPr="008C697F" w14:paraId="69030B0B" w14:textId="77777777" w:rsidTr="00B247D5">
        <w:trPr>
          <w:cantSplit/>
          <w:jc w:val="center"/>
        </w:trPr>
        <w:tc>
          <w:tcPr>
            <w:tcW w:w="2047" w:type="dxa"/>
          </w:tcPr>
          <w:p w14:paraId="6D8868F3" w14:textId="77777777" w:rsidR="00FC5566" w:rsidRPr="004B499B" w:rsidRDefault="00FC5566" w:rsidP="00B247D5">
            <w:pPr>
              <w:rPr>
                <w:rFonts w:eastAsia="Calibri"/>
                <w:sz w:val="16"/>
                <w:szCs w:val="16"/>
              </w:rPr>
            </w:pPr>
            <w:r w:rsidRPr="004B499B">
              <w:rPr>
                <w:rFonts w:eastAsia="Calibri"/>
                <w:sz w:val="16"/>
                <w:szCs w:val="16"/>
              </w:rPr>
              <w:t>Sept. 1, 2016-Aug. 31, 2017</w:t>
            </w:r>
          </w:p>
        </w:tc>
        <w:tc>
          <w:tcPr>
            <w:tcW w:w="871" w:type="dxa"/>
            <w:vAlign w:val="bottom"/>
          </w:tcPr>
          <w:p w14:paraId="252F1316" w14:textId="77777777" w:rsidR="00FC5566" w:rsidRPr="004B499B" w:rsidRDefault="00FC5566" w:rsidP="00B247D5">
            <w:pPr>
              <w:rPr>
                <w:rFonts w:eastAsia="Calibri"/>
                <w:sz w:val="16"/>
                <w:szCs w:val="16"/>
              </w:rPr>
            </w:pPr>
            <w:r w:rsidRPr="004B499B">
              <w:rPr>
                <w:rFonts w:eastAsia="Calibri"/>
                <w:sz w:val="16"/>
                <w:szCs w:val="16"/>
              </w:rPr>
              <w:t>876.00</w:t>
            </w:r>
          </w:p>
        </w:tc>
        <w:tc>
          <w:tcPr>
            <w:tcW w:w="990" w:type="dxa"/>
            <w:vAlign w:val="bottom"/>
          </w:tcPr>
          <w:p w14:paraId="19FC008C" w14:textId="77777777" w:rsidR="00FC5566" w:rsidRPr="004B499B" w:rsidRDefault="00FC5566" w:rsidP="00B247D5">
            <w:pPr>
              <w:rPr>
                <w:rFonts w:eastAsia="Calibri"/>
                <w:sz w:val="16"/>
                <w:szCs w:val="16"/>
              </w:rPr>
            </w:pPr>
            <w:r w:rsidRPr="004B499B">
              <w:rPr>
                <w:rFonts w:eastAsia="Calibri"/>
                <w:sz w:val="16"/>
                <w:szCs w:val="16"/>
              </w:rPr>
              <w:t>657.00</w:t>
            </w:r>
          </w:p>
        </w:tc>
        <w:tc>
          <w:tcPr>
            <w:tcW w:w="1050" w:type="dxa"/>
            <w:vAlign w:val="bottom"/>
          </w:tcPr>
          <w:p w14:paraId="73ADAE42" w14:textId="77777777" w:rsidR="00FC5566" w:rsidRPr="004B499B" w:rsidRDefault="00FC5566" w:rsidP="00B247D5">
            <w:pPr>
              <w:rPr>
                <w:rFonts w:eastAsia="Calibri"/>
                <w:sz w:val="16"/>
                <w:szCs w:val="16"/>
              </w:rPr>
            </w:pPr>
            <w:r w:rsidRPr="004B499B">
              <w:rPr>
                <w:rFonts w:eastAsia="Calibri"/>
                <w:sz w:val="16"/>
                <w:szCs w:val="16"/>
              </w:rPr>
              <w:t>175.00</w:t>
            </w:r>
          </w:p>
        </w:tc>
      </w:tr>
      <w:tr w:rsidR="00FC5566" w:rsidRPr="008C697F" w14:paraId="3BABE5BB" w14:textId="77777777" w:rsidTr="00B247D5">
        <w:trPr>
          <w:cantSplit/>
          <w:jc w:val="center"/>
        </w:trPr>
        <w:tc>
          <w:tcPr>
            <w:tcW w:w="2047" w:type="dxa"/>
          </w:tcPr>
          <w:p w14:paraId="34CB8295" w14:textId="77777777" w:rsidR="00FC5566" w:rsidRPr="004B499B" w:rsidRDefault="00FC5566" w:rsidP="00B247D5">
            <w:pPr>
              <w:rPr>
                <w:rFonts w:eastAsia="Calibri"/>
                <w:sz w:val="16"/>
                <w:szCs w:val="16"/>
              </w:rPr>
            </w:pPr>
            <w:r w:rsidRPr="004B499B">
              <w:rPr>
                <w:rFonts w:eastAsia="Calibri"/>
                <w:sz w:val="16"/>
                <w:szCs w:val="16"/>
              </w:rPr>
              <w:t>Sept. 1, 2017-Aug. 31, 2018</w:t>
            </w:r>
          </w:p>
        </w:tc>
        <w:tc>
          <w:tcPr>
            <w:tcW w:w="871" w:type="dxa"/>
            <w:vAlign w:val="bottom"/>
          </w:tcPr>
          <w:p w14:paraId="7E5D62F2" w14:textId="77777777" w:rsidR="00FC5566" w:rsidRPr="004B499B" w:rsidRDefault="00FC5566" w:rsidP="00B247D5">
            <w:pPr>
              <w:rPr>
                <w:rFonts w:eastAsia="Calibri"/>
                <w:sz w:val="16"/>
                <w:szCs w:val="16"/>
              </w:rPr>
            </w:pPr>
            <w:r w:rsidRPr="004B499B">
              <w:rPr>
                <w:rFonts w:eastAsia="Calibri"/>
                <w:sz w:val="16"/>
                <w:szCs w:val="16"/>
              </w:rPr>
              <w:t>870.00</w:t>
            </w:r>
          </w:p>
        </w:tc>
        <w:tc>
          <w:tcPr>
            <w:tcW w:w="990" w:type="dxa"/>
            <w:vAlign w:val="bottom"/>
          </w:tcPr>
          <w:p w14:paraId="5FA9CF6E" w14:textId="77777777" w:rsidR="00FC5566" w:rsidRPr="004B499B" w:rsidRDefault="00FC5566" w:rsidP="00B247D5">
            <w:pPr>
              <w:rPr>
                <w:rFonts w:eastAsia="Calibri"/>
                <w:sz w:val="16"/>
                <w:szCs w:val="16"/>
              </w:rPr>
            </w:pPr>
            <w:r w:rsidRPr="004B499B">
              <w:rPr>
                <w:rFonts w:eastAsia="Calibri"/>
                <w:sz w:val="16"/>
                <w:szCs w:val="16"/>
              </w:rPr>
              <w:t>653.00</w:t>
            </w:r>
          </w:p>
        </w:tc>
        <w:tc>
          <w:tcPr>
            <w:tcW w:w="1050" w:type="dxa"/>
            <w:vAlign w:val="bottom"/>
          </w:tcPr>
          <w:p w14:paraId="10878FFF" w14:textId="77777777" w:rsidR="00FC5566" w:rsidRPr="004B499B" w:rsidRDefault="00FC5566" w:rsidP="00B247D5">
            <w:pPr>
              <w:rPr>
                <w:rFonts w:eastAsia="Calibri"/>
                <w:sz w:val="16"/>
                <w:szCs w:val="16"/>
              </w:rPr>
            </w:pPr>
            <w:r w:rsidRPr="004B499B">
              <w:rPr>
                <w:rFonts w:eastAsia="Calibri"/>
                <w:sz w:val="16"/>
                <w:szCs w:val="16"/>
              </w:rPr>
              <w:t>174.00</w:t>
            </w:r>
          </w:p>
        </w:tc>
      </w:tr>
      <w:tr w:rsidR="00FC5566" w:rsidRPr="008C697F" w14:paraId="7E7F0317" w14:textId="77777777" w:rsidTr="00B247D5">
        <w:trPr>
          <w:cantSplit/>
          <w:jc w:val="center"/>
        </w:trPr>
        <w:tc>
          <w:tcPr>
            <w:tcW w:w="2047" w:type="dxa"/>
          </w:tcPr>
          <w:p w14:paraId="4C990456" w14:textId="77777777" w:rsidR="00FC5566" w:rsidRPr="004B499B" w:rsidRDefault="00FC5566" w:rsidP="00B247D5">
            <w:pPr>
              <w:rPr>
                <w:rFonts w:eastAsia="Calibri"/>
                <w:sz w:val="16"/>
                <w:szCs w:val="16"/>
              </w:rPr>
            </w:pPr>
            <w:r w:rsidRPr="004B499B">
              <w:rPr>
                <w:rFonts w:eastAsia="Calibri"/>
                <w:sz w:val="16"/>
                <w:szCs w:val="16"/>
              </w:rPr>
              <w:t>Sept. 1, 2018-Aug. 31, 2019</w:t>
            </w:r>
          </w:p>
        </w:tc>
        <w:tc>
          <w:tcPr>
            <w:tcW w:w="871" w:type="dxa"/>
            <w:vAlign w:val="bottom"/>
          </w:tcPr>
          <w:p w14:paraId="25482312" w14:textId="77777777" w:rsidR="00FC5566" w:rsidRPr="004B499B" w:rsidRDefault="00FC5566" w:rsidP="00B247D5">
            <w:pPr>
              <w:rPr>
                <w:rFonts w:eastAsia="Calibri"/>
                <w:sz w:val="16"/>
                <w:szCs w:val="16"/>
              </w:rPr>
            </w:pPr>
            <w:r w:rsidRPr="004B499B">
              <w:rPr>
                <w:rFonts w:eastAsia="Calibri"/>
                <w:sz w:val="16"/>
                <w:szCs w:val="16"/>
              </w:rPr>
              <w:t>886.38</w:t>
            </w:r>
          </w:p>
        </w:tc>
        <w:tc>
          <w:tcPr>
            <w:tcW w:w="990" w:type="dxa"/>
            <w:vAlign w:val="bottom"/>
          </w:tcPr>
          <w:p w14:paraId="5B763C7C" w14:textId="77777777" w:rsidR="00FC5566" w:rsidRPr="004B499B" w:rsidRDefault="00FC5566" w:rsidP="00B247D5">
            <w:pPr>
              <w:rPr>
                <w:rFonts w:eastAsia="Calibri"/>
                <w:sz w:val="16"/>
                <w:szCs w:val="16"/>
              </w:rPr>
            </w:pPr>
            <w:r w:rsidRPr="004B499B">
              <w:rPr>
                <w:rFonts w:eastAsia="Calibri"/>
                <w:sz w:val="16"/>
                <w:szCs w:val="16"/>
              </w:rPr>
              <w:t>665.00</w:t>
            </w:r>
          </w:p>
        </w:tc>
        <w:tc>
          <w:tcPr>
            <w:tcW w:w="1050" w:type="dxa"/>
            <w:vAlign w:val="bottom"/>
          </w:tcPr>
          <w:p w14:paraId="61FB3DCE" w14:textId="77777777" w:rsidR="00FC5566" w:rsidRPr="004B499B" w:rsidRDefault="00FC5566" w:rsidP="00B247D5">
            <w:pPr>
              <w:rPr>
                <w:rFonts w:eastAsia="Calibri"/>
                <w:sz w:val="16"/>
                <w:szCs w:val="16"/>
              </w:rPr>
            </w:pPr>
            <w:r w:rsidRPr="004B499B">
              <w:rPr>
                <w:rFonts w:eastAsia="Calibri"/>
                <w:sz w:val="16"/>
                <w:szCs w:val="16"/>
              </w:rPr>
              <w:t>177.00</w:t>
            </w:r>
          </w:p>
        </w:tc>
      </w:tr>
      <w:tr w:rsidR="00FC5566" w:rsidRPr="008C697F" w14:paraId="194C7E71" w14:textId="77777777" w:rsidTr="00B247D5">
        <w:trPr>
          <w:cantSplit/>
          <w:jc w:val="center"/>
        </w:trPr>
        <w:tc>
          <w:tcPr>
            <w:tcW w:w="2047" w:type="dxa"/>
          </w:tcPr>
          <w:p w14:paraId="69A681D7" w14:textId="77777777" w:rsidR="00FC5566" w:rsidRPr="004B499B" w:rsidRDefault="00FC5566" w:rsidP="00B247D5">
            <w:pPr>
              <w:rPr>
                <w:rFonts w:eastAsia="Calibri"/>
                <w:sz w:val="16"/>
                <w:szCs w:val="16"/>
              </w:rPr>
            </w:pPr>
            <w:r w:rsidRPr="004B499B">
              <w:rPr>
                <w:rFonts w:eastAsia="Calibri"/>
                <w:sz w:val="16"/>
                <w:szCs w:val="16"/>
              </w:rPr>
              <w:t>Sept. 1, 2019-Aug. 31, 2020</w:t>
            </w:r>
          </w:p>
        </w:tc>
        <w:tc>
          <w:tcPr>
            <w:tcW w:w="871" w:type="dxa"/>
            <w:vAlign w:val="bottom"/>
          </w:tcPr>
          <w:p w14:paraId="33CFF1F1" w14:textId="77777777" w:rsidR="00FC5566" w:rsidRPr="004B499B" w:rsidRDefault="00FC5566" w:rsidP="00B247D5">
            <w:pPr>
              <w:rPr>
                <w:rFonts w:eastAsia="Calibri"/>
                <w:sz w:val="16"/>
                <w:szCs w:val="16"/>
              </w:rPr>
            </w:pPr>
            <w:r w:rsidRPr="004B499B">
              <w:rPr>
                <w:rFonts w:eastAsia="Calibri"/>
                <w:sz w:val="16"/>
                <w:szCs w:val="16"/>
              </w:rPr>
              <w:t>916.85</w:t>
            </w:r>
          </w:p>
        </w:tc>
        <w:tc>
          <w:tcPr>
            <w:tcW w:w="990" w:type="dxa"/>
            <w:vAlign w:val="bottom"/>
          </w:tcPr>
          <w:p w14:paraId="4B81866A" w14:textId="77777777" w:rsidR="00FC5566" w:rsidRPr="004B499B" w:rsidRDefault="00FC5566" w:rsidP="00B247D5">
            <w:pPr>
              <w:rPr>
                <w:rFonts w:eastAsia="Calibri"/>
                <w:sz w:val="16"/>
                <w:szCs w:val="16"/>
              </w:rPr>
            </w:pPr>
            <w:r w:rsidRPr="004B499B">
              <w:rPr>
                <w:rFonts w:eastAsia="Calibri"/>
                <w:sz w:val="16"/>
                <w:szCs w:val="16"/>
              </w:rPr>
              <w:t>688.00</w:t>
            </w:r>
          </w:p>
        </w:tc>
        <w:tc>
          <w:tcPr>
            <w:tcW w:w="1050" w:type="dxa"/>
            <w:vAlign w:val="bottom"/>
          </w:tcPr>
          <w:p w14:paraId="430E5E82" w14:textId="77777777" w:rsidR="00FC5566" w:rsidRPr="004B499B" w:rsidRDefault="00FC5566" w:rsidP="00B247D5">
            <w:pPr>
              <w:rPr>
                <w:rFonts w:eastAsia="Calibri"/>
                <w:sz w:val="16"/>
                <w:szCs w:val="16"/>
              </w:rPr>
            </w:pPr>
            <w:r w:rsidRPr="004B499B">
              <w:rPr>
                <w:rFonts w:eastAsia="Calibri"/>
                <w:sz w:val="16"/>
                <w:szCs w:val="16"/>
              </w:rPr>
              <w:t>183.00</w:t>
            </w:r>
          </w:p>
        </w:tc>
      </w:tr>
      <w:tr w:rsidR="00FC5566" w:rsidRPr="008C697F" w14:paraId="24122289" w14:textId="77777777" w:rsidTr="00B247D5">
        <w:trPr>
          <w:cantSplit/>
          <w:jc w:val="center"/>
        </w:trPr>
        <w:tc>
          <w:tcPr>
            <w:tcW w:w="2047" w:type="dxa"/>
          </w:tcPr>
          <w:p w14:paraId="269B6708" w14:textId="77777777" w:rsidR="00FC5566" w:rsidRPr="004B499B" w:rsidRDefault="00FC5566" w:rsidP="00B247D5">
            <w:pPr>
              <w:rPr>
                <w:rFonts w:eastAsia="Calibri"/>
                <w:sz w:val="16"/>
                <w:szCs w:val="16"/>
              </w:rPr>
            </w:pPr>
            <w:r w:rsidRPr="004B499B">
              <w:rPr>
                <w:rFonts w:eastAsia="Calibri"/>
                <w:sz w:val="16"/>
                <w:szCs w:val="16"/>
              </w:rPr>
              <w:t>Sept. 1, 2020-Aug. 31, 2021</w:t>
            </w:r>
          </w:p>
        </w:tc>
        <w:tc>
          <w:tcPr>
            <w:tcW w:w="871" w:type="dxa"/>
            <w:vAlign w:val="bottom"/>
          </w:tcPr>
          <w:p w14:paraId="32CC574D" w14:textId="77777777" w:rsidR="00FC5566" w:rsidRPr="004B499B" w:rsidRDefault="00FC5566" w:rsidP="00B247D5">
            <w:pPr>
              <w:rPr>
                <w:rFonts w:eastAsia="Calibri"/>
                <w:sz w:val="16"/>
                <w:szCs w:val="16"/>
              </w:rPr>
            </w:pPr>
            <w:r w:rsidRPr="004B499B">
              <w:rPr>
                <w:rFonts w:eastAsia="Calibri"/>
                <w:sz w:val="16"/>
                <w:szCs w:val="16"/>
              </w:rPr>
              <w:t>940.00</w:t>
            </w:r>
          </w:p>
        </w:tc>
        <w:tc>
          <w:tcPr>
            <w:tcW w:w="990" w:type="dxa"/>
            <w:vAlign w:val="bottom"/>
          </w:tcPr>
          <w:p w14:paraId="643E040E" w14:textId="77777777" w:rsidR="00FC5566" w:rsidRPr="004B499B" w:rsidRDefault="00FC5566" w:rsidP="00B247D5">
            <w:pPr>
              <w:rPr>
                <w:rFonts w:eastAsia="Calibri"/>
                <w:sz w:val="16"/>
                <w:szCs w:val="16"/>
              </w:rPr>
            </w:pPr>
            <w:r w:rsidRPr="004B499B">
              <w:rPr>
                <w:rFonts w:eastAsia="Calibri"/>
                <w:sz w:val="16"/>
                <w:szCs w:val="16"/>
              </w:rPr>
              <w:t>705.00</w:t>
            </w:r>
          </w:p>
        </w:tc>
        <w:tc>
          <w:tcPr>
            <w:tcW w:w="1050" w:type="dxa"/>
            <w:vAlign w:val="bottom"/>
          </w:tcPr>
          <w:p w14:paraId="3A2E7A2F" w14:textId="77777777" w:rsidR="00FC5566" w:rsidRPr="004B499B" w:rsidRDefault="00FC5566" w:rsidP="00B247D5">
            <w:pPr>
              <w:rPr>
                <w:rFonts w:eastAsia="Calibri"/>
                <w:sz w:val="16"/>
                <w:szCs w:val="16"/>
              </w:rPr>
            </w:pPr>
            <w:r w:rsidRPr="004B499B">
              <w:rPr>
                <w:rFonts w:eastAsia="Calibri"/>
                <w:sz w:val="16"/>
                <w:szCs w:val="16"/>
              </w:rPr>
              <w:t>188.00</w:t>
            </w:r>
          </w:p>
        </w:tc>
      </w:tr>
      <w:tr w:rsidR="00FC5566" w:rsidRPr="008C697F" w14:paraId="72F18D28" w14:textId="77777777" w:rsidTr="00B247D5">
        <w:trPr>
          <w:cantSplit/>
          <w:jc w:val="center"/>
        </w:trPr>
        <w:tc>
          <w:tcPr>
            <w:tcW w:w="2047" w:type="dxa"/>
          </w:tcPr>
          <w:p w14:paraId="66C3A3DB" w14:textId="77777777" w:rsidR="00FC5566" w:rsidRPr="004B499B" w:rsidRDefault="00FC5566" w:rsidP="00B247D5">
            <w:pPr>
              <w:rPr>
                <w:rFonts w:eastAsia="Calibri"/>
                <w:sz w:val="16"/>
                <w:szCs w:val="16"/>
              </w:rPr>
            </w:pPr>
            <w:r w:rsidRPr="004B499B">
              <w:rPr>
                <w:rFonts w:eastAsia="Calibri"/>
                <w:sz w:val="16"/>
                <w:szCs w:val="16"/>
              </w:rPr>
              <w:t>Sept. 1, 2021-Aug. 31, 2022</w:t>
            </w:r>
          </w:p>
        </w:tc>
        <w:tc>
          <w:tcPr>
            <w:tcW w:w="871" w:type="dxa"/>
            <w:vAlign w:val="bottom"/>
          </w:tcPr>
          <w:p w14:paraId="7A71EA56" w14:textId="77777777" w:rsidR="00FC5566" w:rsidRPr="004B499B" w:rsidRDefault="00FC5566" w:rsidP="00B247D5">
            <w:pPr>
              <w:rPr>
                <w:rFonts w:eastAsia="Calibri"/>
                <w:sz w:val="16"/>
                <w:szCs w:val="16"/>
              </w:rPr>
            </w:pPr>
            <w:r w:rsidRPr="004B499B">
              <w:rPr>
                <w:rFonts w:eastAsia="Calibri"/>
                <w:sz w:val="16"/>
                <w:szCs w:val="16"/>
              </w:rPr>
              <w:t>990.85</w:t>
            </w:r>
          </w:p>
        </w:tc>
        <w:tc>
          <w:tcPr>
            <w:tcW w:w="990" w:type="dxa"/>
            <w:vAlign w:val="bottom"/>
          </w:tcPr>
          <w:p w14:paraId="7F37E704" w14:textId="77777777" w:rsidR="00FC5566" w:rsidRPr="004B499B" w:rsidRDefault="00FC5566" w:rsidP="00B247D5">
            <w:pPr>
              <w:rPr>
                <w:rFonts w:eastAsia="Calibri"/>
                <w:sz w:val="16"/>
                <w:szCs w:val="16"/>
              </w:rPr>
            </w:pPr>
            <w:r w:rsidRPr="004B499B">
              <w:rPr>
                <w:rFonts w:eastAsia="Calibri"/>
                <w:sz w:val="16"/>
                <w:szCs w:val="16"/>
              </w:rPr>
              <w:t>743.00</w:t>
            </w:r>
          </w:p>
        </w:tc>
        <w:tc>
          <w:tcPr>
            <w:tcW w:w="1050" w:type="dxa"/>
            <w:vAlign w:val="bottom"/>
          </w:tcPr>
          <w:p w14:paraId="1EA6755F" w14:textId="77777777" w:rsidR="00FC5566" w:rsidRPr="004B499B" w:rsidRDefault="00FC5566" w:rsidP="00B247D5">
            <w:pPr>
              <w:rPr>
                <w:rFonts w:eastAsia="Calibri"/>
                <w:sz w:val="16"/>
                <w:szCs w:val="16"/>
              </w:rPr>
            </w:pPr>
            <w:r w:rsidRPr="004B499B">
              <w:rPr>
                <w:rFonts w:eastAsia="Calibri"/>
                <w:sz w:val="16"/>
                <w:szCs w:val="16"/>
              </w:rPr>
              <w:t>198.00</w:t>
            </w:r>
          </w:p>
        </w:tc>
      </w:tr>
      <w:tr w:rsidR="00FC5566" w:rsidRPr="008C697F" w14:paraId="7B9C4074" w14:textId="77777777" w:rsidTr="00B247D5">
        <w:trPr>
          <w:cantSplit/>
          <w:jc w:val="center"/>
        </w:trPr>
        <w:tc>
          <w:tcPr>
            <w:tcW w:w="2047" w:type="dxa"/>
          </w:tcPr>
          <w:p w14:paraId="37C13AF5" w14:textId="77777777" w:rsidR="00FC5566" w:rsidRPr="004B499B" w:rsidRDefault="00FC5566" w:rsidP="00B247D5">
            <w:pPr>
              <w:rPr>
                <w:sz w:val="16"/>
                <w:szCs w:val="16"/>
              </w:rPr>
            </w:pPr>
            <w:r w:rsidRPr="004B499B">
              <w:rPr>
                <w:sz w:val="16"/>
                <w:szCs w:val="16"/>
              </w:rPr>
              <w:t>Sept. 1, 2022-Aug. 31, 2023</w:t>
            </w:r>
          </w:p>
        </w:tc>
        <w:tc>
          <w:tcPr>
            <w:tcW w:w="871" w:type="dxa"/>
          </w:tcPr>
          <w:p w14:paraId="0AFF9390" w14:textId="77777777" w:rsidR="00FC5566" w:rsidRPr="004B499B" w:rsidRDefault="00FC5566" w:rsidP="00B247D5">
            <w:pPr>
              <w:rPr>
                <w:sz w:val="16"/>
                <w:szCs w:val="16"/>
              </w:rPr>
            </w:pPr>
            <w:r w:rsidRPr="004B499B">
              <w:rPr>
                <w:sz w:val="16"/>
                <w:szCs w:val="16"/>
              </w:rPr>
              <w:t>1027.69</w:t>
            </w:r>
          </w:p>
        </w:tc>
        <w:tc>
          <w:tcPr>
            <w:tcW w:w="990" w:type="dxa"/>
          </w:tcPr>
          <w:p w14:paraId="09CCA487" w14:textId="77777777" w:rsidR="00FC5566" w:rsidRPr="004B499B" w:rsidRDefault="00FC5566" w:rsidP="00B247D5">
            <w:pPr>
              <w:rPr>
                <w:sz w:val="16"/>
                <w:szCs w:val="16"/>
              </w:rPr>
            </w:pPr>
            <w:r w:rsidRPr="004B499B">
              <w:rPr>
                <w:sz w:val="16"/>
                <w:szCs w:val="16"/>
              </w:rPr>
              <w:t>771.00</w:t>
            </w:r>
          </w:p>
        </w:tc>
        <w:tc>
          <w:tcPr>
            <w:tcW w:w="1050" w:type="dxa"/>
          </w:tcPr>
          <w:p w14:paraId="0AD07EC7" w14:textId="77777777" w:rsidR="00FC5566" w:rsidRPr="004B499B" w:rsidRDefault="00FC5566" w:rsidP="00B247D5">
            <w:pPr>
              <w:rPr>
                <w:sz w:val="16"/>
                <w:szCs w:val="16"/>
              </w:rPr>
            </w:pPr>
            <w:r w:rsidRPr="004B499B">
              <w:rPr>
                <w:sz w:val="16"/>
                <w:szCs w:val="16"/>
              </w:rPr>
              <w:t>206.00</w:t>
            </w:r>
          </w:p>
        </w:tc>
      </w:tr>
      <w:tr w:rsidR="00FC5566" w:rsidRPr="008C697F" w14:paraId="68939FB6" w14:textId="77777777" w:rsidTr="00B247D5">
        <w:trPr>
          <w:cantSplit/>
          <w:jc w:val="center"/>
        </w:trPr>
        <w:tc>
          <w:tcPr>
            <w:tcW w:w="2047" w:type="dxa"/>
          </w:tcPr>
          <w:p w14:paraId="346189C4" w14:textId="77777777" w:rsidR="00FC5566" w:rsidRPr="004B499B" w:rsidRDefault="00FC5566" w:rsidP="00B247D5">
            <w:pPr>
              <w:rPr>
                <w:sz w:val="16"/>
                <w:szCs w:val="16"/>
              </w:rPr>
            </w:pPr>
            <w:r w:rsidRPr="004B499B">
              <w:rPr>
                <w:sz w:val="16"/>
                <w:szCs w:val="16"/>
              </w:rPr>
              <w:t>Sept. 1, 2023-Aug. 31, 2024</w:t>
            </w:r>
          </w:p>
        </w:tc>
        <w:tc>
          <w:tcPr>
            <w:tcW w:w="871" w:type="dxa"/>
          </w:tcPr>
          <w:p w14:paraId="1CEF0623" w14:textId="77777777" w:rsidR="00FC5566" w:rsidRPr="004B499B" w:rsidRDefault="00FC5566" w:rsidP="00B247D5">
            <w:pPr>
              <w:rPr>
                <w:sz w:val="16"/>
                <w:szCs w:val="16"/>
              </w:rPr>
            </w:pPr>
            <w:r w:rsidRPr="004B499B">
              <w:rPr>
                <w:sz w:val="16"/>
                <w:szCs w:val="16"/>
              </w:rPr>
              <w:t>1088.07</w:t>
            </w:r>
          </w:p>
        </w:tc>
        <w:tc>
          <w:tcPr>
            <w:tcW w:w="990" w:type="dxa"/>
          </w:tcPr>
          <w:p w14:paraId="18CB2FB4" w14:textId="77777777" w:rsidR="00FC5566" w:rsidRPr="004B499B" w:rsidRDefault="00FC5566" w:rsidP="00B247D5">
            <w:pPr>
              <w:rPr>
                <w:sz w:val="16"/>
                <w:szCs w:val="16"/>
              </w:rPr>
            </w:pPr>
            <w:r w:rsidRPr="004B499B">
              <w:rPr>
                <w:sz w:val="16"/>
                <w:szCs w:val="16"/>
              </w:rPr>
              <w:t>816.00</w:t>
            </w:r>
          </w:p>
        </w:tc>
        <w:tc>
          <w:tcPr>
            <w:tcW w:w="1050" w:type="dxa"/>
          </w:tcPr>
          <w:p w14:paraId="45F1CEB4" w14:textId="77777777" w:rsidR="00FC5566" w:rsidRPr="004B499B" w:rsidRDefault="00FC5566" w:rsidP="00B247D5">
            <w:pPr>
              <w:rPr>
                <w:sz w:val="16"/>
                <w:szCs w:val="16"/>
              </w:rPr>
            </w:pPr>
            <w:r w:rsidRPr="004B499B">
              <w:rPr>
                <w:sz w:val="16"/>
                <w:szCs w:val="16"/>
              </w:rPr>
              <w:t>218.00</w:t>
            </w:r>
          </w:p>
        </w:tc>
      </w:tr>
      <w:tr w:rsidR="00FC5566" w:rsidRPr="008C697F" w14:paraId="38283BCE" w14:textId="77777777" w:rsidTr="00B247D5">
        <w:trPr>
          <w:cantSplit/>
          <w:jc w:val="center"/>
        </w:trPr>
        <w:tc>
          <w:tcPr>
            <w:tcW w:w="2047" w:type="dxa"/>
          </w:tcPr>
          <w:p w14:paraId="0262FE89" w14:textId="77777777" w:rsidR="00FC5566" w:rsidRPr="004B499B" w:rsidRDefault="00FC5566" w:rsidP="00B247D5">
            <w:pPr>
              <w:rPr>
                <w:sz w:val="16"/>
                <w:szCs w:val="16"/>
              </w:rPr>
            </w:pPr>
            <w:r w:rsidRPr="004B499B">
              <w:rPr>
                <w:sz w:val="16"/>
                <w:szCs w:val="16"/>
              </w:rPr>
              <w:t>Sept. 1, 2024-Aug. 31, 2025</w:t>
            </w:r>
          </w:p>
        </w:tc>
        <w:tc>
          <w:tcPr>
            <w:tcW w:w="871" w:type="dxa"/>
          </w:tcPr>
          <w:p w14:paraId="2ACB7316" w14:textId="77777777" w:rsidR="00FC5566" w:rsidRPr="004B499B" w:rsidRDefault="00FC5566" w:rsidP="00B247D5">
            <w:pPr>
              <w:rPr>
                <w:sz w:val="16"/>
                <w:szCs w:val="16"/>
              </w:rPr>
            </w:pPr>
            <w:r w:rsidRPr="004B499B">
              <w:rPr>
                <w:sz w:val="16"/>
                <w:szCs w:val="16"/>
              </w:rPr>
              <w:t>1127.21</w:t>
            </w:r>
          </w:p>
        </w:tc>
        <w:tc>
          <w:tcPr>
            <w:tcW w:w="990" w:type="dxa"/>
          </w:tcPr>
          <w:p w14:paraId="5A0AD801" w14:textId="77777777" w:rsidR="00FC5566" w:rsidRPr="004B499B" w:rsidRDefault="00FC5566" w:rsidP="00B247D5">
            <w:pPr>
              <w:rPr>
                <w:sz w:val="16"/>
                <w:szCs w:val="16"/>
              </w:rPr>
            </w:pPr>
            <w:r w:rsidRPr="004B499B">
              <w:rPr>
                <w:sz w:val="16"/>
                <w:szCs w:val="16"/>
              </w:rPr>
              <w:t>845.00</w:t>
            </w:r>
          </w:p>
        </w:tc>
        <w:tc>
          <w:tcPr>
            <w:tcW w:w="1050" w:type="dxa"/>
          </w:tcPr>
          <w:p w14:paraId="6D0D7401" w14:textId="77777777" w:rsidR="00FC5566" w:rsidRPr="004B499B" w:rsidRDefault="00FC5566" w:rsidP="00B247D5">
            <w:pPr>
              <w:rPr>
                <w:sz w:val="16"/>
                <w:szCs w:val="16"/>
              </w:rPr>
            </w:pPr>
            <w:r w:rsidRPr="004B499B">
              <w:rPr>
                <w:sz w:val="16"/>
                <w:szCs w:val="16"/>
              </w:rPr>
              <w:t>225.00</w:t>
            </w:r>
          </w:p>
        </w:tc>
      </w:tr>
      <w:tr w:rsidR="00FC5566" w:rsidRPr="008C697F" w14:paraId="24167F58" w14:textId="77777777" w:rsidTr="00B247D5">
        <w:trPr>
          <w:cantSplit/>
          <w:jc w:val="center"/>
        </w:trPr>
        <w:tc>
          <w:tcPr>
            <w:tcW w:w="2047" w:type="dxa"/>
          </w:tcPr>
          <w:p w14:paraId="7A8B27F9" w14:textId="77777777" w:rsidR="00FC5566" w:rsidRPr="004B499B" w:rsidRDefault="00FC5566" w:rsidP="00B247D5">
            <w:pPr>
              <w:rPr>
                <w:sz w:val="16"/>
                <w:szCs w:val="16"/>
              </w:rPr>
            </w:pPr>
            <w:r w:rsidRPr="004B499B">
              <w:rPr>
                <w:sz w:val="16"/>
                <w:szCs w:val="16"/>
              </w:rPr>
              <w:t>Sept. 1, 2025-Aug. 31, 2026</w:t>
            </w:r>
          </w:p>
        </w:tc>
        <w:tc>
          <w:tcPr>
            <w:tcW w:w="871" w:type="dxa"/>
          </w:tcPr>
          <w:p w14:paraId="47896901" w14:textId="77777777" w:rsidR="00FC5566" w:rsidRPr="004B499B" w:rsidRDefault="00FC5566" w:rsidP="00B247D5">
            <w:pPr>
              <w:rPr>
                <w:sz w:val="16"/>
                <w:szCs w:val="16"/>
              </w:rPr>
            </w:pPr>
            <w:r w:rsidRPr="004B499B">
              <w:rPr>
                <w:sz w:val="16"/>
                <w:szCs w:val="16"/>
              </w:rPr>
              <w:t>1169.61</w:t>
            </w:r>
          </w:p>
        </w:tc>
        <w:tc>
          <w:tcPr>
            <w:tcW w:w="990" w:type="dxa"/>
          </w:tcPr>
          <w:p w14:paraId="7D8E146A" w14:textId="77777777" w:rsidR="00FC5566" w:rsidRPr="004B499B" w:rsidRDefault="00FC5566" w:rsidP="00B247D5">
            <w:pPr>
              <w:rPr>
                <w:sz w:val="16"/>
                <w:szCs w:val="16"/>
              </w:rPr>
            </w:pPr>
            <w:r w:rsidRPr="004B499B">
              <w:rPr>
                <w:sz w:val="16"/>
                <w:szCs w:val="16"/>
              </w:rPr>
              <w:t>877.00</w:t>
            </w:r>
          </w:p>
        </w:tc>
        <w:tc>
          <w:tcPr>
            <w:tcW w:w="1050" w:type="dxa"/>
          </w:tcPr>
          <w:p w14:paraId="4EB22A88" w14:textId="77777777" w:rsidR="00FC5566" w:rsidRPr="004B499B" w:rsidRDefault="00FC5566" w:rsidP="00B247D5">
            <w:pPr>
              <w:rPr>
                <w:sz w:val="16"/>
                <w:szCs w:val="16"/>
              </w:rPr>
            </w:pPr>
            <w:r w:rsidRPr="004B499B">
              <w:rPr>
                <w:sz w:val="16"/>
                <w:szCs w:val="16"/>
              </w:rPr>
              <w:t>234.00</w:t>
            </w:r>
          </w:p>
        </w:tc>
      </w:tr>
      <w:tr w:rsidR="00FC5566" w:rsidRPr="008C697F" w14:paraId="552994B6" w14:textId="77777777" w:rsidTr="00B247D5">
        <w:trPr>
          <w:cantSplit/>
          <w:jc w:val="center"/>
        </w:trPr>
        <w:tc>
          <w:tcPr>
            <w:tcW w:w="2047" w:type="dxa"/>
          </w:tcPr>
          <w:p w14:paraId="0E2027F1" w14:textId="77777777" w:rsidR="00FC5566" w:rsidRPr="004B499B" w:rsidRDefault="00FC5566" w:rsidP="00B247D5">
            <w:pPr>
              <w:rPr>
                <w:rFonts w:eastAsia="Calibri"/>
                <w:sz w:val="16"/>
                <w:szCs w:val="16"/>
              </w:rPr>
            </w:pPr>
            <w:r w:rsidRPr="004B499B">
              <w:rPr>
                <w:rFonts w:eastAsia="Calibri"/>
                <w:sz w:val="16"/>
                <w:szCs w:val="16"/>
              </w:rPr>
              <w:t>Sept. 1, 2026-Aug. 31, 2027</w:t>
            </w:r>
          </w:p>
        </w:tc>
        <w:tc>
          <w:tcPr>
            <w:tcW w:w="871" w:type="dxa"/>
            <w:vAlign w:val="bottom"/>
          </w:tcPr>
          <w:p w14:paraId="02A8FB48" w14:textId="77777777" w:rsidR="00FC5566" w:rsidRPr="004B499B" w:rsidRDefault="00FC5566" w:rsidP="00B247D5">
            <w:pPr>
              <w:rPr>
                <w:rFonts w:eastAsia="Calibri"/>
                <w:sz w:val="16"/>
                <w:szCs w:val="16"/>
              </w:rPr>
            </w:pPr>
            <w:r w:rsidRPr="004B499B">
              <w:rPr>
                <w:rFonts w:eastAsia="Calibri"/>
                <w:sz w:val="16"/>
                <w:szCs w:val="16"/>
              </w:rPr>
              <w:t>1204.02</w:t>
            </w:r>
          </w:p>
        </w:tc>
        <w:tc>
          <w:tcPr>
            <w:tcW w:w="990" w:type="dxa"/>
            <w:vAlign w:val="bottom"/>
          </w:tcPr>
          <w:p w14:paraId="27BCAB83" w14:textId="77777777" w:rsidR="00FC5566" w:rsidRPr="004B499B" w:rsidRDefault="00FC5566" w:rsidP="00B247D5">
            <w:pPr>
              <w:rPr>
                <w:rFonts w:eastAsia="Calibri"/>
                <w:sz w:val="16"/>
                <w:szCs w:val="16"/>
              </w:rPr>
            </w:pPr>
            <w:r w:rsidRPr="004B499B">
              <w:rPr>
                <w:rFonts w:eastAsia="Calibri"/>
                <w:sz w:val="16"/>
                <w:szCs w:val="16"/>
              </w:rPr>
              <w:t>903.00</w:t>
            </w:r>
          </w:p>
        </w:tc>
        <w:tc>
          <w:tcPr>
            <w:tcW w:w="1050" w:type="dxa"/>
            <w:vAlign w:val="bottom"/>
          </w:tcPr>
          <w:p w14:paraId="0C0C7678" w14:textId="77777777" w:rsidR="00FC5566" w:rsidRPr="004B499B" w:rsidRDefault="00FC5566" w:rsidP="00B247D5">
            <w:pPr>
              <w:rPr>
                <w:rFonts w:eastAsia="Calibri"/>
                <w:sz w:val="16"/>
                <w:szCs w:val="16"/>
              </w:rPr>
            </w:pPr>
            <w:r w:rsidRPr="004B499B">
              <w:rPr>
                <w:rFonts w:eastAsia="Calibri"/>
                <w:sz w:val="16"/>
                <w:szCs w:val="16"/>
              </w:rPr>
              <w:t>241.00</w:t>
            </w:r>
          </w:p>
        </w:tc>
      </w:tr>
    </w:tbl>
    <w:p w14:paraId="373AF005" w14:textId="77777777" w:rsidR="00FC5566" w:rsidRDefault="00FC5566" w:rsidP="00FC5566">
      <w:pPr>
        <w:pStyle w:val="Text"/>
      </w:pPr>
    </w:p>
    <w:p w14:paraId="6B16CADA" w14:textId="77777777" w:rsidR="00FC5566" w:rsidRDefault="00FC5566" w:rsidP="00FC5566">
      <w:pPr>
        <w:pStyle w:val="Text"/>
      </w:pPr>
      <w:r w:rsidRPr="008C697F">
        <w:t xml:space="preserve">Actual wages are to be paid if the wages are less than the minimum. </w:t>
      </w:r>
    </w:p>
    <w:p w14:paraId="647101A2" w14:textId="77777777" w:rsidR="00FC5566" w:rsidRPr="008C697F" w:rsidRDefault="00FC5566" w:rsidP="00FC5566">
      <w:pPr>
        <w:pStyle w:val="Text"/>
      </w:pPr>
    </w:p>
    <w:p w14:paraId="5E58882E" w14:textId="77777777" w:rsidR="00FC5566" w:rsidRPr="008C697F" w:rsidRDefault="00FC5566" w:rsidP="00FC5566">
      <w:pPr>
        <w:pStyle w:val="RegSignature"/>
      </w:pPr>
      <w:r w:rsidRPr="008C697F">
        <w:t>Susana Schowen</w:t>
      </w:r>
    </w:p>
    <w:p w14:paraId="056D2EDF" w14:textId="77777777" w:rsidR="00FC5566" w:rsidRDefault="00FC5566" w:rsidP="00FC5566">
      <w:pPr>
        <w:pStyle w:val="RegSignature"/>
      </w:pPr>
      <w:r w:rsidRPr="008C697F">
        <w:t>Secretary</w:t>
      </w:r>
    </w:p>
    <w:p w14:paraId="48ABD28A" w14:textId="77777777" w:rsidR="00FC5566" w:rsidRPr="008C697F" w:rsidRDefault="00FC5566" w:rsidP="00FC5566">
      <w:pPr>
        <w:pStyle w:val="RegLogNumber"/>
      </w:pPr>
      <w:r>
        <w:t>2608#010</w:t>
      </w:r>
    </w:p>
    <w:p w14:paraId="02B8D473" w14:textId="77777777" w:rsidR="00FC5566" w:rsidRPr="008F3592" w:rsidRDefault="00FC5566" w:rsidP="00FC5566"/>
    <w:p w14:paraId="07BAEADD" w14:textId="77777777" w:rsidR="00FC5566" w:rsidRDefault="00FC5566" w:rsidP="00FC5566">
      <w:pPr>
        <w:pStyle w:val="RegItemFirstLine"/>
      </w:pPr>
      <w:r>
        <w:t>POTPOURRI</w:t>
      </w:r>
    </w:p>
    <w:p w14:paraId="28D0E4C6" w14:textId="77777777" w:rsidR="00FC5566" w:rsidRDefault="00FC5566" w:rsidP="00FC5566">
      <w:pPr>
        <w:pStyle w:val="RegDepartment"/>
      </w:pPr>
      <w:r>
        <w:t xml:space="preserve">Department of </w:t>
      </w:r>
      <w:r w:rsidRPr="00694168">
        <w:t>Revenue</w:t>
      </w:r>
    </w:p>
    <w:p w14:paraId="70E54B25" w14:textId="77777777" w:rsidR="00FC5566" w:rsidRPr="00694168" w:rsidRDefault="00FC5566" w:rsidP="00FC5566">
      <w:pPr>
        <w:pStyle w:val="RegDepartment"/>
      </w:pPr>
      <w:r>
        <w:t>Tax Policy and Planning Division</w:t>
      </w:r>
    </w:p>
    <w:p w14:paraId="2780C97C" w14:textId="77777777" w:rsidR="00FC5566" w:rsidRPr="00694168" w:rsidRDefault="00FC5566" w:rsidP="00FC5566">
      <w:pPr>
        <w:pStyle w:val="RegItemTitle"/>
        <w:spacing w:before="240"/>
      </w:pPr>
      <w:r w:rsidRPr="00551316">
        <w:t>Amendment of Public Hearing</w:t>
      </w:r>
      <w:r>
        <w:t xml:space="preserve"> for </w:t>
      </w:r>
      <w:r>
        <w:br/>
        <w:t>Notice of Intent—</w:t>
      </w:r>
      <w:r w:rsidRPr="00551316">
        <w:t>Payment of Sales and Use Taxes by Persons Constructing, Renovating, or</w:t>
      </w:r>
      <w:r>
        <w:t xml:space="preserve"> </w:t>
      </w:r>
      <w:r w:rsidRPr="00551316">
        <w:t xml:space="preserve">Altering </w:t>
      </w:r>
      <w:r>
        <w:br/>
      </w:r>
      <w:r w:rsidRPr="00551316">
        <w:t>Immovable Property</w:t>
      </w:r>
      <w:r>
        <w:t xml:space="preserve"> </w:t>
      </w:r>
      <w:r w:rsidRPr="00551316">
        <w:rPr>
          <w:szCs w:val="24"/>
        </w:rPr>
        <w:t>(LAC 61:I.4372)</w:t>
      </w:r>
    </w:p>
    <w:p w14:paraId="12BE5FA9" w14:textId="77777777" w:rsidR="00FC5566" w:rsidRDefault="00FC5566" w:rsidP="00FC5566">
      <w:pPr>
        <w:pStyle w:val="A0"/>
        <w:rPr>
          <w:szCs w:val="26"/>
          <w:lang w:eastAsia="x-none"/>
        </w:rPr>
      </w:pPr>
      <w:r w:rsidRPr="00551316">
        <w:t xml:space="preserve">The department published a Notice of Intent to amend §4372, Payment of Sales and Use Taxes by Persons Constructing, Renovating, or Altering Immovable Property in the July 20, 2026, edition of the </w:t>
      </w:r>
      <w:r w:rsidRPr="00551316">
        <w:rPr>
          <w:i/>
          <w:iCs/>
        </w:rPr>
        <w:t>Louisiana Register</w:t>
      </w:r>
      <w:r w:rsidRPr="00551316">
        <w:t xml:space="preserve"> (LR 52:1281-1283)</w:t>
      </w:r>
      <w:r w:rsidRPr="00551316">
        <w:rPr>
          <w:szCs w:val="26"/>
          <w:lang w:eastAsia="x-none"/>
        </w:rPr>
        <w:t>. Written comments were received, and in response</w:t>
      </w:r>
      <w:r>
        <w:rPr>
          <w:szCs w:val="26"/>
          <w:lang w:eastAsia="x-none"/>
        </w:rPr>
        <w:t>,</w:t>
      </w:r>
      <w:r w:rsidRPr="00551316">
        <w:rPr>
          <w:szCs w:val="26"/>
          <w:lang w:eastAsia="x-none"/>
        </w:rPr>
        <w:t xml:space="preserve"> this Potpourri Notice announces an amendment to the venue for the public hearing scheduled for September 2, 2026. The public meeting will now be held in the Griffon Room, on the 1</w:t>
      </w:r>
      <w:r w:rsidRPr="00551316">
        <w:rPr>
          <w:szCs w:val="26"/>
          <w:vertAlign w:val="superscript"/>
          <w:lang w:eastAsia="x-none"/>
        </w:rPr>
        <w:t>st</w:t>
      </w:r>
      <w:r w:rsidRPr="00551316">
        <w:rPr>
          <w:szCs w:val="26"/>
          <w:lang w:eastAsia="x-none"/>
        </w:rPr>
        <w:t xml:space="preserve"> floor of the LaSalle Building, </w:t>
      </w:r>
      <w:r w:rsidRPr="00551316">
        <w:t>617 North Third Street, Baton Rouge, LA 70802</w:t>
      </w:r>
      <w:r w:rsidRPr="00551316">
        <w:rPr>
          <w:szCs w:val="26"/>
          <w:lang w:eastAsia="x-none"/>
        </w:rPr>
        <w:t>, at 10:30</w:t>
      </w:r>
      <w:r>
        <w:rPr>
          <w:szCs w:val="26"/>
          <w:lang w:eastAsia="x-none"/>
        </w:rPr>
        <w:t xml:space="preserve"> a.m.</w:t>
      </w:r>
      <w:r w:rsidRPr="00551316">
        <w:rPr>
          <w:szCs w:val="26"/>
          <w:lang w:eastAsia="x-none"/>
        </w:rPr>
        <w:t xml:space="preserve"> on September 2, 2026. </w:t>
      </w:r>
      <w:r w:rsidRPr="00551316">
        <w:t>In accordance with the Americans with Disabilities Act, should individuals with a disability need an accommodation in order to participate, contact Spencer Knudsen by email at LDRadarequests@la.gov or by phone at (225) 219-2848.</w:t>
      </w:r>
    </w:p>
    <w:p w14:paraId="2C68800E" w14:textId="77777777" w:rsidR="00FC5566" w:rsidRDefault="00FC5566" w:rsidP="00FC5566">
      <w:pPr>
        <w:pStyle w:val="A0"/>
      </w:pPr>
      <w:r w:rsidRPr="00551316">
        <w:t xml:space="preserve">No fiscal or economic impact will result from the amendments proposed in this notice. </w:t>
      </w:r>
    </w:p>
    <w:p w14:paraId="400572A0" w14:textId="77777777" w:rsidR="00FC5566" w:rsidRDefault="00FC5566" w:rsidP="00FC5566">
      <w:pPr>
        <w:pStyle w:val="A0"/>
      </w:pPr>
    </w:p>
    <w:p w14:paraId="2C0B404A" w14:textId="77777777" w:rsidR="00FC5566" w:rsidRPr="00551316" w:rsidRDefault="00FC5566" w:rsidP="00FC5566">
      <w:pPr>
        <w:pStyle w:val="RegSignature"/>
      </w:pPr>
      <w:r w:rsidRPr="00551316">
        <w:t>Jarrod J. Coniglio</w:t>
      </w:r>
    </w:p>
    <w:p w14:paraId="46AE1A65" w14:textId="77777777" w:rsidR="00FC5566" w:rsidRPr="00551316" w:rsidRDefault="00FC5566" w:rsidP="00FC5566">
      <w:pPr>
        <w:pStyle w:val="RegSignature"/>
      </w:pPr>
      <w:r w:rsidRPr="00551316">
        <w:t>Secretary</w:t>
      </w:r>
    </w:p>
    <w:p w14:paraId="2FD29B02" w14:textId="77777777" w:rsidR="00FC5566" w:rsidRDefault="00FC5566" w:rsidP="00FC5566">
      <w:pPr>
        <w:pStyle w:val="RegLogNumber"/>
        <w:sectPr w:rsidR="00FC5566" w:rsidSect="00FC5566">
          <w:type w:val="continuous"/>
          <w:pgSz w:w="12240" w:h="15840" w:code="1"/>
          <w:pgMar w:top="720" w:right="864" w:bottom="317" w:left="864" w:header="576" w:footer="432" w:gutter="0"/>
          <w:cols w:num="2" w:space="720"/>
        </w:sectPr>
      </w:pPr>
      <w:r>
        <w:t>2608#072</w:t>
      </w:r>
    </w:p>
    <w:p w14:paraId="581C931E" w14:textId="14EFFBB5" w:rsidR="00E27BA1" w:rsidRPr="00403BE6" w:rsidRDefault="00E27BA1" w:rsidP="00E27BA1">
      <w:pPr>
        <w:pStyle w:val="RegSectionTitle"/>
      </w:pPr>
      <w:r>
        <w:lastRenderedPageBreak/>
        <w:t>Concurrent Resolutions</w:t>
      </w:r>
    </w:p>
    <w:p w14:paraId="5B44C9ED" w14:textId="77777777" w:rsidR="00E27BA1" w:rsidRPr="00403BE6" w:rsidRDefault="00E27BA1" w:rsidP="00E27BA1"/>
    <w:p w14:paraId="790375BE" w14:textId="77777777" w:rsidR="00E27BA1" w:rsidRPr="00403BE6" w:rsidRDefault="00E27BA1" w:rsidP="00E27BA1"/>
    <w:p w14:paraId="14C8E267" w14:textId="77777777" w:rsidR="00E27BA1" w:rsidRPr="00403BE6" w:rsidRDefault="00E27BA1" w:rsidP="00E27BA1">
      <w:pPr>
        <w:sectPr w:rsidR="00E27BA1" w:rsidRPr="00403BE6" w:rsidSect="00E27BA1">
          <w:footerReference w:type="even" r:id="rId23"/>
          <w:footerReference w:type="default" r:id="rId24"/>
          <w:pgSz w:w="12240" w:h="15840"/>
          <w:pgMar w:top="720" w:right="864" w:bottom="864" w:left="864" w:header="576" w:footer="432" w:gutter="0"/>
          <w:pgNumType w:start="1457"/>
          <w:cols w:space="720"/>
          <w:docGrid w:linePitch="272"/>
        </w:sectPr>
      </w:pPr>
    </w:p>
    <w:p w14:paraId="79A23DF1" w14:textId="77777777" w:rsidR="00E27BA1" w:rsidRDefault="00E27BA1" w:rsidP="00E27BA1">
      <w:pPr>
        <w:pStyle w:val="RegItemFirstLine"/>
      </w:pPr>
      <w:r>
        <w:t>CONCURRENT RESOLUTION</w:t>
      </w:r>
    </w:p>
    <w:p w14:paraId="602F2D0D" w14:textId="77777777" w:rsidR="00E27BA1" w:rsidRDefault="00E27BA1" w:rsidP="00E27BA1">
      <w:pPr>
        <w:pStyle w:val="RegDepartment"/>
      </w:pPr>
      <w:r>
        <w:t>House of Representatives</w:t>
      </w:r>
    </w:p>
    <w:p w14:paraId="0CE03826" w14:textId="77777777" w:rsidR="00E27BA1" w:rsidRDefault="00E27BA1" w:rsidP="00E27BA1">
      <w:pPr>
        <w:pStyle w:val="RegDepartment"/>
      </w:pPr>
      <w:r w:rsidRPr="000A1CA0">
        <w:t>House Concurrent Resolution No. 41</w:t>
      </w:r>
    </w:p>
    <w:p w14:paraId="10D6B6EA" w14:textId="06C554C4" w:rsidR="00E27BA1" w:rsidRPr="000A1CA0" w:rsidRDefault="00E27BA1" w:rsidP="00E27BA1">
      <w:pPr>
        <w:pStyle w:val="RegItemTitle"/>
        <w:spacing w:before="240"/>
      </w:pPr>
      <w:r w:rsidRPr="000A1CA0">
        <w:t>Regulation IX</w:t>
      </w:r>
      <w:r w:rsidR="001F1885">
        <w:t>—</w:t>
      </w:r>
      <w:r w:rsidRPr="000A1CA0">
        <w:t>Prohibition of Certain Unfair Business Practices (LAC 55:VII.317)</w:t>
      </w:r>
    </w:p>
    <w:p w14:paraId="1833EFD3" w14:textId="77777777" w:rsidR="00E27BA1" w:rsidRPr="000A1CA0" w:rsidRDefault="00E27BA1" w:rsidP="00E27BA1">
      <w:pPr>
        <w:pStyle w:val="A0"/>
        <w:jc w:val="center"/>
      </w:pPr>
      <w:r w:rsidRPr="000A1CA0">
        <w:t>CONCURRENT RESOLUTION</w:t>
      </w:r>
    </w:p>
    <w:p w14:paraId="1B8429B4" w14:textId="77777777" w:rsidR="00E27BA1" w:rsidRPr="000A1CA0" w:rsidRDefault="00E27BA1" w:rsidP="00E27BA1">
      <w:pPr>
        <w:pStyle w:val="A0"/>
      </w:pPr>
      <w:r w:rsidRPr="000A1CA0">
        <w:t xml:space="preserve">To amend and reenact Louisiana Department of Revenue, office of alcohol and tobacco control, rule LAC 55:VII.317(C)(2)(l), to remove the prohibition against instantly redeemable coupons and rebates for beverages of low alcoholic content; and to direct the office of the state register to print the amendment in the </w:t>
      </w:r>
      <w:r w:rsidRPr="0084597C">
        <w:rPr>
          <w:i/>
          <w:iCs/>
        </w:rPr>
        <w:t>Louisiana Administrative Code</w:t>
      </w:r>
      <w:r w:rsidRPr="000A1CA0">
        <w:t>.</w:t>
      </w:r>
    </w:p>
    <w:p w14:paraId="38408CC6" w14:textId="77777777" w:rsidR="00E27BA1" w:rsidRPr="000A1CA0" w:rsidRDefault="00E27BA1" w:rsidP="00E27BA1">
      <w:pPr>
        <w:pStyle w:val="A0"/>
      </w:pPr>
      <w:r w:rsidRPr="000A1CA0">
        <w:t>WHEREAS, the Louisiana Department of Revenue, office of alcohol and tobacco control, promulgated and adopted a rule that authorized coupons and rebate offers for beverages of high alcoholic content and for malt beverages of not more than six percent alcohol by volume; and</w:t>
      </w:r>
    </w:p>
    <w:p w14:paraId="1F654C1E" w14:textId="77777777" w:rsidR="00E27BA1" w:rsidRPr="000A1CA0" w:rsidRDefault="00E27BA1" w:rsidP="00E27BA1">
      <w:pPr>
        <w:pStyle w:val="A0"/>
      </w:pPr>
      <w:r w:rsidRPr="000A1CA0">
        <w:t>WHEREAS, coupons and rebates for beverages of high alcoholic content are redeemable by the manufacturer, or a third-party retained by the manufacturer at the manufacturer's sole expense, and may be done electronically; and</w:t>
      </w:r>
    </w:p>
    <w:p w14:paraId="0C25D99E" w14:textId="77777777" w:rsidR="00E27BA1" w:rsidRPr="000A1CA0" w:rsidRDefault="00E27BA1" w:rsidP="00E27BA1">
      <w:pPr>
        <w:pStyle w:val="A0"/>
      </w:pPr>
      <w:r w:rsidRPr="000A1CA0">
        <w:t>WHEREAS, coupons and rebates for malt beverages of not more than six percent alcohol by volume are restricted to being redeemable by mail only; and</w:t>
      </w:r>
    </w:p>
    <w:p w14:paraId="231A3726" w14:textId="77777777" w:rsidR="00E27BA1" w:rsidRPr="000A1CA0" w:rsidRDefault="00E27BA1" w:rsidP="00E27BA1">
      <w:pPr>
        <w:pStyle w:val="A0"/>
      </w:pPr>
      <w:r w:rsidRPr="000A1CA0">
        <w:t>WHEREAS, R.S. 49:969 provides that the legislature, by concurrent resolution, may suspend, amend, or repeal any rule adopted by a state department, agency, board, or commission.</w:t>
      </w:r>
    </w:p>
    <w:p w14:paraId="3FC281D9" w14:textId="77777777" w:rsidR="00E27BA1" w:rsidRPr="000A1CA0" w:rsidRDefault="00E27BA1" w:rsidP="00E27BA1">
      <w:pPr>
        <w:pStyle w:val="A0"/>
      </w:pPr>
      <w:r w:rsidRPr="000A1CA0">
        <w:t>THEREFORE, BE IT RESOLVED by the Legislature of Louisiana that LAC 55:VII.317(C)(2)(l) is hereby amended and reenacted to read as follows:</w:t>
      </w:r>
    </w:p>
    <w:p w14:paraId="23FC41E4" w14:textId="77777777" w:rsidR="00E27BA1" w:rsidRPr="000A1CA0" w:rsidRDefault="00E27BA1" w:rsidP="00E27BA1">
      <w:pPr>
        <w:pStyle w:val="Section"/>
      </w:pPr>
      <w:r w:rsidRPr="000A1CA0">
        <w:t>§317.</w:t>
      </w:r>
      <w:r w:rsidRPr="000A1CA0">
        <w:tab/>
        <w:t>Regulation IX</w:t>
      </w:r>
      <w:r>
        <w:t>—</w:t>
      </w:r>
      <w:r w:rsidRPr="000A1CA0">
        <w:t>Prohibition of Certain Unfair Business Practices</w:t>
      </w:r>
    </w:p>
    <w:p w14:paraId="1F789C6D" w14:textId="77777777" w:rsidR="00E27BA1" w:rsidRPr="000A1CA0" w:rsidRDefault="00E27BA1" w:rsidP="00E27BA1">
      <w:pPr>
        <w:pStyle w:val="Text"/>
        <w:jc w:val="center"/>
      </w:pPr>
      <w:r w:rsidRPr="000A1CA0">
        <w:t>* * *</w:t>
      </w:r>
    </w:p>
    <w:p w14:paraId="7115B7D8" w14:textId="77777777" w:rsidR="00E27BA1" w:rsidRPr="000A1CA0" w:rsidRDefault="00E27BA1" w:rsidP="00E27BA1">
      <w:pPr>
        <w:pStyle w:val="A0"/>
      </w:pPr>
      <w:r w:rsidRPr="000A1CA0">
        <w:t>C.</w:t>
      </w:r>
      <w:r w:rsidRPr="000A1CA0">
        <w:tab/>
        <w:t>Marketing and Sale of Alcoholic Beverages in Louisiana</w:t>
      </w:r>
    </w:p>
    <w:p w14:paraId="693AC6C9" w14:textId="77777777" w:rsidR="00E27BA1" w:rsidRPr="000A1CA0" w:rsidRDefault="00E27BA1" w:rsidP="00E27BA1">
      <w:pPr>
        <w:pStyle w:val="Text"/>
        <w:jc w:val="center"/>
      </w:pPr>
      <w:r w:rsidRPr="000A1CA0">
        <w:t>* * *</w:t>
      </w:r>
    </w:p>
    <w:p w14:paraId="0EE90DD3" w14:textId="77777777" w:rsidR="00E27BA1" w:rsidRPr="000A1CA0" w:rsidRDefault="00E27BA1" w:rsidP="00E27BA1">
      <w:pPr>
        <w:pStyle w:val="1"/>
      </w:pPr>
      <w:r w:rsidRPr="000A1CA0">
        <w:t>2.</w:t>
      </w:r>
      <w:r w:rsidRPr="000A1CA0">
        <w:tab/>
        <w:t>Exceptions</w:t>
      </w:r>
    </w:p>
    <w:p w14:paraId="1DC41459" w14:textId="77777777" w:rsidR="00E27BA1" w:rsidRPr="000A1CA0" w:rsidRDefault="00E27BA1" w:rsidP="00E27BA1">
      <w:pPr>
        <w:pStyle w:val="Text"/>
        <w:jc w:val="center"/>
      </w:pPr>
      <w:r w:rsidRPr="000A1CA0">
        <w:t>* * *</w:t>
      </w:r>
    </w:p>
    <w:p w14:paraId="064D52C2" w14:textId="77777777" w:rsidR="00E27BA1" w:rsidRPr="000A1CA0" w:rsidRDefault="00E27BA1" w:rsidP="00E27BA1">
      <w:pPr>
        <w:pStyle w:val="a1"/>
      </w:pPr>
      <w:r>
        <w:br w:type="column"/>
      </w:r>
      <w:r w:rsidRPr="000A1CA0">
        <w:t>l.</w:t>
      </w:r>
      <w:r w:rsidRPr="000A1CA0">
        <w:tab/>
        <w:t>Coupons and Rebates: Malt Beverages of Not More than or More than 6 Percent Alcohol by Volume. Except as otherwise provided by law, coupon and rebate offers, promotions, or marketing campaigns of malt beverages of not more than or more than 6 percent alcohol by volume are allowed with the following restrictions.</w:t>
      </w:r>
    </w:p>
    <w:p w14:paraId="5F6C8755" w14:textId="77777777" w:rsidR="00E27BA1" w:rsidRPr="000A1CA0" w:rsidRDefault="00E27BA1" w:rsidP="00E27BA1">
      <w:pPr>
        <w:pStyle w:val="a1"/>
      </w:pPr>
      <w:r w:rsidRPr="000A1CA0">
        <w:t>i.</w:t>
      </w:r>
      <w:r w:rsidRPr="000A1CA0">
        <w:tab/>
        <w:t>When marketing more than one product, "cross-merchandising" or "cross-promotion", mail-in rebates ("MIRs") shall only be redeemable upon the providing of proof of purchase of all products involved in the coupon or rebate marketing, "cross-merchandising" or "cross-promotion" offer.</w:t>
      </w:r>
    </w:p>
    <w:p w14:paraId="6190C42F" w14:textId="77777777" w:rsidR="00E27BA1" w:rsidRPr="000A1CA0" w:rsidRDefault="00E27BA1" w:rsidP="00E27BA1">
      <w:pPr>
        <w:pStyle w:val="i0"/>
      </w:pPr>
      <w:r>
        <w:tab/>
      </w:r>
      <w:r w:rsidRPr="000A1CA0">
        <w:t>ii.</w:t>
      </w:r>
      <w:r w:rsidRPr="000A1CA0">
        <w:tab/>
        <w:t>Coupon and rebate values shall be equal to or less than the following:</w:t>
      </w:r>
    </w:p>
    <w:p w14:paraId="09C32608" w14:textId="2D590E42" w:rsidR="00E27BA1" w:rsidRPr="000A1CA0" w:rsidRDefault="00E27BA1" w:rsidP="00304913">
      <w:pPr>
        <w:pStyle w:val="a"/>
      </w:pPr>
      <w:bookmarkStart w:id="773" w:name="Tempiii"/>
      <w:r w:rsidRPr="000A1CA0">
        <w:t>(a).</w:t>
      </w:r>
      <w:r w:rsidRPr="000A1CA0">
        <w:tab/>
        <w:t xml:space="preserve">packages </w:t>
      </w:r>
      <w:bookmarkStart w:id="774" w:name="Temp"/>
      <w:r w:rsidRPr="000A1CA0">
        <w:t>containing no less than 6 and no more than 11 single units, $1;</w:t>
      </w:r>
    </w:p>
    <w:p w14:paraId="1E96A40D" w14:textId="4C84BDDC" w:rsidR="00E27BA1" w:rsidRPr="000A1CA0" w:rsidRDefault="00E27BA1" w:rsidP="00304913">
      <w:pPr>
        <w:pStyle w:val="a"/>
      </w:pPr>
      <w:r w:rsidRPr="000A1CA0">
        <w:t>(b).</w:t>
      </w:r>
      <w:r w:rsidRPr="000A1CA0">
        <w:tab/>
        <w:t>packages containing no less than 12 and no more than 17 single units, $2;</w:t>
      </w:r>
    </w:p>
    <w:p w14:paraId="14204178" w14:textId="1B74907E" w:rsidR="00E27BA1" w:rsidRPr="000A1CA0" w:rsidRDefault="00E27BA1" w:rsidP="00304913">
      <w:pPr>
        <w:pStyle w:val="a"/>
      </w:pPr>
      <w:r w:rsidRPr="000A1CA0">
        <w:t>(c).</w:t>
      </w:r>
      <w:r w:rsidRPr="000A1CA0">
        <w:tab/>
        <w:t>packages containing no less than 18 and no more than 23 single units, $3;</w:t>
      </w:r>
    </w:p>
    <w:p w14:paraId="347C5BA8" w14:textId="61D7F701" w:rsidR="00E27BA1" w:rsidRPr="000A1CA0" w:rsidRDefault="00E27BA1" w:rsidP="00304913">
      <w:pPr>
        <w:pStyle w:val="a"/>
      </w:pPr>
      <w:r w:rsidRPr="000A1CA0">
        <w:t>(d).</w:t>
      </w:r>
      <w:r w:rsidRPr="000A1CA0">
        <w:tab/>
        <w:t xml:space="preserve">packages </w:t>
      </w:r>
      <w:bookmarkEnd w:id="774"/>
      <w:r w:rsidRPr="000A1CA0">
        <w:t>containing no less than 24 or more single units, $4.</w:t>
      </w:r>
    </w:p>
    <w:bookmarkEnd w:id="773"/>
    <w:p w14:paraId="21D50550" w14:textId="77777777" w:rsidR="00E27BA1" w:rsidRPr="000A1CA0" w:rsidRDefault="00E27BA1" w:rsidP="00E27BA1">
      <w:pPr>
        <w:pStyle w:val="i0"/>
      </w:pPr>
      <w:r>
        <w:tab/>
      </w:r>
      <w:r w:rsidRPr="000A1CA0">
        <w:t>iii.</w:t>
      </w:r>
      <w:r w:rsidRPr="000A1CA0">
        <w:tab/>
        <w:t>Wholesale or retail dealers of malt beverages shall not incur any cost in connection with any coupon or rebate offers, promotions, or marketing campaigns.</w:t>
      </w:r>
    </w:p>
    <w:p w14:paraId="04399A45" w14:textId="77777777" w:rsidR="00E27BA1" w:rsidRPr="000A1CA0" w:rsidRDefault="00E27BA1" w:rsidP="00E27BA1">
      <w:pPr>
        <w:pStyle w:val="A0"/>
      </w:pPr>
      <w:r w:rsidRPr="000A1CA0">
        <w:t>BE IT FURTHER RESOLVED that a copy of this Resolution be transmitted to the office of the state register and the Louisiana Department of Revenue, office of alcohol and tobacco control.</w:t>
      </w:r>
    </w:p>
    <w:p w14:paraId="30DFF221" w14:textId="77777777" w:rsidR="00E27BA1" w:rsidRDefault="00E27BA1" w:rsidP="00E27BA1">
      <w:pPr>
        <w:pStyle w:val="A0"/>
      </w:pPr>
      <w:r w:rsidRPr="000A1CA0">
        <w:t xml:space="preserve">BE IT FURTHER RESOLVED that the office of the state register is hereby directed to have the amendments to LAC 55:VII.317(C)(2)(l) printed and incorporated into the </w:t>
      </w:r>
      <w:r w:rsidRPr="00AB60BD">
        <w:rPr>
          <w:i/>
          <w:iCs/>
        </w:rPr>
        <w:t>Louisiana Administrative Code</w:t>
      </w:r>
      <w:r w:rsidRPr="000A1CA0">
        <w:t xml:space="preserve"> and to transmit a copy of the revised rule to the Louisiana Department of Revenue, office of alcohol and tobacco control.</w:t>
      </w:r>
    </w:p>
    <w:p w14:paraId="1A58A426" w14:textId="77777777" w:rsidR="00E27BA1" w:rsidRPr="000A1CA0" w:rsidRDefault="00E27BA1" w:rsidP="00E27BA1">
      <w:pPr>
        <w:pStyle w:val="A0"/>
      </w:pPr>
    </w:p>
    <w:p w14:paraId="559DF635" w14:textId="77777777" w:rsidR="00E27BA1" w:rsidRPr="000A1CA0" w:rsidRDefault="00E27BA1" w:rsidP="00E27BA1">
      <w:pPr>
        <w:pStyle w:val="RegSignature"/>
      </w:pPr>
      <w:r w:rsidRPr="000A1CA0">
        <w:t>Phillip R. Devillier</w:t>
      </w:r>
    </w:p>
    <w:p w14:paraId="27FB3622" w14:textId="77777777" w:rsidR="00E27BA1" w:rsidRPr="000A1CA0" w:rsidRDefault="00E27BA1" w:rsidP="00E27BA1">
      <w:pPr>
        <w:pStyle w:val="RegSignature"/>
      </w:pPr>
      <w:r w:rsidRPr="000A1CA0">
        <w:t>Speaker of the House of Representatives</w:t>
      </w:r>
    </w:p>
    <w:p w14:paraId="6B5878E3" w14:textId="77777777" w:rsidR="00E27BA1" w:rsidRPr="000A1CA0" w:rsidRDefault="00E27BA1" w:rsidP="00E27BA1">
      <w:pPr>
        <w:pStyle w:val="RegSignature"/>
      </w:pPr>
      <w:r w:rsidRPr="000A1CA0">
        <w:t>and</w:t>
      </w:r>
    </w:p>
    <w:p w14:paraId="3C2281B2" w14:textId="77777777" w:rsidR="00E27BA1" w:rsidRPr="000A1CA0" w:rsidRDefault="00E27BA1" w:rsidP="00E27BA1">
      <w:pPr>
        <w:pStyle w:val="RegSignature"/>
      </w:pPr>
      <w:r w:rsidRPr="000A1CA0">
        <w:t>Cameron Henry</w:t>
      </w:r>
    </w:p>
    <w:p w14:paraId="12D64C6E" w14:textId="77777777" w:rsidR="00E27BA1" w:rsidRDefault="00E27BA1" w:rsidP="00E27BA1">
      <w:pPr>
        <w:pStyle w:val="RegSignature"/>
      </w:pPr>
      <w:r w:rsidRPr="000A1CA0">
        <w:t>President of the Senate</w:t>
      </w:r>
    </w:p>
    <w:p w14:paraId="423EC55E" w14:textId="77777777" w:rsidR="00E27BA1" w:rsidRPr="000A1CA0" w:rsidRDefault="00E27BA1" w:rsidP="00E27BA1">
      <w:pPr>
        <w:pStyle w:val="RegLogNumber"/>
      </w:pPr>
      <w:r>
        <w:t>2608#074</w:t>
      </w:r>
    </w:p>
    <w:p w14:paraId="7D2683D5" w14:textId="77777777" w:rsidR="00E27BA1" w:rsidRPr="00403BE6" w:rsidRDefault="00E27BA1" w:rsidP="00E27BA1"/>
    <w:p w14:paraId="499C76AB" w14:textId="77777777" w:rsidR="00E27BA1" w:rsidRDefault="00E27BA1" w:rsidP="00E27BA1">
      <w:pPr>
        <w:sectPr w:rsidR="00E27BA1" w:rsidSect="00E27BA1">
          <w:type w:val="continuous"/>
          <w:pgSz w:w="12240" w:h="15840" w:code="1"/>
          <w:pgMar w:top="720" w:right="864" w:bottom="317" w:left="864" w:header="576" w:footer="432" w:gutter="0"/>
          <w:cols w:num="2" w:space="720"/>
        </w:sectPr>
      </w:pPr>
    </w:p>
    <w:p w14:paraId="4E3408AB" w14:textId="77777777" w:rsidR="00E27BA1" w:rsidRDefault="00E27BA1" w:rsidP="00E27BA1">
      <w:pPr>
        <w:sectPr w:rsidR="00E27BA1" w:rsidSect="00E27BA1">
          <w:type w:val="continuous"/>
          <w:pgSz w:w="12240" w:h="15840" w:code="1"/>
          <w:pgMar w:top="720" w:right="864" w:bottom="317" w:left="864" w:header="576" w:footer="432" w:gutter="0"/>
          <w:cols w:num="2" w:space="720"/>
        </w:sectPr>
      </w:pPr>
    </w:p>
    <w:p w14:paraId="06AB6A62" w14:textId="77777777" w:rsidR="00E27BA1" w:rsidRPr="00E27BA1" w:rsidRDefault="00E27BA1" w:rsidP="00E27BA1">
      <w:pPr>
        <w:tabs>
          <w:tab w:val="left" w:pos="6120"/>
        </w:tabs>
        <w:spacing w:line="204" w:lineRule="atLeast"/>
        <w:jc w:val="center"/>
        <w:rPr>
          <w:b/>
          <w:color w:val="000000"/>
        </w:rPr>
      </w:pPr>
      <w:r w:rsidRPr="00E27BA1">
        <w:rPr>
          <w:b/>
          <w:color w:val="000000"/>
        </w:rPr>
        <w:lastRenderedPageBreak/>
        <w:t>CUMULATIVE INDEX</w:t>
      </w:r>
    </w:p>
    <w:p w14:paraId="791CD364" w14:textId="77777777" w:rsidR="00E27BA1" w:rsidRPr="00E27BA1" w:rsidRDefault="00E27BA1" w:rsidP="00E27BA1">
      <w:pPr>
        <w:spacing w:line="163" w:lineRule="atLeast"/>
        <w:jc w:val="center"/>
        <w:rPr>
          <w:b/>
          <w:color w:val="000000"/>
        </w:rPr>
      </w:pPr>
      <w:r w:rsidRPr="00E27BA1">
        <w:rPr>
          <w:b/>
          <w:color w:val="000000"/>
        </w:rPr>
        <w:t>(Volume 52, Number 8)</w:t>
      </w:r>
    </w:p>
    <w:p w14:paraId="61E6A075" w14:textId="77777777" w:rsidR="00E27BA1" w:rsidRPr="00E27BA1" w:rsidRDefault="00E27BA1" w:rsidP="00E27BA1">
      <w:pPr>
        <w:spacing w:line="163" w:lineRule="atLeast"/>
        <w:jc w:val="center"/>
        <w:rPr>
          <w:b/>
          <w:color w:val="000000"/>
        </w:rPr>
      </w:pPr>
    </w:p>
    <w:p w14:paraId="67A68F87" w14:textId="77777777" w:rsidR="00E27BA1" w:rsidRPr="00E27BA1" w:rsidRDefault="00E27BA1" w:rsidP="00E27BA1">
      <w:pPr>
        <w:spacing w:line="163" w:lineRule="atLeast"/>
        <w:jc w:val="center"/>
        <w:rPr>
          <w:b/>
          <w:bCs/>
          <w:color w:val="000000"/>
        </w:rPr>
        <w:sectPr w:rsidR="00E27BA1" w:rsidRPr="00E27BA1" w:rsidSect="00E27BA1">
          <w:footerReference w:type="even" r:id="rId25"/>
          <w:footerReference w:type="default" r:id="rId26"/>
          <w:pgSz w:w="12240" w:h="15840" w:code="1"/>
          <w:pgMar w:top="720" w:right="864" w:bottom="317" w:left="864" w:header="576" w:footer="432" w:gutter="0"/>
          <w:pgNumType w:start="1458"/>
          <w:cols w:space="0" w:equalWidth="0">
            <w:col w:w="10296" w:space="432"/>
          </w:cols>
          <w:noEndnote/>
          <w:docGrid w:linePitch="272"/>
        </w:sectPr>
      </w:pPr>
    </w:p>
    <w:p w14:paraId="7BDD24E0"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r w:rsidRPr="00E27BA1">
        <w:rPr>
          <w:noProof/>
          <w:kern w:val="2"/>
          <w:lang w:val="x-none" w:eastAsia="x-none"/>
        </w:rPr>
        <mc:AlternateContent>
          <mc:Choice Requires="wps">
            <w:drawing>
              <wp:anchor distT="0" distB="0" distL="114300" distR="114300" simplePos="0" relativeHeight="251662336" behindDoc="0" locked="0" layoutInCell="1" allowOverlap="1" wp14:anchorId="557F21CE" wp14:editId="0940C51D">
                <wp:simplePos x="0" y="0"/>
                <wp:positionH relativeFrom="column">
                  <wp:posOffset>329800</wp:posOffset>
                </wp:positionH>
                <wp:positionV relativeFrom="paragraph">
                  <wp:posOffset>60147</wp:posOffset>
                </wp:positionV>
                <wp:extent cx="2473325" cy="2748337"/>
                <wp:effectExtent l="0" t="0" r="22225" b="13970"/>
                <wp:wrapNone/>
                <wp:docPr id="14601883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3325" cy="2748337"/>
                        </a:xfrm>
                        <a:prstGeom prst="rect">
                          <a:avLst/>
                        </a:prstGeom>
                        <a:solidFill>
                          <a:srgbClr val="DDDDDD"/>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58290A4" w14:textId="77777777" w:rsidR="00E27BA1" w:rsidRDefault="00E27BA1" w:rsidP="00E27BA1">
                            <w:pPr>
                              <w:jc w:val="center"/>
                              <w:rPr>
                                <w:b/>
                                <w:sz w:val="18"/>
                              </w:rPr>
                            </w:pPr>
                            <w:r>
                              <w:rPr>
                                <w:b/>
                                <w:sz w:val="18"/>
                              </w:rPr>
                              <w:t>2026</w:t>
                            </w:r>
                          </w:p>
                          <w:p w14:paraId="3CF3AA9C" w14:textId="77777777" w:rsidR="00E27BA1" w:rsidRDefault="00E27BA1" w:rsidP="00E27BA1">
                            <w:pPr>
                              <w:rPr>
                                <w:b/>
                                <w:sz w:val="18"/>
                              </w:rPr>
                            </w:pPr>
                            <w:r>
                              <w:rPr>
                                <w:b/>
                                <w:sz w:val="18"/>
                              </w:rPr>
                              <w:t>Pages</w:t>
                            </w:r>
                            <w:r>
                              <w:rPr>
                                <w:b/>
                                <w:sz w:val="18"/>
                              </w:rPr>
                              <w:tab/>
                            </w:r>
                            <w:r>
                              <w:rPr>
                                <w:sz w:val="18"/>
                              </w:rPr>
                              <w:tab/>
                            </w:r>
                            <w:r>
                              <w:rPr>
                                <w:sz w:val="18"/>
                              </w:rPr>
                              <w:tab/>
                            </w:r>
                            <w:r>
                              <w:rPr>
                                <w:sz w:val="18"/>
                              </w:rPr>
                              <w:tab/>
                            </w:r>
                            <w:r>
                              <w:rPr>
                                <w:b/>
                                <w:sz w:val="18"/>
                              </w:rPr>
                              <w:t>Issue</w:t>
                            </w:r>
                          </w:p>
                          <w:p w14:paraId="6AE50400" w14:textId="77777777" w:rsidR="00E27BA1" w:rsidRDefault="00E27BA1" w:rsidP="00E27BA1">
                            <w:pPr>
                              <w:tabs>
                                <w:tab w:val="left" w:leader="dot" w:pos="2880"/>
                              </w:tabs>
                              <w:rPr>
                                <w:sz w:val="17"/>
                                <w:szCs w:val="17"/>
                              </w:rPr>
                            </w:pPr>
                            <w:r w:rsidRPr="005B25E4">
                              <w:rPr>
                                <w:sz w:val="17"/>
                                <w:szCs w:val="17"/>
                              </w:rPr>
                              <w:t>1-</w:t>
                            </w:r>
                            <w:r>
                              <w:rPr>
                                <w:sz w:val="17"/>
                                <w:szCs w:val="17"/>
                              </w:rPr>
                              <w:t>194</w:t>
                            </w:r>
                            <w:r w:rsidRPr="005B25E4">
                              <w:rPr>
                                <w:sz w:val="17"/>
                                <w:szCs w:val="17"/>
                              </w:rPr>
                              <w:tab/>
                              <w:t>January</w:t>
                            </w:r>
                          </w:p>
                          <w:p w14:paraId="6ED77254" w14:textId="77777777" w:rsidR="00E27BA1" w:rsidRDefault="00E27BA1" w:rsidP="00E27BA1">
                            <w:pPr>
                              <w:tabs>
                                <w:tab w:val="left" w:leader="dot" w:pos="2880"/>
                              </w:tabs>
                              <w:rPr>
                                <w:sz w:val="17"/>
                                <w:szCs w:val="17"/>
                              </w:rPr>
                            </w:pPr>
                            <w:r>
                              <w:rPr>
                                <w:sz w:val="17"/>
                                <w:szCs w:val="17"/>
                              </w:rPr>
                              <w:t>195-329</w:t>
                            </w:r>
                            <w:r>
                              <w:rPr>
                                <w:sz w:val="17"/>
                                <w:szCs w:val="17"/>
                              </w:rPr>
                              <w:tab/>
                              <w:t>February</w:t>
                            </w:r>
                          </w:p>
                          <w:p w14:paraId="5A49E3F2" w14:textId="77777777" w:rsidR="00E27BA1" w:rsidRDefault="00E27BA1" w:rsidP="00E27BA1">
                            <w:pPr>
                              <w:tabs>
                                <w:tab w:val="left" w:leader="dot" w:pos="2880"/>
                              </w:tabs>
                              <w:rPr>
                                <w:sz w:val="17"/>
                                <w:szCs w:val="17"/>
                              </w:rPr>
                            </w:pPr>
                            <w:r>
                              <w:rPr>
                                <w:sz w:val="17"/>
                                <w:szCs w:val="17"/>
                              </w:rPr>
                              <w:t>330-466</w:t>
                            </w:r>
                            <w:r>
                              <w:rPr>
                                <w:sz w:val="17"/>
                                <w:szCs w:val="17"/>
                              </w:rPr>
                              <w:tab/>
                              <w:t>March</w:t>
                            </w:r>
                          </w:p>
                          <w:p w14:paraId="5FBA9640" w14:textId="77777777" w:rsidR="00E27BA1" w:rsidRPr="005B25E4" w:rsidRDefault="00E27BA1" w:rsidP="00E27BA1">
                            <w:pPr>
                              <w:tabs>
                                <w:tab w:val="left" w:leader="dot" w:pos="2880"/>
                              </w:tabs>
                              <w:rPr>
                                <w:sz w:val="17"/>
                                <w:szCs w:val="17"/>
                              </w:rPr>
                            </w:pPr>
                            <w:r>
                              <w:rPr>
                                <w:sz w:val="17"/>
                                <w:szCs w:val="17"/>
                              </w:rPr>
                              <w:t>467-643</w:t>
                            </w:r>
                            <w:r>
                              <w:rPr>
                                <w:sz w:val="17"/>
                                <w:szCs w:val="17"/>
                              </w:rPr>
                              <w:tab/>
                              <w:t>April</w:t>
                            </w:r>
                          </w:p>
                          <w:p w14:paraId="1422FF34" w14:textId="77777777" w:rsidR="00E27BA1" w:rsidRPr="00C84072" w:rsidRDefault="00E27BA1" w:rsidP="00E27BA1">
                            <w:pPr>
                              <w:tabs>
                                <w:tab w:val="left" w:leader="dot" w:pos="2880"/>
                              </w:tabs>
                              <w:rPr>
                                <w:sz w:val="16"/>
                                <w:szCs w:val="16"/>
                              </w:rPr>
                            </w:pPr>
                            <w:r>
                              <w:rPr>
                                <w:sz w:val="16"/>
                                <w:szCs w:val="16"/>
                              </w:rPr>
                              <w:t>644-886</w:t>
                            </w:r>
                            <w:r>
                              <w:rPr>
                                <w:sz w:val="16"/>
                                <w:szCs w:val="16"/>
                              </w:rPr>
                              <w:tab/>
                              <w:t>May</w:t>
                            </w:r>
                          </w:p>
                          <w:p w14:paraId="1DA51B3A" w14:textId="77777777" w:rsidR="00E27BA1" w:rsidRPr="00341F3B" w:rsidRDefault="00E27BA1" w:rsidP="00E27BA1">
                            <w:pPr>
                              <w:tabs>
                                <w:tab w:val="left" w:leader="dot" w:pos="2880"/>
                              </w:tabs>
                              <w:rPr>
                                <w:sz w:val="17"/>
                                <w:szCs w:val="17"/>
                              </w:rPr>
                            </w:pPr>
                            <w:r w:rsidRPr="00341F3B">
                              <w:rPr>
                                <w:sz w:val="17"/>
                                <w:szCs w:val="17"/>
                              </w:rPr>
                              <w:t>887-1092</w:t>
                            </w:r>
                            <w:r w:rsidRPr="00341F3B">
                              <w:rPr>
                                <w:sz w:val="17"/>
                                <w:szCs w:val="17"/>
                              </w:rPr>
                              <w:tab/>
                              <w:t>June</w:t>
                            </w:r>
                          </w:p>
                          <w:p w14:paraId="62122F6C" w14:textId="77777777" w:rsidR="00E27BA1" w:rsidRDefault="00E27BA1" w:rsidP="00E27BA1">
                            <w:pPr>
                              <w:tabs>
                                <w:tab w:val="left" w:leader="dot" w:pos="2880"/>
                              </w:tabs>
                              <w:rPr>
                                <w:sz w:val="17"/>
                                <w:szCs w:val="17"/>
                              </w:rPr>
                            </w:pPr>
                            <w:r w:rsidRPr="00341F3B">
                              <w:rPr>
                                <w:sz w:val="17"/>
                                <w:szCs w:val="17"/>
                              </w:rPr>
                              <w:t>1093-1305</w:t>
                            </w:r>
                            <w:r w:rsidRPr="00341F3B">
                              <w:rPr>
                                <w:sz w:val="17"/>
                                <w:szCs w:val="17"/>
                              </w:rPr>
                              <w:tab/>
                              <w:t>July</w:t>
                            </w:r>
                          </w:p>
                          <w:p w14:paraId="6EB23AA4" w14:textId="77777777" w:rsidR="00E27BA1" w:rsidRPr="00341F3B" w:rsidRDefault="00E27BA1" w:rsidP="00E27BA1">
                            <w:pPr>
                              <w:tabs>
                                <w:tab w:val="left" w:leader="dot" w:pos="2880"/>
                              </w:tabs>
                              <w:rPr>
                                <w:sz w:val="17"/>
                                <w:szCs w:val="17"/>
                              </w:rPr>
                            </w:pPr>
                            <w:r>
                              <w:rPr>
                                <w:sz w:val="17"/>
                                <w:szCs w:val="17"/>
                              </w:rPr>
                              <w:t>1306-1465</w:t>
                            </w:r>
                            <w:r>
                              <w:rPr>
                                <w:sz w:val="17"/>
                                <w:szCs w:val="17"/>
                              </w:rPr>
                              <w:tab/>
                              <w:t>August</w:t>
                            </w:r>
                          </w:p>
                          <w:p w14:paraId="4680A1CF" w14:textId="77777777" w:rsidR="00E27BA1" w:rsidRPr="007954BD" w:rsidRDefault="00E27BA1" w:rsidP="00E27BA1">
                            <w:pPr>
                              <w:tabs>
                                <w:tab w:val="left" w:leader="dot" w:pos="2880"/>
                              </w:tabs>
                              <w:rPr>
                                <w:sz w:val="10"/>
                                <w:szCs w:val="10"/>
                              </w:rPr>
                            </w:pPr>
                          </w:p>
                          <w:p w14:paraId="4FCC6255" w14:textId="77777777" w:rsidR="00E27BA1" w:rsidRDefault="00E27BA1" w:rsidP="00E27BA1">
                            <w:pPr>
                              <w:tabs>
                                <w:tab w:val="left" w:leader="dot" w:pos="2880"/>
                              </w:tabs>
                              <w:rPr>
                                <w:sz w:val="18"/>
                              </w:rPr>
                            </w:pPr>
                            <w:r>
                              <w:rPr>
                                <w:sz w:val="18"/>
                              </w:rPr>
                              <w:t>EO―Executive Order</w:t>
                            </w:r>
                          </w:p>
                          <w:p w14:paraId="6EE53270" w14:textId="77777777" w:rsidR="00E27BA1" w:rsidRDefault="00E27BA1" w:rsidP="00E27BA1">
                            <w:pPr>
                              <w:tabs>
                                <w:tab w:val="left" w:leader="dot" w:pos="2880"/>
                              </w:tabs>
                              <w:rPr>
                                <w:sz w:val="18"/>
                              </w:rPr>
                            </w:pPr>
                            <w:r>
                              <w:rPr>
                                <w:sz w:val="18"/>
                              </w:rPr>
                              <w:t>PPM―Policy and Procedure Memoranda</w:t>
                            </w:r>
                          </w:p>
                          <w:p w14:paraId="69CCF18A" w14:textId="77777777" w:rsidR="00E27BA1" w:rsidRDefault="00E27BA1" w:rsidP="00E27BA1">
                            <w:pPr>
                              <w:tabs>
                                <w:tab w:val="left" w:leader="dot" w:pos="2880"/>
                              </w:tabs>
                              <w:rPr>
                                <w:sz w:val="18"/>
                              </w:rPr>
                            </w:pPr>
                            <w:r>
                              <w:rPr>
                                <w:sz w:val="18"/>
                              </w:rPr>
                              <w:t>ER―Emergency Rule</w:t>
                            </w:r>
                          </w:p>
                          <w:p w14:paraId="765B28E6" w14:textId="77777777" w:rsidR="00E27BA1" w:rsidRDefault="00E27BA1" w:rsidP="00E27BA1">
                            <w:pPr>
                              <w:tabs>
                                <w:tab w:val="left" w:leader="dot" w:pos="2880"/>
                              </w:tabs>
                              <w:rPr>
                                <w:sz w:val="18"/>
                              </w:rPr>
                            </w:pPr>
                            <w:r>
                              <w:rPr>
                                <w:sz w:val="18"/>
                              </w:rPr>
                              <w:t>R―Rule</w:t>
                            </w:r>
                          </w:p>
                          <w:p w14:paraId="223D03BB" w14:textId="77777777" w:rsidR="00E27BA1" w:rsidRDefault="00E27BA1" w:rsidP="00E27BA1">
                            <w:pPr>
                              <w:tabs>
                                <w:tab w:val="left" w:leader="dot" w:pos="2880"/>
                              </w:tabs>
                              <w:rPr>
                                <w:sz w:val="18"/>
                              </w:rPr>
                            </w:pPr>
                            <w:r>
                              <w:rPr>
                                <w:sz w:val="18"/>
                              </w:rPr>
                              <w:t>N―Notice of Intent</w:t>
                            </w:r>
                          </w:p>
                          <w:p w14:paraId="19C4E04C" w14:textId="77777777" w:rsidR="00E27BA1" w:rsidRDefault="00E27BA1" w:rsidP="00E27BA1">
                            <w:pPr>
                              <w:tabs>
                                <w:tab w:val="left" w:leader="dot" w:pos="2880"/>
                              </w:tabs>
                              <w:rPr>
                                <w:sz w:val="18"/>
                              </w:rPr>
                            </w:pPr>
                            <w:r>
                              <w:rPr>
                                <w:sz w:val="18"/>
                              </w:rPr>
                              <w:t>CR―Committee Report</w:t>
                            </w:r>
                          </w:p>
                          <w:p w14:paraId="30DD8267" w14:textId="77777777" w:rsidR="00E27BA1" w:rsidRDefault="00E27BA1" w:rsidP="00E27BA1">
                            <w:pPr>
                              <w:tabs>
                                <w:tab w:val="left" w:leader="dot" w:pos="2880"/>
                              </w:tabs>
                              <w:rPr>
                                <w:sz w:val="18"/>
                              </w:rPr>
                            </w:pPr>
                            <w:r>
                              <w:rPr>
                                <w:sz w:val="18"/>
                              </w:rPr>
                              <w:t>GR―Governor's Report</w:t>
                            </w:r>
                          </w:p>
                          <w:p w14:paraId="3CE06523" w14:textId="77777777" w:rsidR="00E27BA1" w:rsidRDefault="00E27BA1" w:rsidP="00E27BA1">
                            <w:pPr>
                              <w:tabs>
                                <w:tab w:val="left" w:leader="dot" w:pos="2880"/>
                              </w:tabs>
                              <w:rPr>
                                <w:sz w:val="18"/>
                              </w:rPr>
                            </w:pPr>
                            <w:r>
                              <w:rPr>
                                <w:sz w:val="18"/>
                              </w:rPr>
                              <w:t>L―Legislation</w:t>
                            </w:r>
                          </w:p>
                          <w:p w14:paraId="0794C0A4" w14:textId="77777777" w:rsidR="00E27BA1" w:rsidRDefault="00E27BA1" w:rsidP="00E27BA1">
                            <w:pPr>
                              <w:tabs>
                                <w:tab w:val="left" w:leader="dot" w:pos="2880"/>
                              </w:tabs>
                              <w:rPr>
                                <w:sz w:val="18"/>
                              </w:rPr>
                            </w:pPr>
                            <w:r>
                              <w:rPr>
                                <w:sz w:val="18"/>
                              </w:rPr>
                              <w:t>P―Potpourri</w:t>
                            </w:r>
                          </w:p>
                          <w:p w14:paraId="70AF0DA5" w14:textId="77777777" w:rsidR="00E27BA1" w:rsidRDefault="00E27BA1" w:rsidP="00E27BA1">
                            <w:pPr>
                              <w:tabs>
                                <w:tab w:val="left" w:leader="dot" w:pos="2880"/>
                              </w:tabs>
                              <w:rPr>
                                <w:sz w:val="18"/>
                              </w:rPr>
                            </w:pPr>
                            <w:r>
                              <w:rPr>
                                <w:sz w:val="18"/>
                              </w:rPr>
                              <w:t>QU―Administrative Code Quarterly Update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7F21CE" id="_x0000_t202" coordsize="21600,21600" o:spt="202" path="m,l,21600r21600,l21600,xe">
                <v:stroke joinstyle="miter"/>
                <v:path gradientshapeok="t" o:connecttype="rect"/>
              </v:shapetype>
              <v:shape id="Text Box 2" o:spid="_x0000_s1026" type="#_x0000_t202" style="position:absolute;left:0;text-align:left;margin-left:25.95pt;margin-top:4.75pt;width:194.75pt;height:216.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" fillcolor="#ddd">
                <v:textbox>
                  <w:txbxContent>
                    <w:p w14:paraId="458290A4" w14:textId="77777777" w:rsidR="00E27BA1" w:rsidRDefault="00E27BA1" w:rsidP="00E27BA1">
                      <w:pPr>
                        <w:jc w:val="center"/>
                        <w:rPr>
                          <w:b/>
                          <w:sz w:val="18"/>
                        </w:rPr>
                      </w:pPr>
                      <w:r>
                        <w:rPr>
                          <w:b/>
                          <w:sz w:val="18"/>
                        </w:rPr>
                        <w:t>2026</w:t>
                      </w:r>
                    </w:p>
                    <w:p w14:paraId="3CF3AA9C" w14:textId="77777777" w:rsidR="00E27BA1" w:rsidRDefault="00E27BA1" w:rsidP="00E27BA1">
                      <w:pPr>
                        <w:rPr>
                          <w:b/>
                          <w:sz w:val="18"/>
                        </w:rPr>
                      </w:pPr>
                      <w:r>
                        <w:rPr>
                          <w:b/>
                          <w:sz w:val="18"/>
                        </w:rPr>
                        <w:t>Pages</w:t>
                      </w:r>
                      <w:r>
                        <w:rPr>
                          <w:b/>
                          <w:sz w:val="18"/>
                        </w:rPr>
                        <w:tab/>
                      </w:r>
                      <w:r>
                        <w:rPr>
                          <w:sz w:val="18"/>
                        </w:rPr>
                        <w:tab/>
                      </w:r>
                      <w:r>
                        <w:rPr>
                          <w:sz w:val="18"/>
                        </w:rPr>
                        <w:tab/>
                      </w:r>
                      <w:r>
                        <w:rPr>
                          <w:sz w:val="18"/>
                        </w:rPr>
                        <w:tab/>
                      </w:r>
                      <w:r>
                        <w:rPr>
                          <w:b/>
                          <w:sz w:val="18"/>
                        </w:rPr>
                        <w:t>Issue</w:t>
                      </w:r>
                    </w:p>
                    <w:p w14:paraId="6AE50400" w14:textId="77777777" w:rsidR="00E27BA1" w:rsidRDefault="00E27BA1" w:rsidP="00E27BA1">
                      <w:pPr>
                        <w:tabs>
                          <w:tab w:val="left" w:leader="dot" w:pos="2880"/>
                        </w:tabs>
                        <w:rPr>
                          <w:sz w:val="17"/>
                          <w:szCs w:val="17"/>
                        </w:rPr>
                      </w:pPr>
                      <w:r w:rsidRPr="005B25E4">
                        <w:rPr>
                          <w:sz w:val="17"/>
                          <w:szCs w:val="17"/>
                        </w:rPr>
                        <w:t>1-</w:t>
                      </w:r>
                      <w:r>
                        <w:rPr>
                          <w:sz w:val="17"/>
                          <w:szCs w:val="17"/>
                        </w:rPr>
                        <w:t>194</w:t>
                      </w:r>
                      <w:r w:rsidRPr="005B25E4">
                        <w:rPr>
                          <w:sz w:val="17"/>
                          <w:szCs w:val="17"/>
                        </w:rPr>
                        <w:tab/>
                        <w:t>January</w:t>
                      </w:r>
                    </w:p>
                    <w:p w14:paraId="6ED77254" w14:textId="77777777" w:rsidR="00E27BA1" w:rsidRDefault="00E27BA1" w:rsidP="00E27BA1">
                      <w:pPr>
                        <w:tabs>
                          <w:tab w:val="left" w:leader="dot" w:pos="2880"/>
                        </w:tabs>
                        <w:rPr>
                          <w:sz w:val="17"/>
                          <w:szCs w:val="17"/>
                        </w:rPr>
                      </w:pPr>
                      <w:r>
                        <w:rPr>
                          <w:sz w:val="17"/>
                          <w:szCs w:val="17"/>
                        </w:rPr>
                        <w:t>195-329</w:t>
                      </w:r>
                      <w:r>
                        <w:rPr>
                          <w:sz w:val="17"/>
                          <w:szCs w:val="17"/>
                        </w:rPr>
                        <w:tab/>
                        <w:t>February</w:t>
                      </w:r>
                    </w:p>
                    <w:p w14:paraId="5A49E3F2" w14:textId="77777777" w:rsidR="00E27BA1" w:rsidRDefault="00E27BA1" w:rsidP="00E27BA1">
                      <w:pPr>
                        <w:tabs>
                          <w:tab w:val="left" w:leader="dot" w:pos="2880"/>
                        </w:tabs>
                        <w:rPr>
                          <w:sz w:val="17"/>
                          <w:szCs w:val="17"/>
                        </w:rPr>
                      </w:pPr>
                      <w:r>
                        <w:rPr>
                          <w:sz w:val="17"/>
                          <w:szCs w:val="17"/>
                        </w:rPr>
                        <w:t>330-466</w:t>
                      </w:r>
                      <w:r>
                        <w:rPr>
                          <w:sz w:val="17"/>
                          <w:szCs w:val="17"/>
                        </w:rPr>
                        <w:tab/>
                        <w:t>March</w:t>
                      </w:r>
                    </w:p>
                    <w:p w14:paraId="5FBA9640" w14:textId="77777777" w:rsidR="00E27BA1" w:rsidRPr="005B25E4" w:rsidRDefault="00E27BA1" w:rsidP="00E27BA1">
                      <w:pPr>
                        <w:tabs>
                          <w:tab w:val="left" w:leader="dot" w:pos="2880"/>
                        </w:tabs>
                        <w:rPr>
                          <w:sz w:val="17"/>
                          <w:szCs w:val="17"/>
                        </w:rPr>
                      </w:pPr>
                      <w:r>
                        <w:rPr>
                          <w:sz w:val="17"/>
                          <w:szCs w:val="17"/>
                        </w:rPr>
                        <w:t>467-643</w:t>
                      </w:r>
                      <w:r>
                        <w:rPr>
                          <w:sz w:val="17"/>
                          <w:szCs w:val="17"/>
                        </w:rPr>
                        <w:tab/>
                        <w:t>April</w:t>
                      </w:r>
                    </w:p>
                    <w:p w14:paraId="1422FF34" w14:textId="77777777" w:rsidR="00E27BA1" w:rsidRPr="00C84072" w:rsidRDefault="00E27BA1" w:rsidP="00E27BA1">
                      <w:pPr>
                        <w:tabs>
                          <w:tab w:val="left" w:leader="dot" w:pos="2880"/>
                        </w:tabs>
                        <w:rPr>
                          <w:sz w:val="16"/>
                          <w:szCs w:val="16"/>
                        </w:rPr>
                      </w:pPr>
                      <w:r>
                        <w:rPr>
                          <w:sz w:val="16"/>
                          <w:szCs w:val="16"/>
                        </w:rPr>
                        <w:t>644-886</w:t>
                      </w:r>
                      <w:r>
                        <w:rPr>
                          <w:sz w:val="16"/>
                          <w:szCs w:val="16"/>
                        </w:rPr>
                        <w:tab/>
                        <w:t>May</w:t>
                      </w:r>
                    </w:p>
                    <w:p w14:paraId="1DA51B3A" w14:textId="77777777" w:rsidR="00E27BA1" w:rsidRPr="00341F3B" w:rsidRDefault="00E27BA1" w:rsidP="00E27BA1">
                      <w:pPr>
                        <w:tabs>
                          <w:tab w:val="left" w:leader="dot" w:pos="2880"/>
                        </w:tabs>
                        <w:rPr>
                          <w:sz w:val="17"/>
                          <w:szCs w:val="17"/>
                        </w:rPr>
                      </w:pPr>
                      <w:r w:rsidRPr="00341F3B">
                        <w:rPr>
                          <w:sz w:val="17"/>
                          <w:szCs w:val="17"/>
                        </w:rPr>
                        <w:t>887-1092</w:t>
                      </w:r>
                      <w:r w:rsidRPr="00341F3B">
                        <w:rPr>
                          <w:sz w:val="17"/>
                          <w:szCs w:val="17"/>
                        </w:rPr>
                        <w:tab/>
                        <w:t>June</w:t>
                      </w:r>
                    </w:p>
                    <w:p w14:paraId="62122F6C" w14:textId="77777777" w:rsidR="00E27BA1" w:rsidRDefault="00E27BA1" w:rsidP="00E27BA1">
                      <w:pPr>
                        <w:tabs>
                          <w:tab w:val="left" w:leader="dot" w:pos="2880"/>
                        </w:tabs>
                        <w:rPr>
                          <w:sz w:val="17"/>
                          <w:szCs w:val="17"/>
                        </w:rPr>
                      </w:pPr>
                      <w:r w:rsidRPr="00341F3B">
                        <w:rPr>
                          <w:sz w:val="17"/>
                          <w:szCs w:val="17"/>
                        </w:rPr>
                        <w:t>1093-1305</w:t>
                      </w:r>
                      <w:r w:rsidRPr="00341F3B">
                        <w:rPr>
                          <w:sz w:val="17"/>
                          <w:szCs w:val="17"/>
                        </w:rPr>
                        <w:tab/>
                        <w:t>July</w:t>
                      </w:r>
                    </w:p>
                    <w:p w14:paraId="6EB23AA4" w14:textId="77777777" w:rsidR="00E27BA1" w:rsidRPr="00341F3B" w:rsidRDefault="00E27BA1" w:rsidP="00E27BA1">
                      <w:pPr>
                        <w:tabs>
                          <w:tab w:val="left" w:leader="dot" w:pos="2880"/>
                        </w:tabs>
                        <w:rPr>
                          <w:sz w:val="17"/>
                          <w:szCs w:val="17"/>
                        </w:rPr>
                      </w:pPr>
                      <w:r>
                        <w:rPr>
                          <w:sz w:val="17"/>
                          <w:szCs w:val="17"/>
                        </w:rPr>
                        <w:t>1306-1465</w:t>
                      </w:r>
                      <w:r>
                        <w:rPr>
                          <w:sz w:val="17"/>
                          <w:szCs w:val="17"/>
                        </w:rPr>
                        <w:tab/>
                        <w:t>August</w:t>
                      </w:r>
                    </w:p>
                    <w:p w14:paraId="4680A1CF" w14:textId="77777777" w:rsidR="00E27BA1" w:rsidRPr="007954BD" w:rsidRDefault="00E27BA1" w:rsidP="00E27BA1">
                      <w:pPr>
                        <w:tabs>
                          <w:tab w:val="left" w:leader="dot" w:pos="2880"/>
                        </w:tabs>
                        <w:rPr>
                          <w:sz w:val="10"/>
                          <w:szCs w:val="10"/>
                        </w:rPr>
                      </w:pPr>
                    </w:p>
                    <w:p w14:paraId="4FCC6255" w14:textId="77777777" w:rsidR="00E27BA1" w:rsidRDefault="00E27BA1" w:rsidP="00E27BA1">
                      <w:pPr>
                        <w:tabs>
                          <w:tab w:val="left" w:leader="dot" w:pos="2880"/>
                        </w:tabs>
                        <w:rPr>
                          <w:sz w:val="18"/>
                        </w:rPr>
                      </w:pPr>
                      <w:r>
                        <w:rPr>
                          <w:sz w:val="18"/>
                        </w:rPr>
                        <w:t>EO―Executive Order</w:t>
                      </w:r>
                    </w:p>
                    <w:p w14:paraId="6EE53270" w14:textId="77777777" w:rsidR="00E27BA1" w:rsidRDefault="00E27BA1" w:rsidP="00E27BA1">
                      <w:pPr>
                        <w:tabs>
                          <w:tab w:val="left" w:leader="dot" w:pos="2880"/>
                        </w:tabs>
                        <w:rPr>
                          <w:sz w:val="18"/>
                        </w:rPr>
                      </w:pPr>
                      <w:r>
                        <w:rPr>
                          <w:sz w:val="18"/>
                        </w:rPr>
                        <w:t>PPM―Policy and Procedure Memoranda</w:t>
                      </w:r>
                    </w:p>
                    <w:p w14:paraId="69CCF18A" w14:textId="77777777" w:rsidR="00E27BA1" w:rsidRDefault="00E27BA1" w:rsidP="00E27BA1">
                      <w:pPr>
                        <w:tabs>
                          <w:tab w:val="left" w:leader="dot" w:pos="2880"/>
                        </w:tabs>
                        <w:rPr>
                          <w:sz w:val="18"/>
                        </w:rPr>
                      </w:pPr>
                      <w:r>
                        <w:rPr>
                          <w:sz w:val="18"/>
                        </w:rPr>
                        <w:t>ER―Emergency Rule</w:t>
                      </w:r>
                    </w:p>
                    <w:p w14:paraId="765B28E6" w14:textId="77777777" w:rsidR="00E27BA1" w:rsidRDefault="00E27BA1" w:rsidP="00E27BA1">
                      <w:pPr>
                        <w:tabs>
                          <w:tab w:val="left" w:leader="dot" w:pos="2880"/>
                        </w:tabs>
                        <w:rPr>
                          <w:sz w:val="18"/>
                        </w:rPr>
                      </w:pPr>
                      <w:r>
                        <w:rPr>
                          <w:sz w:val="18"/>
                        </w:rPr>
                        <w:t>R―Rule</w:t>
                      </w:r>
                    </w:p>
                    <w:p w14:paraId="223D03BB" w14:textId="77777777" w:rsidR="00E27BA1" w:rsidRDefault="00E27BA1" w:rsidP="00E27BA1">
                      <w:pPr>
                        <w:tabs>
                          <w:tab w:val="left" w:leader="dot" w:pos="2880"/>
                        </w:tabs>
                        <w:rPr>
                          <w:sz w:val="18"/>
                        </w:rPr>
                      </w:pPr>
                      <w:r>
                        <w:rPr>
                          <w:sz w:val="18"/>
                        </w:rPr>
                        <w:t>N―Notice of Intent</w:t>
                      </w:r>
                    </w:p>
                    <w:p w14:paraId="19C4E04C" w14:textId="77777777" w:rsidR="00E27BA1" w:rsidRDefault="00E27BA1" w:rsidP="00E27BA1">
                      <w:pPr>
                        <w:tabs>
                          <w:tab w:val="left" w:leader="dot" w:pos="2880"/>
                        </w:tabs>
                        <w:rPr>
                          <w:sz w:val="18"/>
                        </w:rPr>
                      </w:pPr>
                      <w:r>
                        <w:rPr>
                          <w:sz w:val="18"/>
                        </w:rPr>
                        <w:t>CR―Committee Report</w:t>
                      </w:r>
                    </w:p>
                    <w:p w14:paraId="30DD8267" w14:textId="77777777" w:rsidR="00E27BA1" w:rsidRDefault="00E27BA1" w:rsidP="00E27BA1">
                      <w:pPr>
                        <w:tabs>
                          <w:tab w:val="left" w:leader="dot" w:pos="2880"/>
                        </w:tabs>
                        <w:rPr>
                          <w:sz w:val="18"/>
                        </w:rPr>
                      </w:pPr>
                      <w:r>
                        <w:rPr>
                          <w:sz w:val="18"/>
                        </w:rPr>
                        <w:t>GR―Governor's Report</w:t>
                      </w:r>
                    </w:p>
                    <w:p w14:paraId="3CE06523" w14:textId="77777777" w:rsidR="00E27BA1" w:rsidRDefault="00E27BA1" w:rsidP="00E27BA1">
                      <w:pPr>
                        <w:tabs>
                          <w:tab w:val="left" w:leader="dot" w:pos="2880"/>
                        </w:tabs>
                        <w:rPr>
                          <w:sz w:val="18"/>
                        </w:rPr>
                      </w:pPr>
                      <w:r>
                        <w:rPr>
                          <w:sz w:val="18"/>
                        </w:rPr>
                        <w:t>L―Legislation</w:t>
                      </w:r>
                    </w:p>
                    <w:p w14:paraId="0794C0A4" w14:textId="77777777" w:rsidR="00E27BA1" w:rsidRDefault="00E27BA1" w:rsidP="00E27BA1">
                      <w:pPr>
                        <w:tabs>
                          <w:tab w:val="left" w:leader="dot" w:pos="2880"/>
                        </w:tabs>
                        <w:rPr>
                          <w:sz w:val="18"/>
                        </w:rPr>
                      </w:pPr>
                      <w:r>
                        <w:rPr>
                          <w:sz w:val="18"/>
                        </w:rPr>
                        <w:t>P―Potpourri</w:t>
                      </w:r>
                    </w:p>
                    <w:p w14:paraId="70AF0DA5" w14:textId="77777777" w:rsidR="00E27BA1" w:rsidRDefault="00E27BA1" w:rsidP="00E27BA1">
                      <w:pPr>
                        <w:tabs>
                          <w:tab w:val="left" w:leader="dot" w:pos="2880"/>
                        </w:tabs>
                        <w:rPr>
                          <w:sz w:val="18"/>
                        </w:rPr>
                      </w:pPr>
                      <w:r>
                        <w:rPr>
                          <w:sz w:val="18"/>
                        </w:rPr>
                        <w:t>QU―Administrative Code Quarterly Update</w:t>
                      </w:r>
                    </w:p>
                  </w:txbxContent>
                </v:textbox>
              </v:shape>
            </w:pict>
          </mc:Fallback>
        </mc:AlternateContent>
      </w:r>
    </w:p>
    <w:p w14:paraId="6DDCA8B9"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p>
    <w:p w14:paraId="4541AB15"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p>
    <w:p w14:paraId="034D116F"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p>
    <w:p w14:paraId="3EA289C5"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p>
    <w:p w14:paraId="7C8C181E"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p>
    <w:p w14:paraId="258627AB"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p>
    <w:p w14:paraId="26AC8CD6"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p>
    <w:p w14:paraId="44A3ACAF"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p>
    <w:p w14:paraId="56247F3A"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r w:rsidRPr="00E27BA1">
        <w:rPr>
          <w:noProof/>
          <w:kern w:val="2"/>
          <w:lang w:val="x-none" w:eastAsia="x-none"/>
        </w:rPr>
        <mc:AlternateContent>
          <mc:Choice Requires="wps">
            <w:drawing>
              <wp:anchor distT="0" distB="0" distL="114300" distR="114300" simplePos="0" relativeHeight="251663360" behindDoc="0" locked="0" layoutInCell="1" allowOverlap="1" wp14:anchorId="14D6A4E2" wp14:editId="09802030">
                <wp:simplePos x="0" y="0"/>
                <wp:positionH relativeFrom="column">
                  <wp:posOffset>328295</wp:posOffset>
                </wp:positionH>
                <wp:positionV relativeFrom="paragraph">
                  <wp:posOffset>96577</wp:posOffset>
                </wp:positionV>
                <wp:extent cx="2473325" cy="0"/>
                <wp:effectExtent l="0" t="0" r="0" b="0"/>
                <wp:wrapNone/>
                <wp:docPr id="244263131" name="Line 3" descr="Image contains box with key to page numbers with corresponding cumulative Louisiana Registers of the current yea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733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29C013" id="Line 3" o:spid="_x0000_s1026" alt="Image contains box with key to page numbers with corresponding cumulative Louisiana Registers of the current year."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85pt,7.6pt" to="220.6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"/>
            </w:pict>
          </mc:Fallback>
        </mc:AlternateContent>
      </w:r>
    </w:p>
    <w:p w14:paraId="5131C31D"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p>
    <w:p w14:paraId="7D1710B7"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p>
    <w:p w14:paraId="78E92CDF"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p>
    <w:p w14:paraId="246B5289"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p>
    <w:p w14:paraId="444A1E6C"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p>
    <w:p w14:paraId="6A7DE81A"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eastAsia="x-none"/>
        </w:rPr>
      </w:pPr>
    </w:p>
    <w:p w14:paraId="7B3E2999"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eastAsia="x-none"/>
        </w:rPr>
      </w:pPr>
    </w:p>
    <w:p w14:paraId="1ACED1F6"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eastAsia="x-none"/>
        </w:rPr>
      </w:pPr>
    </w:p>
    <w:p w14:paraId="0B599C1E"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eastAsia="x-none"/>
        </w:rPr>
      </w:pPr>
    </w:p>
    <w:p w14:paraId="07C6E4E6"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eastAsia="x-none"/>
        </w:rPr>
      </w:pPr>
    </w:p>
    <w:p w14:paraId="7447EF4B"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eastAsia="x-none"/>
        </w:rPr>
      </w:pPr>
    </w:p>
    <w:p w14:paraId="06B402BE"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eastAsia="x-none"/>
        </w:rPr>
      </w:pPr>
    </w:p>
    <w:p w14:paraId="42D9D51E" w14:textId="77777777" w:rsidR="00E27BA1" w:rsidRPr="00E27BA1" w:rsidRDefault="00E27BA1" w:rsidP="00E27BA1">
      <w:pPr>
        <w:keepNext/>
        <w:jc w:val="center"/>
        <w:rPr>
          <w:b/>
          <w:bCs/>
          <w:kern w:val="28"/>
        </w:rPr>
      </w:pPr>
      <w:r w:rsidRPr="00E27BA1">
        <w:rPr>
          <w:b/>
          <w:kern w:val="28"/>
        </w:rPr>
        <w:t>ADMINISTRATIVE CODE UPDATE</w:t>
      </w:r>
    </w:p>
    <w:p w14:paraId="39D1AC2D" w14:textId="77777777" w:rsidR="00E27BA1" w:rsidRPr="00E27BA1" w:rsidRDefault="00E27BA1" w:rsidP="00E27BA1">
      <w:pPr>
        <w:keepNext/>
        <w:tabs>
          <w:tab w:val="left" w:pos="144"/>
          <w:tab w:val="left" w:pos="187"/>
          <w:tab w:val="left" w:pos="540"/>
          <w:tab w:val="left" w:pos="907"/>
          <w:tab w:val="left" w:pos="1080"/>
        </w:tabs>
        <w:ind w:firstLine="187"/>
        <w:jc w:val="both"/>
        <w:outlineLvl w:val="3"/>
        <w:rPr>
          <w:b/>
          <w:bCs/>
          <w:color w:val="000000"/>
          <w:kern w:val="2"/>
          <w:lang w:val="x-none" w:eastAsia="x-none"/>
        </w:rPr>
      </w:pPr>
      <w:r w:rsidRPr="00E27BA1">
        <w:rPr>
          <w:b/>
          <w:kern w:val="2"/>
          <w:lang w:eastAsia="x-none"/>
        </w:rPr>
        <w:t>Cumulative</w:t>
      </w:r>
    </w:p>
    <w:p w14:paraId="3BC710BE" w14:textId="77777777" w:rsidR="00E27BA1" w:rsidRPr="00E27BA1" w:rsidRDefault="00E27BA1" w:rsidP="00E27BA1">
      <w:pPr>
        <w:tabs>
          <w:tab w:val="left" w:pos="720"/>
          <w:tab w:val="left" w:pos="979"/>
          <w:tab w:val="left" w:pos="1152"/>
        </w:tabs>
        <w:ind w:firstLine="360"/>
        <w:jc w:val="both"/>
        <w:outlineLvl w:val="4"/>
        <w:rPr>
          <w:kern w:val="2"/>
        </w:rPr>
      </w:pPr>
      <w:r w:rsidRPr="00E27BA1">
        <w:rPr>
          <w:kern w:val="2"/>
        </w:rPr>
        <w:t>January 2025-December 2025, 184QU</w:t>
      </w:r>
    </w:p>
    <w:p w14:paraId="5EDA0D0F" w14:textId="77777777" w:rsidR="00E27BA1" w:rsidRPr="00E27BA1" w:rsidRDefault="00E27BA1" w:rsidP="00E27BA1">
      <w:pPr>
        <w:tabs>
          <w:tab w:val="left" w:pos="720"/>
          <w:tab w:val="left" w:pos="979"/>
          <w:tab w:val="left" w:pos="1152"/>
        </w:tabs>
        <w:ind w:firstLine="360"/>
        <w:jc w:val="both"/>
        <w:outlineLvl w:val="4"/>
        <w:rPr>
          <w:kern w:val="2"/>
        </w:rPr>
      </w:pPr>
      <w:r w:rsidRPr="00E27BA1">
        <w:rPr>
          <w:kern w:val="2"/>
        </w:rPr>
        <w:t>January 2026-March 2026, 634QU</w:t>
      </w:r>
    </w:p>
    <w:p w14:paraId="6E33CF97" w14:textId="77777777" w:rsidR="00E27BA1" w:rsidRPr="00E27BA1" w:rsidRDefault="00E27BA1" w:rsidP="00E27BA1">
      <w:pPr>
        <w:tabs>
          <w:tab w:val="left" w:pos="720"/>
          <w:tab w:val="left" w:pos="979"/>
          <w:tab w:val="left" w:pos="1152"/>
        </w:tabs>
        <w:ind w:firstLine="360"/>
        <w:jc w:val="both"/>
        <w:outlineLvl w:val="4"/>
        <w:rPr>
          <w:kern w:val="2"/>
        </w:rPr>
      </w:pPr>
      <w:r w:rsidRPr="00E27BA1">
        <w:rPr>
          <w:kern w:val="2"/>
        </w:rPr>
        <w:t>January 2026-June 2026, 1294QU</w:t>
      </w:r>
    </w:p>
    <w:p w14:paraId="54AFB736"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sz w:val="16"/>
          <w:szCs w:val="16"/>
          <w:lang w:eastAsia="x-none"/>
        </w:rPr>
      </w:pPr>
    </w:p>
    <w:p w14:paraId="7414670F"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sz w:val="16"/>
          <w:szCs w:val="16"/>
          <w:lang w:eastAsia="x-none"/>
        </w:rPr>
      </w:pPr>
    </w:p>
    <w:p w14:paraId="4DC29F7D"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sz w:val="16"/>
          <w:szCs w:val="16"/>
          <w:lang w:eastAsia="x-none"/>
        </w:rPr>
      </w:pPr>
    </w:p>
    <w:p w14:paraId="3E6D4DC2" w14:textId="77777777" w:rsidR="00E27BA1" w:rsidRPr="00E27BA1" w:rsidRDefault="00E27BA1" w:rsidP="00E27BA1">
      <w:pPr>
        <w:keepNext/>
        <w:jc w:val="center"/>
        <w:rPr>
          <w:kern w:val="28"/>
        </w:rPr>
      </w:pPr>
      <w:r w:rsidRPr="00E27BA1">
        <w:rPr>
          <w:b/>
          <w:kern w:val="28"/>
        </w:rPr>
        <w:t>AGRICULTURE AND FORESTRY</w:t>
      </w:r>
    </w:p>
    <w:p w14:paraId="024CF308" w14:textId="77777777" w:rsidR="00E27BA1" w:rsidRPr="00E27BA1" w:rsidRDefault="00E27BA1" w:rsidP="00E27BA1">
      <w:pPr>
        <w:keepNext/>
        <w:tabs>
          <w:tab w:val="left" w:pos="144"/>
          <w:tab w:val="left" w:pos="187"/>
          <w:tab w:val="left" w:pos="540"/>
          <w:tab w:val="left" w:pos="907"/>
          <w:tab w:val="left" w:pos="1080"/>
        </w:tabs>
        <w:ind w:firstLine="187"/>
        <w:jc w:val="both"/>
        <w:outlineLvl w:val="3"/>
        <w:rPr>
          <w:b/>
          <w:kern w:val="2"/>
          <w:lang w:eastAsia="x-none"/>
        </w:rPr>
      </w:pPr>
      <w:r w:rsidRPr="00E27BA1">
        <w:rPr>
          <w:b/>
          <w:kern w:val="2"/>
          <w:lang w:eastAsia="x-none"/>
        </w:rPr>
        <w:t>Agricultural and Environmental Sciences, Office of</w:t>
      </w:r>
    </w:p>
    <w:p w14:paraId="5D142E6E" w14:textId="77777777" w:rsidR="00E27BA1" w:rsidRPr="00E27BA1" w:rsidRDefault="00E27BA1" w:rsidP="00E27BA1">
      <w:pPr>
        <w:keepNext/>
        <w:tabs>
          <w:tab w:val="left" w:pos="144"/>
          <w:tab w:val="left" w:pos="187"/>
          <w:tab w:val="left" w:pos="540"/>
          <w:tab w:val="left" w:pos="907"/>
          <w:tab w:val="left" w:pos="1080"/>
        </w:tabs>
        <w:ind w:firstLine="270"/>
        <w:jc w:val="both"/>
        <w:outlineLvl w:val="3"/>
        <w:rPr>
          <w:b/>
          <w:kern w:val="2"/>
          <w:lang w:eastAsia="x-none"/>
        </w:rPr>
      </w:pPr>
      <w:r w:rsidRPr="00E27BA1">
        <w:rPr>
          <w:b/>
          <w:kern w:val="2"/>
          <w:lang w:eastAsia="x-none"/>
        </w:rPr>
        <w:t>Agricultural Chemistry and Seed Commission</w:t>
      </w:r>
    </w:p>
    <w:p w14:paraId="6A461877"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2026 Annual Quarantine List, 1079P</w:t>
      </w:r>
    </w:p>
    <w:p w14:paraId="1E256A4B"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Certification of specific crops/varieties, 347R</w:t>
      </w:r>
    </w:p>
    <w:p w14:paraId="1C6B89A7"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kern w:val="2"/>
        </w:rPr>
        <w:t>Removal of sampling for the Yellow Leaf Virus in the field, 909ER, 1397N</w:t>
      </w:r>
    </w:p>
    <w:p w14:paraId="648C8D4E" w14:textId="77777777" w:rsidR="00E27BA1" w:rsidRPr="00E27BA1" w:rsidRDefault="00E27BA1" w:rsidP="00E27BA1">
      <w:pPr>
        <w:keepNext/>
        <w:tabs>
          <w:tab w:val="left" w:pos="144"/>
          <w:tab w:val="left" w:pos="187"/>
          <w:tab w:val="left" w:pos="540"/>
          <w:tab w:val="left" w:pos="907"/>
          <w:tab w:val="left" w:pos="1080"/>
        </w:tabs>
        <w:ind w:firstLine="270"/>
        <w:jc w:val="both"/>
        <w:outlineLvl w:val="3"/>
        <w:rPr>
          <w:b/>
          <w:kern w:val="2"/>
          <w:lang w:eastAsia="x-none"/>
        </w:rPr>
      </w:pPr>
      <w:r w:rsidRPr="00E27BA1">
        <w:rPr>
          <w:b/>
          <w:kern w:val="2"/>
          <w:lang w:eastAsia="x-none"/>
        </w:rPr>
        <w:t>Horticulture Commission</w:t>
      </w:r>
    </w:p>
    <w:p w14:paraId="7F15C7AB"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kern w:val="2"/>
        </w:rPr>
        <w:t>Nursery stock quarantines and horticulture, 348R</w:t>
      </w:r>
    </w:p>
    <w:p w14:paraId="0199DF44" w14:textId="77777777" w:rsidR="00E27BA1" w:rsidRPr="00E27BA1" w:rsidRDefault="00E27BA1" w:rsidP="00E27BA1">
      <w:pPr>
        <w:keepNext/>
        <w:tabs>
          <w:tab w:val="left" w:pos="144"/>
          <w:tab w:val="left" w:pos="187"/>
          <w:tab w:val="left" w:pos="540"/>
          <w:tab w:val="left" w:pos="907"/>
          <w:tab w:val="left" w:pos="1080"/>
        </w:tabs>
        <w:ind w:firstLine="270"/>
        <w:jc w:val="both"/>
        <w:outlineLvl w:val="3"/>
        <w:rPr>
          <w:b/>
          <w:kern w:val="2"/>
          <w:lang w:eastAsia="x-none"/>
        </w:rPr>
      </w:pPr>
      <w:r w:rsidRPr="00E27BA1">
        <w:rPr>
          <w:b/>
          <w:kern w:val="2"/>
          <w:lang w:eastAsia="x-none"/>
        </w:rPr>
        <w:t>Structural Pest Control Commission</w:t>
      </w:r>
    </w:p>
    <w:p w14:paraId="0716D5CD"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Approved termiticides and manufacturers, 320P</w:t>
      </w:r>
    </w:p>
    <w:p w14:paraId="1214BF64"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Obligation of the licensee/permittee and enforcement, 349R</w:t>
      </w:r>
    </w:p>
    <w:p w14:paraId="40FF1ADC"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Structural Pest Control Commission, 1200N</w:t>
      </w:r>
    </w:p>
    <w:p w14:paraId="15B63C9C" w14:textId="77777777" w:rsidR="00E27BA1" w:rsidRPr="00E27BA1" w:rsidRDefault="00E27BA1" w:rsidP="00E27BA1">
      <w:pPr>
        <w:keepNext/>
        <w:tabs>
          <w:tab w:val="left" w:pos="144"/>
          <w:tab w:val="left" w:pos="187"/>
          <w:tab w:val="left" w:pos="540"/>
          <w:tab w:val="left" w:pos="907"/>
          <w:tab w:val="left" w:pos="1080"/>
        </w:tabs>
        <w:ind w:firstLine="187"/>
        <w:jc w:val="both"/>
        <w:outlineLvl w:val="3"/>
        <w:rPr>
          <w:b/>
          <w:kern w:val="2"/>
          <w:lang w:eastAsia="x-none"/>
        </w:rPr>
      </w:pPr>
      <w:r w:rsidRPr="00E27BA1">
        <w:rPr>
          <w:b/>
          <w:kern w:val="2"/>
          <w:lang w:eastAsia="x-none"/>
        </w:rPr>
        <w:t>Agricultural Finance Authority</w:t>
      </w:r>
    </w:p>
    <w:p w14:paraId="0B3FDDD4" w14:textId="77777777" w:rsidR="00E27BA1" w:rsidRPr="00E27BA1" w:rsidRDefault="00E27BA1" w:rsidP="00E27BA1">
      <w:pPr>
        <w:tabs>
          <w:tab w:val="left" w:pos="720"/>
          <w:tab w:val="left" w:pos="979"/>
          <w:tab w:val="left" w:pos="1152"/>
        </w:tabs>
        <w:ind w:left="450" w:hanging="90"/>
        <w:jc w:val="both"/>
        <w:outlineLvl w:val="4"/>
        <w:rPr>
          <w:b/>
          <w:kern w:val="2"/>
        </w:rPr>
      </w:pPr>
      <w:r w:rsidRPr="00E27BA1">
        <w:rPr>
          <w:kern w:val="2"/>
        </w:rPr>
        <w:t>Louisiana Agricultural Workforce Development Program, 376N, 1117R</w:t>
      </w:r>
    </w:p>
    <w:p w14:paraId="2C2DC77D" w14:textId="77777777" w:rsidR="00E27BA1" w:rsidRPr="00E27BA1" w:rsidRDefault="00E27BA1" w:rsidP="00E27BA1">
      <w:pPr>
        <w:keepNext/>
        <w:tabs>
          <w:tab w:val="left" w:pos="144"/>
          <w:tab w:val="left" w:pos="187"/>
          <w:tab w:val="left" w:pos="540"/>
          <w:tab w:val="left" w:pos="907"/>
          <w:tab w:val="left" w:pos="1080"/>
        </w:tabs>
        <w:ind w:firstLine="187"/>
        <w:jc w:val="both"/>
        <w:outlineLvl w:val="3"/>
        <w:rPr>
          <w:b/>
          <w:kern w:val="2"/>
          <w:lang w:eastAsia="x-none"/>
        </w:rPr>
      </w:pPr>
      <w:r w:rsidRPr="00E27BA1">
        <w:rPr>
          <w:b/>
          <w:kern w:val="2"/>
          <w:lang w:eastAsia="x-none"/>
        </w:rPr>
        <w:t>Agro-Consumer Services, Office of</w:t>
      </w:r>
    </w:p>
    <w:p w14:paraId="734AC619" w14:textId="77777777" w:rsidR="00E27BA1" w:rsidRPr="00E27BA1" w:rsidRDefault="00E27BA1" w:rsidP="00E27BA1">
      <w:pPr>
        <w:tabs>
          <w:tab w:val="left" w:pos="720"/>
          <w:tab w:val="left" w:pos="979"/>
          <w:tab w:val="left" w:pos="1152"/>
        </w:tabs>
        <w:ind w:firstLine="270"/>
        <w:jc w:val="both"/>
        <w:outlineLvl w:val="4"/>
        <w:rPr>
          <w:b/>
          <w:kern w:val="2"/>
        </w:rPr>
      </w:pPr>
      <w:r w:rsidRPr="00E27BA1">
        <w:rPr>
          <w:b/>
          <w:kern w:val="2"/>
        </w:rPr>
        <w:t>Weights and Measures, Division of</w:t>
      </w:r>
    </w:p>
    <w:p w14:paraId="169E960F"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Imported seafood safety, 1354N, 2032R</w:t>
      </w:r>
    </w:p>
    <w:p w14:paraId="5CEF835B"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Seafood consumer protection, 29R</w:t>
      </w:r>
    </w:p>
    <w:p w14:paraId="6B8F25F4"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Suspension of standard fuel specifications for gasoline and gasoline-oxygenate blends, 652ER</w:t>
      </w:r>
    </w:p>
    <w:p w14:paraId="6DAFF10E" w14:textId="77777777" w:rsidR="00E27BA1" w:rsidRPr="00E27BA1" w:rsidRDefault="00E27BA1" w:rsidP="00E27BA1">
      <w:pPr>
        <w:keepNext/>
        <w:tabs>
          <w:tab w:val="left" w:pos="144"/>
          <w:tab w:val="left" w:pos="187"/>
          <w:tab w:val="left" w:pos="540"/>
          <w:tab w:val="left" w:pos="907"/>
          <w:tab w:val="left" w:pos="1080"/>
        </w:tabs>
        <w:ind w:firstLine="187"/>
        <w:jc w:val="both"/>
        <w:outlineLvl w:val="3"/>
        <w:rPr>
          <w:b/>
          <w:bCs/>
          <w:kern w:val="2"/>
          <w:lang w:val="x-none" w:eastAsia="x-none"/>
        </w:rPr>
      </w:pPr>
      <w:r w:rsidRPr="00E27BA1">
        <w:rPr>
          <w:b/>
          <w:kern w:val="2"/>
          <w:lang w:eastAsia="x-none"/>
        </w:rPr>
        <w:t>Commissioner</w:t>
      </w:r>
      <w:r w:rsidRPr="00E27BA1">
        <w:rPr>
          <w:b/>
          <w:bCs/>
          <w:kern w:val="2"/>
          <w:lang w:val="x-none" w:eastAsia="x-none"/>
        </w:rPr>
        <w:t>, Office of the</w:t>
      </w:r>
    </w:p>
    <w:p w14:paraId="11BFAA30"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Gypsum, 24R</w:t>
      </w:r>
    </w:p>
    <w:p w14:paraId="00F0AFE9" w14:textId="77777777" w:rsidR="00E27BA1" w:rsidRPr="00E27BA1" w:rsidRDefault="00E27BA1" w:rsidP="00E27BA1">
      <w:pPr>
        <w:keepNext/>
        <w:tabs>
          <w:tab w:val="left" w:pos="144"/>
          <w:tab w:val="left" w:pos="187"/>
          <w:tab w:val="left" w:pos="540"/>
          <w:tab w:val="left" w:pos="907"/>
          <w:tab w:val="left" w:pos="1080"/>
        </w:tabs>
        <w:ind w:firstLine="187"/>
        <w:jc w:val="both"/>
        <w:outlineLvl w:val="3"/>
        <w:rPr>
          <w:b/>
          <w:kern w:val="2"/>
          <w:lang w:eastAsia="x-none"/>
        </w:rPr>
      </w:pPr>
      <w:r w:rsidRPr="00E27BA1">
        <w:rPr>
          <w:b/>
          <w:kern w:val="2"/>
          <w:lang w:eastAsia="x-none"/>
        </w:rPr>
        <w:br w:type="column"/>
      </w:r>
      <w:r w:rsidRPr="00E27BA1">
        <w:rPr>
          <w:b/>
          <w:kern w:val="2"/>
          <w:lang w:eastAsia="x-none"/>
        </w:rPr>
        <w:t>Veterinary Medicine, Board of</w:t>
      </w:r>
    </w:p>
    <w:p w14:paraId="2C992129"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Board meeting dates, 187P</w:t>
      </w:r>
    </w:p>
    <w:p w14:paraId="0999FF7C"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Board nominations, 187P</w:t>
      </w:r>
    </w:p>
    <w:p w14:paraId="73EAF200"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Disciplinary proceedings, 1196N</w:t>
      </w:r>
    </w:p>
    <w:p w14:paraId="1752EA2B"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Examination dates, 187P</w:t>
      </w:r>
    </w:p>
    <w:p w14:paraId="62EE2EBD"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Fees, 761N, 1325R</w:t>
      </w:r>
    </w:p>
    <w:p w14:paraId="6683EE90"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Certified animal euthanasia technicians, 763N, 1326R</w:t>
      </w:r>
    </w:p>
    <w:p w14:paraId="6E63E559"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Licensing and continuing education</w:t>
      </w:r>
    </w:p>
    <w:p w14:paraId="09627BC6"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CAETs, 210R</w:t>
      </w:r>
    </w:p>
    <w:p w14:paraId="223318E6"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DVMs, 210R</w:t>
      </w:r>
    </w:p>
    <w:p w14:paraId="1D4EEB5A"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RVTs, 210R</w:t>
      </w:r>
    </w:p>
    <w:p w14:paraId="77A78D38"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Licensing procedures, 515N, 1327R</w:t>
      </w:r>
    </w:p>
    <w:p w14:paraId="71E1A004"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Maintenance and security of sodium pentobarbital, and responsibilities of a lead CAET, 1198N</w:t>
      </w:r>
    </w:p>
    <w:p w14:paraId="77C4B143"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Pre-euthanasia restraint, 1327R</w:t>
      </w:r>
    </w:p>
    <w:p w14:paraId="4FD14243"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Rules for professional conduct, 764N, 1327R</w:t>
      </w:r>
    </w:p>
    <w:p w14:paraId="29E7E5F9"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Zoo personnel, 378N, 1118R</w:t>
      </w:r>
    </w:p>
    <w:p w14:paraId="406E4EEF"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p>
    <w:p w14:paraId="62D6F99E"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p>
    <w:p w14:paraId="6C331795"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p>
    <w:p w14:paraId="7F1CB2A0" w14:textId="77777777" w:rsidR="00E27BA1" w:rsidRPr="00E27BA1" w:rsidRDefault="00E27BA1" w:rsidP="00E27BA1">
      <w:pPr>
        <w:keepNext/>
        <w:jc w:val="center"/>
        <w:rPr>
          <w:b/>
          <w:kern w:val="28"/>
        </w:rPr>
      </w:pPr>
      <w:r w:rsidRPr="00E27BA1">
        <w:rPr>
          <w:b/>
          <w:kern w:val="28"/>
        </w:rPr>
        <w:t>CHILDREN AND FAMILY SERVICES</w:t>
      </w:r>
    </w:p>
    <w:p w14:paraId="0AFD9BF0"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Temporary Assistance for Needy Families (TANF)</w:t>
      </w:r>
    </w:p>
    <w:p w14:paraId="3E540ABF"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Caseload reduction credit for FFY 26, 321P</w:t>
      </w:r>
    </w:p>
    <w:p w14:paraId="392D22F2" w14:textId="77777777" w:rsidR="00E27BA1" w:rsidRPr="00E27BA1" w:rsidRDefault="00E27BA1" w:rsidP="00E27BA1">
      <w:pPr>
        <w:keepNext/>
        <w:tabs>
          <w:tab w:val="left" w:pos="144"/>
          <w:tab w:val="left" w:pos="187"/>
          <w:tab w:val="left" w:pos="540"/>
          <w:tab w:val="left" w:pos="907"/>
          <w:tab w:val="left" w:pos="1080"/>
        </w:tabs>
        <w:ind w:firstLine="187"/>
        <w:jc w:val="both"/>
        <w:outlineLvl w:val="3"/>
        <w:rPr>
          <w:rFonts w:eastAsia="Calibri"/>
          <w:b/>
          <w:kern w:val="2"/>
          <w:lang w:eastAsia="x-none"/>
        </w:rPr>
      </w:pPr>
      <w:r w:rsidRPr="00E27BA1">
        <w:rPr>
          <w:rFonts w:eastAsia="Calibri"/>
          <w:b/>
          <w:kern w:val="2"/>
          <w:lang w:eastAsia="x-none"/>
        </w:rPr>
        <w:t>Child Welfare, Division of</w:t>
      </w:r>
    </w:p>
    <w:p w14:paraId="13A2646D"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Louisiana pregnancy and baby care initiative, 247N, 665R</w:t>
      </w:r>
    </w:p>
    <w:p w14:paraId="57F35A26" w14:textId="77777777" w:rsidR="00E27BA1" w:rsidRPr="00E27BA1" w:rsidRDefault="00E27BA1" w:rsidP="00E27BA1">
      <w:pPr>
        <w:keepNext/>
        <w:tabs>
          <w:tab w:val="left" w:pos="144"/>
          <w:tab w:val="left" w:pos="187"/>
          <w:tab w:val="left" w:pos="540"/>
          <w:tab w:val="left" w:pos="907"/>
          <w:tab w:val="left" w:pos="1080"/>
        </w:tabs>
        <w:ind w:firstLine="187"/>
        <w:jc w:val="both"/>
        <w:outlineLvl w:val="3"/>
        <w:rPr>
          <w:rFonts w:eastAsia="Calibri"/>
          <w:b/>
          <w:kern w:val="2"/>
          <w:lang w:val="x-none" w:eastAsia="x-none"/>
        </w:rPr>
      </w:pPr>
      <w:r w:rsidRPr="00E27BA1">
        <w:rPr>
          <w:rFonts w:eastAsia="Calibri"/>
          <w:b/>
          <w:kern w:val="2"/>
          <w:lang w:val="x-none" w:eastAsia="x-none"/>
        </w:rPr>
        <w:t>Management and Finance, Office of</w:t>
      </w:r>
    </w:p>
    <w:p w14:paraId="2DD6589F"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Criminal background and state central registry checks, 1320ER</w:t>
      </w:r>
    </w:p>
    <w:p w14:paraId="1312860F"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Substance abuse testing, 1398N</w:t>
      </w:r>
    </w:p>
    <w:p w14:paraId="48ADAD10"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eastAsia="x-none"/>
        </w:rPr>
      </w:pPr>
    </w:p>
    <w:p w14:paraId="49D520D2"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eastAsia="x-none"/>
        </w:rPr>
      </w:pPr>
    </w:p>
    <w:p w14:paraId="1058E23F"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eastAsia="x-none"/>
        </w:rPr>
      </w:pPr>
    </w:p>
    <w:p w14:paraId="3CEC4914" w14:textId="77777777" w:rsidR="00E27BA1" w:rsidRPr="00E27BA1" w:rsidRDefault="00E27BA1" w:rsidP="00E27BA1">
      <w:pPr>
        <w:keepNext/>
        <w:jc w:val="center"/>
        <w:rPr>
          <w:b/>
          <w:kern w:val="28"/>
        </w:rPr>
      </w:pPr>
      <w:r w:rsidRPr="00E27BA1">
        <w:rPr>
          <w:b/>
          <w:kern w:val="28"/>
        </w:rPr>
        <w:t>CIVIL SERVICE</w:t>
      </w:r>
    </w:p>
    <w:p w14:paraId="4FBC54F6" w14:textId="77777777" w:rsidR="00E27BA1" w:rsidRPr="00E27BA1" w:rsidRDefault="00E27BA1" w:rsidP="00E27BA1">
      <w:pPr>
        <w:keepNext/>
        <w:tabs>
          <w:tab w:val="left" w:pos="144"/>
          <w:tab w:val="left" w:pos="187"/>
          <w:tab w:val="left" w:pos="540"/>
          <w:tab w:val="left" w:pos="907"/>
          <w:tab w:val="left" w:pos="1080"/>
        </w:tabs>
        <w:ind w:firstLine="187"/>
        <w:jc w:val="both"/>
        <w:outlineLvl w:val="3"/>
        <w:rPr>
          <w:rFonts w:eastAsia="Calibri"/>
          <w:b/>
          <w:kern w:val="2"/>
          <w:lang w:eastAsia="x-none"/>
        </w:rPr>
      </w:pPr>
      <w:r w:rsidRPr="00E27BA1">
        <w:rPr>
          <w:rFonts w:eastAsia="Calibri"/>
          <w:b/>
          <w:kern w:val="2"/>
          <w:lang w:eastAsia="x-none"/>
        </w:rPr>
        <w:t>Administrative Law, Division of</w:t>
      </w:r>
    </w:p>
    <w:p w14:paraId="07145343"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Notice of public hearing</w:t>
      </w:r>
    </w:p>
    <w:p w14:paraId="31CAE86A" w14:textId="77777777" w:rsidR="00E27BA1" w:rsidRPr="00E27BA1" w:rsidRDefault="00E27BA1" w:rsidP="00E27BA1">
      <w:pPr>
        <w:tabs>
          <w:tab w:val="left" w:pos="720"/>
          <w:tab w:val="left" w:pos="979"/>
          <w:tab w:val="left" w:pos="1152"/>
        </w:tabs>
        <w:ind w:left="450"/>
        <w:jc w:val="both"/>
        <w:outlineLvl w:val="4"/>
        <w:rPr>
          <w:rFonts w:eastAsia="Calibri"/>
          <w:bCs/>
          <w:kern w:val="2"/>
        </w:rPr>
      </w:pPr>
      <w:r w:rsidRPr="00E27BA1">
        <w:rPr>
          <w:rFonts w:eastAsia="Calibri"/>
          <w:bCs/>
          <w:kern w:val="2"/>
        </w:rPr>
        <w:t>Request for comments on rulemaking, 436P</w:t>
      </w:r>
    </w:p>
    <w:p w14:paraId="5042F164" w14:textId="77777777" w:rsidR="00E27BA1" w:rsidRPr="00E27BA1" w:rsidRDefault="00E27BA1" w:rsidP="00E27BA1">
      <w:pPr>
        <w:keepNext/>
        <w:tabs>
          <w:tab w:val="left" w:pos="144"/>
          <w:tab w:val="left" w:pos="187"/>
          <w:tab w:val="left" w:pos="540"/>
          <w:tab w:val="left" w:pos="907"/>
          <w:tab w:val="left" w:pos="1080"/>
        </w:tabs>
        <w:ind w:firstLine="187"/>
        <w:jc w:val="both"/>
        <w:outlineLvl w:val="3"/>
        <w:rPr>
          <w:rFonts w:eastAsia="Calibri"/>
          <w:b/>
          <w:kern w:val="2"/>
          <w:lang w:eastAsia="x-none"/>
        </w:rPr>
      </w:pPr>
      <w:r w:rsidRPr="00E27BA1">
        <w:rPr>
          <w:rFonts w:eastAsia="Calibri"/>
          <w:b/>
          <w:kern w:val="2"/>
          <w:lang w:eastAsia="x-none"/>
        </w:rPr>
        <w:t>Ethics, Board of</w:t>
      </w:r>
    </w:p>
    <w:p w14:paraId="33335CB9"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Food and drink limit, 516N, 1118R</w:t>
      </w:r>
    </w:p>
    <w:p w14:paraId="5479056A"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sz w:val="18"/>
          <w:szCs w:val="18"/>
          <w:lang w:eastAsia="x-none"/>
        </w:rPr>
      </w:pPr>
    </w:p>
    <w:p w14:paraId="41D1960A"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sz w:val="18"/>
          <w:szCs w:val="18"/>
          <w:lang w:eastAsia="x-none"/>
        </w:rPr>
      </w:pPr>
    </w:p>
    <w:p w14:paraId="2075D201"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sz w:val="18"/>
          <w:szCs w:val="18"/>
          <w:lang w:eastAsia="x-none"/>
        </w:rPr>
      </w:pPr>
    </w:p>
    <w:p w14:paraId="63063811" w14:textId="77777777" w:rsidR="00E27BA1" w:rsidRPr="00E27BA1" w:rsidRDefault="00E27BA1" w:rsidP="00E27BA1">
      <w:pPr>
        <w:keepNext/>
        <w:jc w:val="center"/>
        <w:rPr>
          <w:b/>
          <w:kern w:val="28"/>
        </w:rPr>
      </w:pPr>
      <w:r w:rsidRPr="00E27BA1">
        <w:rPr>
          <w:b/>
          <w:kern w:val="28"/>
        </w:rPr>
        <w:t>CONCURRENT RESOLUTIONS</w:t>
      </w:r>
    </w:p>
    <w:p w14:paraId="00A1DDDD" w14:textId="77777777" w:rsidR="00E27BA1" w:rsidRPr="00E27BA1" w:rsidRDefault="00E27BA1" w:rsidP="00E27BA1">
      <w:pPr>
        <w:keepNext/>
        <w:tabs>
          <w:tab w:val="left" w:pos="144"/>
          <w:tab w:val="left" w:pos="187"/>
          <w:tab w:val="left" w:pos="540"/>
          <w:tab w:val="left" w:pos="907"/>
          <w:tab w:val="left" w:pos="1080"/>
        </w:tabs>
        <w:ind w:firstLine="187"/>
        <w:jc w:val="both"/>
        <w:outlineLvl w:val="3"/>
        <w:rPr>
          <w:rFonts w:eastAsia="Calibri"/>
          <w:b/>
          <w:kern w:val="2"/>
          <w:lang w:eastAsia="x-none"/>
        </w:rPr>
      </w:pPr>
      <w:r w:rsidRPr="00E27BA1">
        <w:rPr>
          <w:rFonts w:eastAsia="Calibri"/>
          <w:b/>
          <w:kern w:val="2"/>
          <w:lang w:eastAsia="x-none"/>
        </w:rPr>
        <w:t>House of Representatives</w:t>
      </w:r>
    </w:p>
    <w:p w14:paraId="5CC91A29" w14:textId="77777777" w:rsidR="00E27BA1" w:rsidRPr="00E27BA1" w:rsidRDefault="00E27BA1" w:rsidP="00E27BA1">
      <w:pPr>
        <w:keepNext/>
        <w:tabs>
          <w:tab w:val="left" w:pos="144"/>
          <w:tab w:val="left" w:pos="187"/>
          <w:tab w:val="left" w:pos="540"/>
          <w:tab w:val="left" w:pos="907"/>
          <w:tab w:val="left" w:pos="1080"/>
        </w:tabs>
        <w:ind w:firstLine="270"/>
        <w:jc w:val="both"/>
        <w:outlineLvl w:val="3"/>
        <w:rPr>
          <w:b/>
          <w:kern w:val="2"/>
          <w:lang w:eastAsia="x-none"/>
        </w:rPr>
      </w:pPr>
      <w:r w:rsidRPr="00E27BA1">
        <w:rPr>
          <w:b/>
          <w:kern w:val="2"/>
          <w:lang w:eastAsia="x-none"/>
        </w:rPr>
        <w:t>Concurrent Resolution No. 5</w:t>
      </w:r>
    </w:p>
    <w:p w14:paraId="29FD7D8D"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 xml:space="preserve">Red </w:t>
      </w:r>
      <w:r w:rsidRPr="00E27BA1">
        <w:rPr>
          <w:rFonts w:eastAsia="Calibri"/>
          <w:bCs/>
          <w:kern w:val="2"/>
        </w:rPr>
        <w:t>Drum</w:t>
      </w:r>
      <w:r w:rsidRPr="00E27BA1">
        <w:rPr>
          <w:kern w:val="2"/>
        </w:rPr>
        <w:t>—Harvest Regulations (LAC 76:VII.363), 1075CR</w:t>
      </w:r>
    </w:p>
    <w:p w14:paraId="7CC64351" w14:textId="77777777" w:rsidR="00E27BA1" w:rsidRPr="00E27BA1" w:rsidRDefault="00E27BA1" w:rsidP="00E27BA1">
      <w:pPr>
        <w:keepNext/>
        <w:tabs>
          <w:tab w:val="left" w:pos="144"/>
          <w:tab w:val="left" w:pos="187"/>
          <w:tab w:val="left" w:pos="540"/>
          <w:tab w:val="left" w:pos="907"/>
          <w:tab w:val="left" w:pos="1080"/>
        </w:tabs>
        <w:ind w:firstLine="270"/>
        <w:jc w:val="both"/>
        <w:outlineLvl w:val="3"/>
        <w:rPr>
          <w:b/>
          <w:kern w:val="2"/>
          <w:lang w:eastAsia="x-none"/>
        </w:rPr>
      </w:pPr>
      <w:r w:rsidRPr="00E27BA1">
        <w:rPr>
          <w:b/>
          <w:kern w:val="2"/>
          <w:lang w:eastAsia="x-none"/>
        </w:rPr>
        <w:t>Concurrent Resolution No. 41</w:t>
      </w:r>
    </w:p>
    <w:p w14:paraId="5D116400"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 xml:space="preserve">Red </w:t>
      </w:r>
      <w:r w:rsidRPr="00E27BA1">
        <w:rPr>
          <w:rFonts w:eastAsia="Calibri"/>
          <w:bCs/>
          <w:kern w:val="2"/>
        </w:rPr>
        <w:t>Drum</w:t>
      </w:r>
      <w:r w:rsidRPr="00E27BA1">
        <w:rPr>
          <w:kern w:val="2"/>
        </w:rPr>
        <w:t>—Harvest Regulations (LAC 76:VII.363), 1457CR</w:t>
      </w:r>
    </w:p>
    <w:p w14:paraId="7F362B4A" w14:textId="77777777" w:rsidR="00E27BA1" w:rsidRPr="00E27BA1" w:rsidRDefault="00E27BA1" w:rsidP="00E27BA1">
      <w:pPr>
        <w:keepNext/>
        <w:tabs>
          <w:tab w:val="left" w:pos="144"/>
          <w:tab w:val="left" w:pos="187"/>
          <w:tab w:val="left" w:pos="540"/>
          <w:tab w:val="left" w:pos="907"/>
          <w:tab w:val="left" w:pos="1080"/>
        </w:tabs>
        <w:ind w:firstLine="187"/>
        <w:jc w:val="both"/>
        <w:outlineLvl w:val="3"/>
        <w:rPr>
          <w:rFonts w:eastAsia="Calibri"/>
          <w:b/>
          <w:kern w:val="2"/>
          <w:lang w:eastAsia="x-none"/>
        </w:rPr>
      </w:pPr>
      <w:r w:rsidRPr="00E27BA1">
        <w:rPr>
          <w:rFonts w:eastAsia="Calibri"/>
          <w:b/>
          <w:kern w:val="2"/>
          <w:lang w:eastAsia="x-none"/>
        </w:rPr>
        <w:t>Senate</w:t>
      </w:r>
    </w:p>
    <w:p w14:paraId="5C27A72C" w14:textId="77777777" w:rsidR="00E27BA1" w:rsidRPr="00E27BA1" w:rsidRDefault="00E27BA1" w:rsidP="00E27BA1">
      <w:pPr>
        <w:keepNext/>
        <w:tabs>
          <w:tab w:val="left" w:pos="144"/>
          <w:tab w:val="left" w:pos="187"/>
          <w:tab w:val="left" w:pos="540"/>
          <w:tab w:val="left" w:pos="907"/>
          <w:tab w:val="left" w:pos="1080"/>
        </w:tabs>
        <w:ind w:firstLine="270"/>
        <w:jc w:val="both"/>
        <w:outlineLvl w:val="3"/>
        <w:rPr>
          <w:b/>
          <w:kern w:val="2"/>
          <w:lang w:eastAsia="x-none"/>
        </w:rPr>
      </w:pPr>
      <w:r w:rsidRPr="00E27BA1">
        <w:rPr>
          <w:b/>
          <w:kern w:val="2"/>
          <w:lang w:eastAsia="x-none"/>
        </w:rPr>
        <w:t>Concurrent Resolution No. 2</w:t>
      </w:r>
    </w:p>
    <w:p w14:paraId="78453566"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Licensing Process (LAC 48:I.9305), 1075CR</w:t>
      </w:r>
    </w:p>
    <w:p w14:paraId="121E71E9" w14:textId="77777777" w:rsidR="00E27BA1" w:rsidRPr="00E27BA1" w:rsidRDefault="00E27BA1" w:rsidP="00E27BA1">
      <w:pPr>
        <w:keepNext/>
        <w:tabs>
          <w:tab w:val="left" w:pos="144"/>
          <w:tab w:val="left" w:pos="187"/>
          <w:tab w:val="left" w:pos="540"/>
          <w:tab w:val="left" w:pos="907"/>
          <w:tab w:val="left" w:pos="1080"/>
        </w:tabs>
        <w:ind w:firstLine="270"/>
        <w:jc w:val="both"/>
        <w:outlineLvl w:val="3"/>
        <w:rPr>
          <w:b/>
          <w:kern w:val="2"/>
          <w:lang w:eastAsia="x-none"/>
        </w:rPr>
      </w:pPr>
      <w:r w:rsidRPr="00E27BA1">
        <w:rPr>
          <w:b/>
          <w:kern w:val="2"/>
          <w:lang w:eastAsia="x-none"/>
        </w:rPr>
        <w:t>Concurrent Resolution No. 3</w:t>
      </w:r>
    </w:p>
    <w:p w14:paraId="3504A1D5"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 xml:space="preserve">Request for Criminal History Information </w:t>
      </w:r>
    </w:p>
    <w:p w14:paraId="0DC125F9"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(LAC 55:I.207), 1076CR</w:t>
      </w:r>
    </w:p>
    <w:p w14:paraId="45DA80C5" w14:textId="77777777" w:rsidR="00E27BA1" w:rsidRPr="00E27BA1" w:rsidRDefault="00E27BA1" w:rsidP="00E27BA1">
      <w:pPr>
        <w:keepNext/>
        <w:tabs>
          <w:tab w:val="left" w:pos="144"/>
          <w:tab w:val="left" w:pos="187"/>
          <w:tab w:val="left" w:pos="540"/>
          <w:tab w:val="left" w:pos="907"/>
          <w:tab w:val="left" w:pos="1080"/>
        </w:tabs>
        <w:ind w:firstLine="270"/>
        <w:jc w:val="both"/>
        <w:outlineLvl w:val="3"/>
        <w:rPr>
          <w:b/>
          <w:kern w:val="2"/>
          <w:lang w:eastAsia="x-none"/>
        </w:rPr>
      </w:pPr>
      <w:r w:rsidRPr="00E27BA1">
        <w:rPr>
          <w:b/>
          <w:kern w:val="2"/>
          <w:lang w:eastAsia="x-none"/>
        </w:rPr>
        <w:t>Concurrent Resolution No. 24</w:t>
      </w:r>
    </w:p>
    <w:p w14:paraId="6A8AF20F"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Rules and Regulations for Chronic Wasting Disease Control Areas (LAC 76:V.137), 1076CR</w:t>
      </w:r>
    </w:p>
    <w:p w14:paraId="6F752A40" w14:textId="77777777" w:rsidR="00E27BA1" w:rsidRPr="00E27BA1" w:rsidRDefault="00E27BA1" w:rsidP="00E27BA1">
      <w:pPr>
        <w:keepNext/>
        <w:jc w:val="center"/>
        <w:rPr>
          <w:b/>
          <w:kern w:val="28"/>
        </w:rPr>
      </w:pPr>
      <w:r w:rsidRPr="00E27BA1">
        <w:rPr>
          <w:b/>
          <w:kern w:val="28"/>
        </w:rPr>
        <w:lastRenderedPageBreak/>
        <w:t>CONSERVATION AND ENERGY</w:t>
      </w:r>
    </w:p>
    <w:p w14:paraId="7CE2BC4D" w14:textId="77777777" w:rsidR="00E27BA1" w:rsidRPr="00E27BA1" w:rsidRDefault="00E27BA1" w:rsidP="00E27BA1">
      <w:pPr>
        <w:keepNext/>
        <w:tabs>
          <w:tab w:val="left" w:pos="144"/>
          <w:tab w:val="left" w:pos="187"/>
          <w:tab w:val="left" w:pos="540"/>
          <w:tab w:val="left" w:pos="907"/>
          <w:tab w:val="left" w:pos="1080"/>
        </w:tabs>
        <w:ind w:firstLine="187"/>
        <w:jc w:val="both"/>
        <w:outlineLvl w:val="3"/>
        <w:rPr>
          <w:rFonts w:eastAsia="Calibri"/>
          <w:b/>
          <w:kern w:val="2"/>
          <w:lang w:eastAsia="x-none"/>
        </w:rPr>
      </w:pPr>
      <w:r w:rsidRPr="00E27BA1">
        <w:rPr>
          <w:rFonts w:eastAsia="Calibri"/>
          <w:b/>
          <w:kern w:val="2"/>
          <w:lang w:eastAsia="x-none"/>
        </w:rPr>
        <w:t>Enforcement, Office of</w:t>
      </w:r>
    </w:p>
    <w:p w14:paraId="215EDB46" w14:textId="77777777" w:rsidR="00E27BA1" w:rsidRPr="00E27BA1" w:rsidRDefault="00E27BA1" w:rsidP="00E27BA1">
      <w:pPr>
        <w:tabs>
          <w:tab w:val="left" w:pos="720"/>
          <w:tab w:val="left" w:pos="979"/>
          <w:tab w:val="left" w:pos="1152"/>
        </w:tabs>
        <w:ind w:left="450" w:hanging="90"/>
        <w:jc w:val="both"/>
        <w:outlineLvl w:val="4"/>
        <w:rPr>
          <w:rFonts w:eastAsia="Calibri"/>
          <w:bCs/>
          <w:kern w:val="2"/>
        </w:rPr>
      </w:pPr>
      <w:r w:rsidRPr="00E27BA1">
        <w:rPr>
          <w:rFonts w:eastAsia="Calibri"/>
          <w:bCs/>
          <w:kern w:val="2"/>
        </w:rPr>
        <w:t>Orphaned oilfield sites, 187P, 436P, 874P, 1081P, 1119P, 1296P</w:t>
      </w:r>
    </w:p>
    <w:p w14:paraId="4F0EC54D" w14:textId="77777777" w:rsidR="00E27BA1" w:rsidRPr="00E27BA1" w:rsidRDefault="00E27BA1" w:rsidP="00E27BA1">
      <w:pPr>
        <w:keepNext/>
        <w:tabs>
          <w:tab w:val="left" w:pos="144"/>
          <w:tab w:val="left" w:pos="187"/>
          <w:tab w:val="left" w:pos="540"/>
          <w:tab w:val="left" w:pos="907"/>
          <w:tab w:val="left" w:pos="1080"/>
        </w:tabs>
        <w:ind w:firstLine="187"/>
        <w:jc w:val="both"/>
        <w:outlineLvl w:val="3"/>
        <w:rPr>
          <w:rFonts w:eastAsia="Calibri"/>
          <w:b/>
          <w:kern w:val="2"/>
          <w:lang w:eastAsia="x-none"/>
        </w:rPr>
      </w:pPr>
      <w:r w:rsidRPr="00E27BA1">
        <w:rPr>
          <w:rFonts w:eastAsia="Calibri"/>
          <w:b/>
          <w:kern w:val="2"/>
          <w:lang w:eastAsia="x-none"/>
        </w:rPr>
        <w:t>Oil Spill Coordinator’s Office</w:t>
      </w:r>
    </w:p>
    <w:p w14:paraId="04B3EFA5" w14:textId="77777777" w:rsidR="00E27BA1" w:rsidRPr="00E27BA1" w:rsidRDefault="00E27BA1" w:rsidP="00E27BA1">
      <w:pPr>
        <w:tabs>
          <w:tab w:val="left" w:pos="720"/>
          <w:tab w:val="left" w:pos="979"/>
          <w:tab w:val="left" w:pos="1152"/>
        </w:tabs>
        <w:ind w:left="450" w:hanging="90"/>
        <w:jc w:val="both"/>
        <w:outlineLvl w:val="4"/>
        <w:rPr>
          <w:rFonts w:eastAsia="Calibri"/>
          <w:b/>
          <w:kern w:val="2"/>
        </w:rPr>
      </w:pPr>
      <w:r w:rsidRPr="00E27BA1">
        <w:rPr>
          <w:kern w:val="2"/>
        </w:rPr>
        <w:t>Notice of Damage Assessment and Restoration Plan for 2014 Bay St. Elaine Oil Spill,2016 Lake Grand Ecaille Oil Spill, 2016 Bay Long Oil Spill, and 2016 Terrebonne Bay/Timbalier Island Oil Spill, 1081P</w:t>
      </w:r>
    </w:p>
    <w:p w14:paraId="05FD4A29" w14:textId="77777777" w:rsidR="00E27BA1" w:rsidRPr="00E27BA1" w:rsidRDefault="00E27BA1" w:rsidP="00E27BA1">
      <w:pPr>
        <w:keepNext/>
        <w:tabs>
          <w:tab w:val="left" w:pos="144"/>
          <w:tab w:val="left" w:pos="187"/>
          <w:tab w:val="left" w:pos="540"/>
          <w:tab w:val="left" w:pos="907"/>
          <w:tab w:val="left" w:pos="1080"/>
        </w:tabs>
        <w:ind w:firstLine="187"/>
        <w:jc w:val="both"/>
        <w:outlineLvl w:val="3"/>
        <w:rPr>
          <w:rFonts w:eastAsia="Calibri"/>
          <w:b/>
          <w:kern w:val="2"/>
          <w:lang w:eastAsia="x-none"/>
        </w:rPr>
      </w:pPr>
      <w:r w:rsidRPr="00E27BA1">
        <w:rPr>
          <w:rFonts w:eastAsia="Calibri"/>
          <w:b/>
          <w:kern w:val="2"/>
          <w:lang w:eastAsia="x-none"/>
        </w:rPr>
        <w:t>Permitting and Compliance, Office of</w:t>
      </w:r>
    </w:p>
    <w:p w14:paraId="6112C9BB" w14:textId="77777777" w:rsidR="00E27BA1" w:rsidRPr="00E27BA1" w:rsidRDefault="00E27BA1" w:rsidP="00E27BA1">
      <w:pPr>
        <w:tabs>
          <w:tab w:val="left" w:pos="720"/>
          <w:tab w:val="left" w:pos="979"/>
          <w:tab w:val="left" w:pos="1152"/>
        </w:tabs>
        <w:ind w:left="450" w:hanging="90"/>
        <w:jc w:val="both"/>
        <w:outlineLvl w:val="4"/>
        <w:rPr>
          <w:rFonts w:eastAsia="Calibri"/>
          <w:bCs/>
          <w:kern w:val="2"/>
        </w:rPr>
      </w:pPr>
      <w:r w:rsidRPr="00E27BA1">
        <w:rPr>
          <w:rFonts w:eastAsia="Calibri"/>
          <w:bCs/>
          <w:kern w:val="2"/>
        </w:rPr>
        <w:t>Administration of the fisherman’s gear compensation fund, 80N, 478R</w:t>
      </w:r>
    </w:p>
    <w:p w14:paraId="28D1E5AC" w14:textId="77777777" w:rsidR="00E27BA1" w:rsidRPr="00E27BA1" w:rsidRDefault="00E27BA1" w:rsidP="00E27BA1">
      <w:pPr>
        <w:keepNext/>
        <w:tabs>
          <w:tab w:val="left" w:pos="144"/>
          <w:tab w:val="left" w:pos="187"/>
          <w:tab w:val="left" w:pos="540"/>
          <w:tab w:val="left" w:pos="907"/>
          <w:tab w:val="left" w:pos="1080"/>
        </w:tabs>
        <w:ind w:firstLine="187"/>
        <w:jc w:val="both"/>
        <w:outlineLvl w:val="3"/>
        <w:rPr>
          <w:rFonts w:eastAsia="Calibri"/>
          <w:b/>
          <w:kern w:val="2"/>
          <w:lang w:eastAsia="x-none"/>
        </w:rPr>
      </w:pPr>
      <w:r w:rsidRPr="00E27BA1">
        <w:rPr>
          <w:rFonts w:eastAsia="Calibri"/>
          <w:b/>
          <w:kern w:val="2"/>
          <w:lang w:eastAsia="x-none"/>
        </w:rPr>
        <w:t>Secretary, Office of the</w:t>
      </w:r>
    </w:p>
    <w:p w14:paraId="1764D00D"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New financial security option for oil and gas wells with requirements, 1321ER</w:t>
      </w:r>
    </w:p>
    <w:p w14:paraId="118E5107"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rFonts w:eastAsia="Calibri"/>
          <w:bCs/>
          <w:kern w:val="2"/>
        </w:rPr>
        <w:t>Notice</w:t>
      </w:r>
      <w:r w:rsidRPr="00E27BA1">
        <w:rPr>
          <w:kern w:val="2"/>
        </w:rPr>
        <w:t xml:space="preserve"> of public hearing</w:t>
      </w:r>
    </w:p>
    <w:p w14:paraId="1BC725E7" w14:textId="77777777" w:rsidR="00E27BA1" w:rsidRPr="00E27BA1" w:rsidRDefault="00E27BA1" w:rsidP="00E27BA1">
      <w:pPr>
        <w:tabs>
          <w:tab w:val="left" w:pos="720"/>
          <w:tab w:val="left" w:pos="979"/>
          <w:tab w:val="left" w:pos="1152"/>
        </w:tabs>
        <w:ind w:left="450"/>
        <w:jc w:val="both"/>
        <w:outlineLvl w:val="4"/>
        <w:rPr>
          <w:kern w:val="2"/>
        </w:rPr>
      </w:pPr>
      <w:r w:rsidRPr="00E27BA1">
        <w:rPr>
          <w:rFonts w:eastAsia="Calibri"/>
          <w:bCs/>
          <w:kern w:val="2"/>
        </w:rPr>
        <w:t>Substantive</w:t>
      </w:r>
      <w:r w:rsidRPr="00E27BA1">
        <w:rPr>
          <w:kern w:val="2"/>
        </w:rPr>
        <w:t xml:space="preserve"> changes to proposed Rule</w:t>
      </w:r>
    </w:p>
    <w:p w14:paraId="4205D6C6" w14:textId="77777777" w:rsidR="00E27BA1" w:rsidRPr="00E27BA1" w:rsidRDefault="00E27BA1" w:rsidP="00E27BA1">
      <w:pPr>
        <w:tabs>
          <w:tab w:val="left" w:pos="720"/>
          <w:tab w:val="left" w:pos="979"/>
          <w:tab w:val="left" w:pos="1152"/>
        </w:tabs>
        <w:ind w:left="630" w:hanging="90"/>
        <w:jc w:val="both"/>
        <w:outlineLvl w:val="4"/>
        <w:rPr>
          <w:kern w:val="2"/>
        </w:rPr>
      </w:pPr>
      <w:r w:rsidRPr="00E27BA1">
        <w:rPr>
          <w:rFonts w:eastAsia="Calibri"/>
          <w:bCs/>
          <w:kern w:val="2"/>
        </w:rPr>
        <w:t>Regulation</w:t>
      </w:r>
      <w:r w:rsidRPr="00E27BA1">
        <w:rPr>
          <w:kern w:val="2"/>
        </w:rPr>
        <w:t xml:space="preserve"> of Solar Power Generation Facilities, 321P</w:t>
      </w:r>
    </w:p>
    <w:p w14:paraId="750D4B2F"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Open meetings via electronic means, 212R</w:t>
      </w:r>
    </w:p>
    <w:p w14:paraId="1A0A4170"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Regulation of Solar Power Generation Facilities, 379N, 1119R</w:t>
      </w:r>
    </w:p>
    <w:p w14:paraId="167D26CE"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eastAsia="x-none"/>
        </w:rPr>
      </w:pPr>
    </w:p>
    <w:p w14:paraId="5A465A64"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eastAsia="x-none"/>
        </w:rPr>
      </w:pPr>
    </w:p>
    <w:p w14:paraId="580698F3"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eastAsia="x-none"/>
        </w:rPr>
      </w:pPr>
    </w:p>
    <w:p w14:paraId="10268E54" w14:textId="77777777" w:rsidR="00E27BA1" w:rsidRPr="00E27BA1" w:rsidRDefault="00E27BA1" w:rsidP="00E27BA1">
      <w:pPr>
        <w:keepNext/>
        <w:jc w:val="center"/>
        <w:rPr>
          <w:b/>
          <w:kern w:val="28"/>
        </w:rPr>
      </w:pPr>
      <w:r w:rsidRPr="00E27BA1">
        <w:rPr>
          <w:b/>
          <w:kern w:val="28"/>
        </w:rPr>
        <w:t>CULTURE, RECREATION, AND TOURISM</w:t>
      </w:r>
    </w:p>
    <w:p w14:paraId="322EDD25" w14:textId="77777777" w:rsidR="00E27BA1" w:rsidRPr="00E27BA1" w:rsidRDefault="00E27BA1" w:rsidP="00E27BA1">
      <w:pPr>
        <w:keepNext/>
        <w:tabs>
          <w:tab w:val="left" w:pos="144"/>
          <w:tab w:val="left" w:pos="187"/>
          <w:tab w:val="left" w:pos="540"/>
          <w:tab w:val="left" w:pos="907"/>
          <w:tab w:val="left" w:pos="1080"/>
        </w:tabs>
        <w:ind w:firstLine="187"/>
        <w:jc w:val="both"/>
        <w:outlineLvl w:val="3"/>
        <w:rPr>
          <w:b/>
          <w:kern w:val="2"/>
          <w:lang w:eastAsia="x-none"/>
        </w:rPr>
      </w:pPr>
      <w:r w:rsidRPr="00E27BA1">
        <w:rPr>
          <w:b/>
          <w:kern w:val="2"/>
          <w:lang w:eastAsia="x-none"/>
        </w:rPr>
        <w:t>Secretary, Office of the</w:t>
      </w:r>
    </w:p>
    <w:p w14:paraId="4AE6A9DC" w14:textId="77777777" w:rsidR="00E27BA1" w:rsidRPr="00E27BA1" w:rsidRDefault="00E27BA1" w:rsidP="00E27BA1">
      <w:pPr>
        <w:tabs>
          <w:tab w:val="left" w:pos="720"/>
          <w:tab w:val="left" w:pos="979"/>
          <w:tab w:val="left" w:pos="1152"/>
        </w:tabs>
        <w:ind w:left="450" w:hanging="90"/>
        <w:jc w:val="both"/>
        <w:outlineLvl w:val="4"/>
        <w:rPr>
          <w:rFonts w:eastAsia="Calibri"/>
          <w:bCs/>
          <w:kern w:val="2"/>
        </w:rPr>
      </w:pPr>
      <w:r w:rsidRPr="00E27BA1">
        <w:rPr>
          <w:rFonts w:eastAsia="Calibri"/>
          <w:bCs/>
          <w:kern w:val="2"/>
        </w:rPr>
        <w:t>Atchafalaya Trace Heritage Development Zone, 481R</w:t>
      </w:r>
    </w:p>
    <w:p w14:paraId="0E0F3976" w14:textId="77777777" w:rsidR="00E27BA1" w:rsidRPr="00E27BA1" w:rsidRDefault="00E27BA1" w:rsidP="00E27BA1">
      <w:pPr>
        <w:tabs>
          <w:tab w:val="left" w:pos="720"/>
          <w:tab w:val="left" w:pos="979"/>
          <w:tab w:val="left" w:pos="1152"/>
        </w:tabs>
        <w:ind w:left="450" w:hanging="90"/>
        <w:jc w:val="both"/>
        <w:outlineLvl w:val="4"/>
        <w:rPr>
          <w:rFonts w:eastAsia="Calibri"/>
          <w:bCs/>
          <w:kern w:val="2"/>
        </w:rPr>
      </w:pPr>
      <w:r w:rsidRPr="00E27BA1">
        <w:rPr>
          <w:rFonts w:eastAsia="Calibri"/>
          <w:bCs/>
          <w:kern w:val="2"/>
        </w:rPr>
        <w:t>Guidelines for Act 455</w:t>
      </w:r>
    </w:p>
    <w:p w14:paraId="791C23DA" w14:textId="77777777" w:rsidR="00E27BA1" w:rsidRPr="00E27BA1" w:rsidRDefault="00E27BA1" w:rsidP="00E27BA1">
      <w:pPr>
        <w:tabs>
          <w:tab w:val="left" w:pos="720"/>
          <w:tab w:val="left" w:pos="979"/>
          <w:tab w:val="left" w:pos="1152"/>
        </w:tabs>
        <w:ind w:left="450"/>
        <w:jc w:val="both"/>
        <w:outlineLvl w:val="4"/>
        <w:rPr>
          <w:rFonts w:eastAsia="Calibri"/>
          <w:bCs/>
          <w:kern w:val="2"/>
        </w:rPr>
      </w:pPr>
      <w:r w:rsidRPr="00E27BA1">
        <w:rPr>
          <w:rFonts w:eastAsia="Calibri"/>
          <w:bCs/>
          <w:kern w:val="2"/>
        </w:rPr>
        <w:t>Matching Funds Program, 481R</w:t>
      </w:r>
    </w:p>
    <w:p w14:paraId="4798670B" w14:textId="77777777" w:rsidR="00E27BA1" w:rsidRPr="00E27BA1" w:rsidRDefault="00E27BA1" w:rsidP="00E27BA1">
      <w:pPr>
        <w:tabs>
          <w:tab w:val="left" w:pos="720"/>
          <w:tab w:val="left" w:pos="979"/>
          <w:tab w:val="left" w:pos="1152"/>
        </w:tabs>
        <w:ind w:left="540"/>
        <w:jc w:val="both"/>
        <w:outlineLvl w:val="4"/>
        <w:rPr>
          <w:rFonts w:eastAsia="Calibri"/>
          <w:bCs/>
          <w:kern w:val="2"/>
        </w:rPr>
      </w:pPr>
      <w:r w:rsidRPr="00E27BA1">
        <w:rPr>
          <w:rFonts w:eastAsia="Calibri"/>
          <w:bCs/>
          <w:kern w:val="2"/>
        </w:rPr>
        <w:t>Placement of litter receptacles, 481R</w:t>
      </w:r>
    </w:p>
    <w:p w14:paraId="3CB5ECC9" w14:textId="77777777" w:rsidR="00E27BA1" w:rsidRPr="00E27BA1" w:rsidRDefault="00E27BA1" w:rsidP="00E27BA1">
      <w:pPr>
        <w:tabs>
          <w:tab w:val="left" w:pos="720"/>
          <w:tab w:val="left" w:pos="979"/>
          <w:tab w:val="left" w:pos="1152"/>
        </w:tabs>
        <w:ind w:left="540"/>
        <w:jc w:val="both"/>
        <w:outlineLvl w:val="4"/>
        <w:rPr>
          <w:rFonts w:eastAsia="Calibri"/>
          <w:bCs/>
          <w:kern w:val="2"/>
        </w:rPr>
      </w:pPr>
      <w:r w:rsidRPr="00E27BA1">
        <w:rPr>
          <w:rFonts w:eastAsia="Calibri"/>
          <w:bCs/>
          <w:kern w:val="2"/>
        </w:rPr>
        <w:t>Welcome centers, 481R</w:t>
      </w:r>
    </w:p>
    <w:p w14:paraId="2A49A20E"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eastAsia="x-none"/>
        </w:rPr>
      </w:pPr>
    </w:p>
    <w:p w14:paraId="65DAAE0D"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eastAsia="x-none"/>
        </w:rPr>
      </w:pPr>
    </w:p>
    <w:p w14:paraId="1154270E"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eastAsia="x-none"/>
        </w:rPr>
      </w:pPr>
    </w:p>
    <w:p w14:paraId="646B0100" w14:textId="77777777" w:rsidR="00E27BA1" w:rsidRPr="00E27BA1" w:rsidRDefault="00E27BA1" w:rsidP="00E27BA1">
      <w:pPr>
        <w:keepNext/>
        <w:jc w:val="center"/>
        <w:rPr>
          <w:b/>
          <w:kern w:val="28"/>
        </w:rPr>
      </w:pPr>
      <w:r w:rsidRPr="00E27BA1">
        <w:rPr>
          <w:b/>
          <w:kern w:val="28"/>
        </w:rPr>
        <w:t>EDUCATION</w:t>
      </w:r>
    </w:p>
    <w:p w14:paraId="781250B0" w14:textId="77777777" w:rsidR="00E27BA1" w:rsidRPr="00E27BA1" w:rsidRDefault="00E27BA1" w:rsidP="00E27BA1">
      <w:pPr>
        <w:keepNext/>
        <w:tabs>
          <w:tab w:val="left" w:pos="144"/>
          <w:tab w:val="left" w:pos="187"/>
          <w:tab w:val="left" w:pos="540"/>
          <w:tab w:val="left" w:pos="907"/>
          <w:tab w:val="left" w:pos="1080"/>
        </w:tabs>
        <w:ind w:firstLine="187"/>
        <w:jc w:val="both"/>
        <w:outlineLvl w:val="3"/>
        <w:rPr>
          <w:b/>
          <w:kern w:val="2"/>
          <w:lang w:eastAsia="x-none"/>
        </w:rPr>
      </w:pPr>
      <w:r w:rsidRPr="00E27BA1">
        <w:rPr>
          <w:b/>
          <w:kern w:val="2"/>
          <w:lang w:eastAsia="x-none"/>
        </w:rPr>
        <w:t>Elementary</w:t>
      </w:r>
      <w:r w:rsidRPr="00E27BA1">
        <w:rPr>
          <w:b/>
          <w:kern w:val="2"/>
          <w:lang w:val="x-none" w:eastAsia="x-none"/>
        </w:rPr>
        <w:t xml:space="preserve"> and Secondary Education</w:t>
      </w:r>
      <w:r w:rsidRPr="00E27BA1">
        <w:rPr>
          <w:b/>
          <w:kern w:val="2"/>
          <w:lang w:eastAsia="x-none"/>
        </w:rPr>
        <w:t>, Board of</w:t>
      </w:r>
    </w:p>
    <w:p w14:paraId="71AE5B28"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Bulletin 111—The Louisiana School, District, and State</w:t>
      </w:r>
    </w:p>
    <w:p w14:paraId="48EC0B09"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Accountability System</w:t>
      </w:r>
    </w:p>
    <w:p w14:paraId="22703BB4"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Transfer of middle school Algebra I scores, 517N, 1124R</w:t>
      </w:r>
    </w:p>
    <w:p w14:paraId="46AF1D4A"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Bulletin 118—Statewide Assessment Standards and Practices</w:t>
      </w:r>
    </w:p>
    <w:p w14:paraId="470382DD"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LEAP 2026 science assessment, 1203N</w:t>
      </w:r>
    </w:p>
    <w:p w14:paraId="6CC03019"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Bulletin 119—Louisiana School Transportation Specifications and Procedures</w:t>
      </w:r>
    </w:p>
    <w:p w14:paraId="24022ACA"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Speed limits, 518N, 1125R</w:t>
      </w:r>
    </w:p>
    <w:p w14:paraId="02305D08"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Bulletin 126–Charter Schools</w:t>
      </w:r>
    </w:p>
    <w:p w14:paraId="146DA0A0"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Charter governance and eligibility for renewal, 766N, 1328R</w:t>
      </w:r>
    </w:p>
    <w:p w14:paraId="4CB7CDC1"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Ten Commandments, 1330R</w:t>
      </w:r>
    </w:p>
    <w:p w14:paraId="425D355D"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Bulletin 130—Regulations for the Evaluation and Assessment of School Personnel</w:t>
      </w:r>
    </w:p>
    <w:p w14:paraId="0CD4F8DF"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Educator evaluations, 83N, 483R</w:t>
      </w:r>
    </w:p>
    <w:p w14:paraId="615C2C72"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Bulletin 140—Louisiana Early Childhood Care and Education Network</w:t>
      </w:r>
    </w:p>
    <w:p w14:paraId="2821FC6A"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Early childhood, 767N, 1329R</w:t>
      </w:r>
    </w:p>
    <w:p w14:paraId="3ADD30AC"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Bulletin 141—Louisiana English Language Arts Student Standards</w:t>
      </w:r>
    </w:p>
    <w:p w14:paraId="52A0F8DF"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ELA content standards, 520N</w:t>
      </w:r>
    </w:p>
    <w:p w14:paraId="04785A4F"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Ten Commandments, 769N</w:t>
      </w:r>
    </w:p>
    <w:p w14:paraId="182D2D44"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Bulletin 142—Louisiana Mathematics Student Standards</w:t>
      </w:r>
    </w:p>
    <w:p w14:paraId="182E55C2"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Math content standards, 536N, 1125R</w:t>
      </w:r>
    </w:p>
    <w:p w14:paraId="449CB4F7"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br w:type="column"/>
      </w:r>
      <w:r w:rsidRPr="00E27BA1">
        <w:rPr>
          <w:kern w:val="2"/>
        </w:rPr>
        <w:t xml:space="preserve">Bulletin 146—Competencies and Standards for Teachers and Educational Leaders </w:t>
      </w:r>
    </w:p>
    <w:p w14:paraId="4AD73821"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Content competencies, 578N, 1167R</w:t>
      </w:r>
    </w:p>
    <w:p w14:paraId="3D912002"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Bulletin 169—Louisiana English Language Arts Student Standards—ELA Content Standards (Formerly Bulletin 141), 1170R</w:t>
      </w:r>
    </w:p>
    <w:p w14:paraId="0385B449"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Bulletin 741—Louisiana Handbook for School Administrators</w:t>
      </w:r>
    </w:p>
    <w:p w14:paraId="3B6219E7" w14:textId="77777777" w:rsidR="00E27BA1" w:rsidRPr="00E27BA1" w:rsidRDefault="00E27BA1" w:rsidP="00E27BA1">
      <w:pPr>
        <w:tabs>
          <w:tab w:val="left" w:pos="720"/>
          <w:tab w:val="left" w:pos="979"/>
          <w:tab w:val="left" w:pos="1152"/>
        </w:tabs>
        <w:ind w:left="450"/>
        <w:jc w:val="both"/>
        <w:outlineLvl w:val="4"/>
        <w:rPr>
          <w:kern w:val="2"/>
        </w:rPr>
      </w:pPr>
      <w:r w:rsidRPr="00E27BA1">
        <w:rPr>
          <w:noProof/>
          <w:kern w:val="2"/>
        </w:rPr>
        <w:t>Annual</w:t>
      </w:r>
      <w:r w:rsidRPr="00E27BA1">
        <w:rPr>
          <w:kern w:val="2"/>
        </w:rPr>
        <w:t xml:space="preserve"> reading of required literature, 1205N</w:t>
      </w:r>
    </w:p>
    <w:p w14:paraId="3D889466" w14:textId="77777777" w:rsidR="00E27BA1" w:rsidRPr="00E27BA1" w:rsidRDefault="00E27BA1" w:rsidP="00E27BA1">
      <w:pPr>
        <w:tabs>
          <w:tab w:val="left" w:pos="720"/>
          <w:tab w:val="left" w:pos="979"/>
          <w:tab w:val="left" w:pos="1152"/>
        </w:tabs>
        <w:ind w:left="450"/>
        <w:jc w:val="both"/>
        <w:outlineLvl w:val="4"/>
        <w:rPr>
          <w:noProof/>
          <w:kern w:val="2"/>
        </w:rPr>
      </w:pPr>
      <w:r w:rsidRPr="00E27BA1">
        <w:rPr>
          <w:kern w:val="2"/>
        </w:rPr>
        <w:t>Ten Commandments, 1330R</w:t>
      </w:r>
    </w:p>
    <w:p w14:paraId="3BB1F2F5"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noProof/>
          <w:kern w:val="2"/>
        </w:rPr>
        <w:t>Bulletin 746–Louisiana Standards for State Certification of School Personnel</w:t>
      </w:r>
    </w:p>
    <w:p w14:paraId="34C27C0B" w14:textId="77777777" w:rsidR="00E27BA1" w:rsidRPr="00E27BA1" w:rsidRDefault="00E27BA1" w:rsidP="00E27BA1">
      <w:pPr>
        <w:tabs>
          <w:tab w:val="left" w:pos="720"/>
          <w:tab w:val="left" w:pos="979"/>
          <w:tab w:val="left" w:pos="1152"/>
        </w:tabs>
        <w:ind w:left="450"/>
        <w:jc w:val="both"/>
        <w:outlineLvl w:val="4"/>
        <w:rPr>
          <w:noProof/>
          <w:kern w:val="2"/>
        </w:rPr>
      </w:pPr>
      <w:r w:rsidRPr="00E27BA1">
        <w:rPr>
          <w:noProof/>
          <w:kern w:val="2"/>
        </w:rPr>
        <w:t>Certification endorsement, 213R, 249N, 666R</w:t>
      </w:r>
    </w:p>
    <w:p w14:paraId="241D8013" w14:textId="77777777" w:rsidR="00E27BA1" w:rsidRPr="00E27BA1" w:rsidRDefault="00E27BA1" w:rsidP="00E27BA1">
      <w:pPr>
        <w:tabs>
          <w:tab w:val="left" w:pos="720"/>
          <w:tab w:val="left" w:pos="979"/>
          <w:tab w:val="left" w:pos="1152"/>
        </w:tabs>
        <w:ind w:left="450"/>
        <w:jc w:val="both"/>
        <w:outlineLvl w:val="4"/>
        <w:rPr>
          <w:kern w:val="2"/>
        </w:rPr>
      </w:pPr>
      <w:r w:rsidRPr="00E27BA1">
        <w:rPr>
          <w:noProof/>
          <w:kern w:val="2"/>
        </w:rPr>
        <w:t>Praxis exams, 582N, 1186R</w:t>
      </w:r>
    </w:p>
    <w:p w14:paraId="1AC716B9"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Bulletin 1929—Louisiana Accounting and Uniform Governmental Handbook</w:t>
      </w:r>
    </w:p>
    <w:p w14:paraId="62BF6510" w14:textId="77777777" w:rsidR="00E27BA1" w:rsidRPr="00E27BA1" w:rsidRDefault="00E27BA1" w:rsidP="00E27BA1">
      <w:pPr>
        <w:tabs>
          <w:tab w:val="left" w:pos="720"/>
          <w:tab w:val="left" w:pos="979"/>
          <w:tab w:val="left" w:pos="1152"/>
        </w:tabs>
        <w:ind w:left="630" w:hanging="90"/>
        <w:jc w:val="both"/>
        <w:outlineLvl w:val="4"/>
        <w:rPr>
          <w:kern w:val="2"/>
        </w:rPr>
      </w:pPr>
      <w:r w:rsidRPr="00E27BA1">
        <w:rPr>
          <w:kern w:val="2"/>
        </w:rPr>
        <w:t>Definitions and minimum requirements, 85N, 484R</w:t>
      </w:r>
    </w:p>
    <w:p w14:paraId="6394F6F2"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Camps and prekindergarten programs, 910ER, 1206N</w:t>
      </w:r>
    </w:p>
    <w:p w14:paraId="64D27D79"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Child and safety welfare, 24R</w:t>
      </w:r>
    </w:p>
    <w:p w14:paraId="7A2489CF"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Comprehensive assessments, 213R</w:t>
      </w:r>
    </w:p>
    <w:p w14:paraId="66C7B7E4"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Diverse learners, 1212N</w:t>
      </w:r>
    </w:p>
    <w:p w14:paraId="16E6A309"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Implementation of education acts of the 2025 Regular Legislative Session, 215R</w:t>
      </w:r>
    </w:p>
    <w:p w14:paraId="290957C1"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Special education, 771N</w:t>
      </w:r>
    </w:p>
    <w:p w14:paraId="66784587"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Teacher preparation and certification, 1214N</w:t>
      </w:r>
    </w:p>
    <w:p w14:paraId="2F1031A6" w14:textId="77777777" w:rsidR="00E27BA1" w:rsidRPr="00E27BA1" w:rsidRDefault="00E27BA1" w:rsidP="00E27BA1">
      <w:pPr>
        <w:keepNext/>
        <w:tabs>
          <w:tab w:val="left" w:pos="144"/>
          <w:tab w:val="left" w:pos="187"/>
          <w:tab w:val="left" w:pos="540"/>
          <w:tab w:val="left" w:pos="907"/>
          <w:tab w:val="left" w:pos="1080"/>
        </w:tabs>
        <w:ind w:firstLine="187"/>
        <w:jc w:val="both"/>
        <w:outlineLvl w:val="3"/>
        <w:rPr>
          <w:b/>
          <w:kern w:val="2"/>
          <w:lang w:eastAsia="x-none"/>
        </w:rPr>
      </w:pPr>
      <w:r w:rsidRPr="00E27BA1">
        <w:rPr>
          <w:b/>
          <w:kern w:val="2"/>
          <w:lang w:eastAsia="x-none"/>
        </w:rPr>
        <w:t>Regents, Board of</w:t>
      </w:r>
    </w:p>
    <w:p w14:paraId="1B4D6C79" w14:textId="77777777" w:rsidR="00E27BA1" w:rsidRPr="00E27BA1" w:rsidRDefault="00E27BA1" w:rsidP="00E27BA1">
      <w:pPr>
        <w:tabs>
          <w:tab w:val="left" w:pos="720"/>
          <w:tab w:val="left" w:pos="979"/>
          <w:tab w:val="left" w:pos="1152"/>
        </w:tabs>
        <w:ind w:left="450" w:hanging="180"/>
        <w:jc w:val="both"/>
        <w:outlineLvl w:val="4"/>
        <w:rPr>
          <w:b/>
          <w:kern w:val="2"/>
        </w:rPr>
      </w:pPr>
      <w:r w:rsidRPr="00E27BA1">
        <w:rPr>
          <w:b/>
          <w:kern w:val="2"/>
        </w:rPr>
        <w:t>Student Financial Assistance, Office of</w:t>
      </w:r>
    </w:p>
    <w:p w14:paraId="04471628"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Scholarship/grant programs</w:t>
      </w:r>
    </w:p>
    <w:p w14:paraId="3629B8D9"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2025 legislation</w:t>
      </w:r>
    </w:p>
    <w:p w14:paraId="79A53F22" w14:textId="77777777" w:rsidR="00E27BA1" w:rsidRPr="00E27BA1" w:rsidRDefault="00E27BA1" w:rsidP="00E27BA1">
      <w:pPr>
        <w:tabs>
          <w:tab w:val="left" w:pos="720"/>
          <w:tab w:val="left" w:pos="979"/>
          <w:tab w:val="left" w:pos="1152"/>
        </w:tabs>
        <w:ind w:left="540"/>
        <w:jc w:val="both"/>
        <w:outlineLvl w:val="4"/>
        <w:rPr>
          <w:kern w:val="2"/>
        </w:rPr>
      </w:pPr>
      <w:r w:rsidRPr="00E27BA1">
        <w:rPr>
          <w:kern w:val="2"/>
        </w:rPr>
        <w:t>Geaux Teach Program, 927R</w:t>
      </w:r>
    </w:p>
    <w:p w14:paraId="5374078B" w14:textId="77777777" w:rsidR="00E27BA1" w:rsidRPr="00E27BA1" w:rsidRDefault="00E27BA1" w:rsidP="00E27BA1">
      <w:pPr>
        <w:tabs>
          <w:tab w:val="left" w:pos="720"/>
          <w:tab w:val="left" w:pos="979"/>
          <w:tab w:val="left" w:pos="1152"/>
        </w:tabs>
        <w:ind w:left="540"/>
        <w:jc w:val="both"/>
        <w:outlineLvl w:val="4"/>
        <w:rPr>
          <w:kern w:val="2"/>
        </w:rPr>
      </w:pPr>
      <w:r w:rsidRPr="00E27BA1">
        <w:rPr>
          <w:kern w:val="2"/>
        </w:rPr>
        <w:t>M.J. Foster Promise Programs, 927R</w:t>
      </w:r>
    </w:p>
    <w:p w14:paraId="255233A4" w14:textId="77777777" w:rsidR="00E27BA1" w:rsidRPr="00E27BA1" w:rsidRDefault="00E27BA1" w:rsidP="00E27BA1">
      <w:pPr>
        <w:tabs>
          <w:tab w:val="left" w:pos="720"/>
          <w:tab w:val="left" w:pos="979"/>
          <w:tab w:val="left" w:pos="1152"/>
        </w:tabs>
        <w:ind w:left="540"/>
        <w:jc w:val="both"/>
        <w:outlineLvl w:val="4"/>
        <w:rPr>
          <w:kern w:val="2"/>
        </w:rPr>
      </w:pPr>
      <w:r w:rsidRPr="00E27BA1">
        <w:rPr>
          <w:kern w:val="2"/>
        </w:rPr>
        <w:t>TOPS, 928R</w:t>
      </w:r>
    </w:p>
    <w:p w14:paraId="5D93F3BE" w14:textId="77777777" w:rsidR="00E27BA1" w:rsidRPr="00E27BA1" w:rsidRDefault="00E27BA1" w:rsidP="00E27BA1">
      <w:pPr>
        <w:keepNext/>
        <w:tabs>
          <w:tab w:val="left" w:pos="144"/>
          <w:tab w:val="left" w:pos="187"/>
          <w:tab w:val="left" w:pos="540"/>
          <w:tab w:val="left" w:pos="907"/>
          <w:tab w:val="left" w:pos="1080"/>
        </w:tabs>
        <w:ind w:firstLine="187"/>
        <w:jc w:val="both"/>
        <w:outlineLvl w:val="3"/>
        <w:rPr>
          <w:b/>
          <w:kern w:val="2"/>
          <w:lang w:eastAsia="x-none"/>
        </w:rPr>
      </w:pPr>
      <w:r w:rsidRPr="00E27BA1">
        <w:rPr>
          <w:b/>
          <w:kern w:val="2"/>
          <w:lang w:eastAsia="x-none"/>
        </w:rPr>
        <w:t>Tuition Trust Authority</w:t>
      </w:r>
    </w:p>
    <w:p w14:paraId="0FFA9FB6" w14:textId="77777777" w:rsidR="00E27BA1" w:rsidRPr="00E27BA1" w:rsidRDefault="00E27BA1" w:rsidP="00E27BA1">
      <w:pPr>
        <w:tabs>
          <w:tab w:val="left" w:pos="720"/>
          <w:tab w:val="left" w:pos="979"/>
          <w:tab w:val="left" w:pos="1152"/>
        </w:tabs>
        <w:ind w:left="450" w:hanging="180"/>
        <w:jc w:val="both"/>
        <w:outlineLvl w:val="4"/>
        <w:rPr>
          <w:b/>
          <w:kern w:val="2"/>
        </w:rPr>
      </w:pPr>
      <w:r w:rsidRPr="00E27BA1">
        <w:rPr>
          <w:b/>
          <w:kern w:val="2"/>
        </w:rPr>
        <w:t>Student Financial Assistance, Office of</w:t>
      </w:r>
    </w:p>
    <w:p w14:paraId="1CCDBADF"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START Saving Program, 8ER, 350R, 383N, 943R, 1216N</w:t>
      </w:r>
    </w:p>
    <w:p w14:paraId="1B86C7DE"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p>
    <w:p w14:paraId="1CAE54BC"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p>
    <w:p w14:paraId="66F575E7"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p>
    <w:p w14:paraId="71B9154D" w14:textId="77777777" w:rsidR="00E27BA1" w:rsidRPr="00E27BA1" w:rsidRDefault="00E27BA1" w:rsidP="00E27BA1">
      <w:pPr>
        <w:keepNext/>
        <w:jc w:val="center"/>
        <w:rPr>
          <w:b/>
          <w:kern w:val="28"/>
        </w:rPr>
      </w:pPr>
      <w:r w:rsidRPr="00E27BA1">
        <w:rPr>
          <w:b/>
          <w:kern w:val="28"/>
        </w:rPr>
        <w:t>ENVIRONMENTAL QUALITY</w:t>
      </w:r>
    </w:p>
    <w:p w14:paraId="64732AE0" w14:textId="77777777" w:rsidR="00E27BA1" w:rsidRPr="00E27BA1" w:rsidRDefault="00E27BA1" w:rsidP="00E27BA1">
      <w:pPr>
        <w:keepNext/>
        <w:tabs>
          <w:tab w:val="left" w:pos="144"/>
          <w:tab w:val="left" w:pos="187"/>
          <w:tab w:val="left" w:pos="540"/>
          <w:tab w:val="left" w:pos="907"/>
          <w:tab w:val="left" w:pos="1080"/>
        </w:tabs>
        <w:ind w:firstLine="187"/>
        <w:jc w:val="both"/>
        <w:outlineLvl w:val="3"/>
        <w:rPr>
          <w:b/>
          <w:kern w:val="2"/>
          <w:lang w:eastAsia="x-none"/>
        </w:rPr>
      </w:pPr>
      <w:r w:rsidRPr="00E27BA1">
        <w:rPr>
          <w:b/>
          <w:kern w:val="2"/>
          <w:lang w:eastAsia="x-none"/>
        </w:rPr>
        <w:t>Secretary, Office of the</w:t>
      </w:r>
    </w:p>
    <w:p w14:paraId="3140AF9D" w14:textId="77777777" w:rsidR="00E27BA1" w:rsidRPr="00E27BA1" w:rsidRDefault="00E27BA1" w:rsidP="00E27BA1">
      <w:pPr>
        <w:keepNext/>
        <w:tabs>
          <w:tab w:val="left" w:pos="144"/>
          <w:tab w:val="left" w:pos="187"/>
          <w:tab w:val="left" w:pos="540"/>
          <w:tab w:val="left" w:pos="907"/>
          <w:tab w:val="left" w:pos="1080"/>
        </w:tabs>
        <w:ind w:firstLine="270"/>
        <w:jc w:val="both"/>
        <w:outlineLvl w:val="3"/>
        <w:rPr>
          <w:b/>
          <w:kern w:val="2"/>
          <w:lang w:val="x-none" w:eastAsia="x-none"/>
        </w:rPr>
      </w:pPr>
      <w:r w:rsidRPr="00E27BA1">
        <w:rPr>
          <w:b/>
          <w:kern w:val="2"/>
          <w:lang w:val="x-none" w:eastAsia="x-none"/>
        </w:rPr>
        <w:t xml:space="preserve">Legal </w:t>
      </w:r>
      <w:r w:rsidRPr="00E27BA1">
        <w:rPr>
          <w:b/>
          <w:kern w:val="2"/>
          <w:lang w:eastAsia="x-none"/>
        </w:rPr>
        <w:t>Affairs</w:t>
      </w:r>
      <w:r w:rsidRPr="00E27BA1">
        <w:rPr>
          <w:b/>
          <w:kern w:val="2"/>
          <w:lang w:val="x-none" w:eastAsia="x-none"/>
        </w:rPr>
        <w:t xml:space="preserve"> Division</w:t>
      </w:r>
    </w:p>
    <w:p w14:paraId="199DE484"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Definitions, 1400N</w:t>
      </w:r>
    </w:p>
    <w:p w14:paraId="5954648F"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Exclusion of wastes for The Dow Chemical Company Plaquemine Plant, 29R</w:t>
      </w:r>
    </w:p>
    <w:p w14:paraId="15A29C2A"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Expedited penalty maximums, 32R</w:t>
      </w:r>
    </w:p>
    <w:p w14:paraId="1A4DC569"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Expedited permit processing for a federal permitting parity program, 351R</w:t>
      </w:r>
    </w:p>
    <w:p w14:paraId="349B11EE"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General standards for nonpermitted facilities, 86N, 484R</w:t>
      </w:r>
    </w:p>
    <w:p w14:paraId="3C0BA78F"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Hazardous waste generator improvement rule clean-up, 668R</w:t>
      </w:r>
    </w:p>
    <w:p w14:paraId="2627F975"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Hazardous waste post closure fee update, 88N, 485R</w:t>
      </w:r>
    </w:p>
    <w:p w14:paraId="6699D58B"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Incorporation by reference of 40 CFR 60 Subpart OOOOc, 1217N</w:t>
      </w:r>
    </w:p>
    <w:p w14:paraId="36A21FBF"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Late fee update, 89N, 485R</w:t>
      </w:r>
    </w:p>
    <w:p w14:paraId="04A8AB98"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Notice of public hearing</w:t>
      </w:r>
    </w:p>
    <w:p w14:paraId="55CBAB74"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Substantive changes to proposed Rule OS099</w:t>
      </w:r>
    </w:p>
    <w:p w14:paraId="017D54B1" w14:textId="77777777" w:rsidR="00E27BA1" w:rsidRPr="00E27BA1" w:rsidRDefault="00E27BA1" w:rsidP="00E27BA1">
      <w:pPr>
        <w:tabs>
          <w:tab w:val="left" w:pos="720"/>
          <w:tab w:val="left" w:pos="979"/>
          <w:tab w:val="left" w:pos="1152"/>
        </w:tabs>
        <w:ind w:left="540"/>
        <w:jc w:val="both"/>
        <w:outlineLvl w:val="4"/>
        <w:rPr>
          <w:kern w:val="2"/>
        </w:rPr>
      </w:pPr>
      <w:r w:rsidRPr="00E27BA1">
        <w:rPr>
          <w:kern w:val="2"/>
        </w:rPr>
        <w:t>Notification and Permit Transfer Procedures for Changes to Company/Facility Name and Ownership/Operator, 874P</w:t>
      </w:r>
    </w:p>
    <w:p w14:paraId="68E9B03A" w14:textId="77777777" w:rsidR="00A32A6A" w:rsidRDefault="00A32A6A" w:rsidP="00E27BA1">
      <w:pPr>
        <w:tabs>
          <w:tab w:val="left" w:pos="720"/>
          <w:tab w:val="left" w:pos="979"/>
          <w:tab w:val="left" w:pos="1152"/>
        </w:tabs>
        <w:ind w:left="450" w:hanging="90"/>
        <w:jc w:val="both"/>
        <w:outlineLvl w:val="4"/>
        <w:rPr>
          <w:kern w:val="2"/>
        </w:rPr>
      </w:pPr>
    </w:p>
    <w:p w14:paraId="604530A0" w14:textId="77777777" w:rsidR="00A32A6A" w:rsidRDefault="00A32A6A" w:rsidP="00E27BA1">
      <w:pPr>
        <w:tabs>
          <w:tab w:val="left" w:pos="720"/>
          <w:tab w:val="left" w:pos="979"/>
          <w:tab w:val="left" w:pos="1152"/>
        </w:tabs>
        <w:ind w:left="450" w:hanging="90"/>
        <w:jc w:val="both"/>
        <w:outlineLvl w:val="4"/>
        <w:rPr>
          <w:kern w:val="2"/>
        </w:rPr>
      </w:pPr>
    </w:p>
    <w:p w14:paraId="48B7B0EE" w14:textId="77777777" w:rsidR="00A32A6A" w:rsidRPr="00E27BA1" w:rsidRDefault="00A32A6A" w:rsidP="00A32A6A">
      <w:pPr>
        <w:keepNext/>
        <w:jc w:val="center"/>
        <w:rPr>
          <w:b/>
          <w:kern w:val="28"/>
        </w:rPr>
      </w:pPr>
      <w:r w:rsidRPr="00E27BA1">
        <w:rPr>
          <w:b/>
          <w:kern w:val="28"/>
        </w:rPr>
        <w:lastRenderedPageBreak/>
        <w:t>ENVIRONMENTAL QUALITY (continued)</w:t>
      </w:r>
    </w:p>
    <w:p w14:paraId="4026ABB8" w14:textId="596760A9"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Notification and Permit Transfer Procedures for Changes to Company/Facility Name and Ownership/Operator, 1334R</w:t>
      </w:r>
    </w:p>
    <w:p w14:paraId="788AD4EE"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Solicitation of public input</w:t>
      </w:r>
    </w:p>
    <w:p w14:paraId="0117B3D6"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Louisiana’s State Plan for the Control of Greenhouse Gas Emissions from Existing Crude Oil and Natural Gas Facilities, 1455P</w:t>
      </w:r>
    </w:p>
    <w:p w14:paraId="055AD883"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Solid waste and waste tire public notice revision, 252N, 676R</w:t>
      </w:r>
    </w:p>
    <w:p w14:paraId="0930BCD0"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Standards for conducting lead-based paint activities</w:t>
      </w:r>
    </w:p>
    <w:p w14:paraId="2DC81E69"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Accreditation, 1218N</w:t>
      </w:r>
    </w:p>
    <w:p w14:paraId="7143681B"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Licensure, 1218N</w:t>
      </w:r>
    </w:p>
    <w:p w14:paraId="41FDCE8B"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Recognition, 1218N</w:t>
      </w:r>
    </w:p>
    <w:p w14:paraId="40E9725A"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Substantive changes to the proposed regional haze second planning period</w:t>
      </w:r>
    </w:p>
    <w:p w14:paraId="56D4C7F3"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State Implementation Plan (SIP) revision, 189P</w:t>
      </w:r>
    </w:p>
    <w:p w14:paraId="3C07ACA4"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Turbidity criteria refinement, 775N</w:t>
      </w:r>
    </w:p>
    <w:p w14:paraId="0D76D09F"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Voluntary environmental self-audit regulations, 33R</w:t>
      </w:r>
    </w:p>
    <w:p w14:paraId="222E0A5A" w14:textId="77777777" w:rsidR="00E27BA1" w:rsidRPr="00E27BA1" w:rsidRDefault="00E27BA1" w:rsidP="00E27BA1">
      <w:pPr>
        <w:tabs>
          <w:tab w:val="left" w:pos="720"/>
          <w:tab w:val="left" w:pos="979"/>
          <w:tab w:val="left" w:pos="1152"/>
        </w:tabs>
        <w:ind w:left="450" w:hanging="90"/>
        <w:jc w:val="both"/>
        <w:outlineLvl w:val="4"/>
        <w:rPr>
          <w:b/>
          <w:kern w:val="2"/>
        </w:rPr>
      </w:pPr>
      <w:r w:rsidRPr="00E27BA1">
        <w:rPr>
          <w:kern w:val="2"/>
        </w:rPr>
        <w:t>Water quality standards triennial revision, 92N, 487R</w:t>
      </w:r>
    </w:p>
    <w:p w14:paraId="5B4FE713"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p>
    <w:p w14:paraId="2360AF94"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p>
    <w:p w14:paraId="4F3C74EA"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p>
    <w:p w14:paraId="5D5E1F08" w14:textId="77777777" w:rsidR="00E27BA1" w:rsidRPr="00E27BA1" w:rsidRDefault="00E27BA1" w:rsidP="00E27BA1">
      <w:pPr>
        <w:keepNext/>
        <w:jc w:val="center"/>
        <w:rPr>
          <w:b/>
          <w:kern w:val="28"/>
        </w:rPr>
      </w:pPr>
      <w:r w:rsidRPr="00E27BA1">
        <w:rPr>
          <w:b/>
          <w:kern w:val="28"/>
        </w:rPr>
        <w:t>EXECUTIVE ORDERS</w:t>
      </w:r>
    </w:p>
    <w:p w14:paraId="7ED95091"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eastAsia="x-none"/>
        </w:rPr>
      </w:pPr>
      <w:r w:rsidRPr="00E27BA1">
        <w:rPr>
          <w:kern w:val="2"/>
          <w:lang w:val="x-none" w:eastAsia="x-none"/>
        </w:rPr>
        <w:t>JML 25-143</w:t>
      </w:r>
      <w:r w:rsidRPr="00E27BA1">
        <w:rPr>
          <w:kern w:val="2"/>
          <w:lang w:val="x-none" w:eastAsia="x-none"/>
        </w:rPr>
        <w:tab/>
        <w:t>Renewal of State of Emergency—Maximum Security Camp J Repairs and Operation—Louisiana State Penitentiary</w:t>
      </w:r>
      <w:r w:rsidRPr="00E27BA1">
        <w:rPr>
          <w:kern w:val="2"/>
          <w:lang w:eastAsia="x-none"/>
        </w:rPr>
        <w:t xml:space="preserve">, </w:t>
      </w:r>
      <w:r w:rsidRPr="00E27BA1">
        <w:rPr>
          <w:kern w:val="2"/>
          <w:lang w:val="x-none" w:eastAsia="x-none"/>
        </w:rPr>
        <w:t>1</w:t>
      </w:r>
      <w:r w:rsidRPr="00E27BA1">
        <w:rPr>
          <w:kern w:val="2"/>
          <w:lang w:eastAsia="x-none"/>
        </w:rPr>
        <w:t>EO</w:t>
      </w:r>
    </w:p>
    <w:p w14:paraId="71F4C2A2"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eastAsia="x-none"/>
        </w:rPr>
      </w:pPr>
      <w:r w:rsidRPr="00E27BA1">
        <w:rPr>
          <w:kern w:val="2"/>
          <w:lang w:eastAsia="x-none"/>
        </w:rPr>
        <w:t>JML 25-144</w:t>
      </w:r>
      <w:r w:rsidRPr="00E27BA1">
        <w:rPr>
          <w:kern w:val="2"/>
          <w:lang w:eastAsia="x-none"/>
        </w:rPr>
        <w:tab/>
      </w:r>
      <w:r w:rsidRPr="00E27BA1">
        <w:rPr>
          <w:kern w:val="2"/>
          <w:lang w:val="x-none" w:eastAsia="x-none"/>
        </w:rPr>
        <w:t>Renewal of State of Emergency—Hurricane Ida, 2EO</w:t>
      </w:r>
    </w:p>
    <w:p w14:paraId="55DBB9B6"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eastAsia="x-none"/>
        </w:rPr>
      </w:pPr>
      <w:r w:rsidRPr="00E27BA1">
        <w:rPr>
          <w:kern w:val="2"/>
          <w:lang w:eastAsia="x-none"/>
        </w:rPr>
        <w:t>JML 25-145</w:t>
      </w:r>
      <w:r w:rsidRPr="00E27BA1">
        <w:rPr>
          <w:kern w:val="2"/>
          <w:lang w:eastAsia="x-none"/>
        </w:rPr>
        <w:tab/>
      </w:r>
      <w:r w:rsidRPr="00E27BA1">
        <w:rPr>
          <w:kern w:val="2"/>
          <w:lang w:val="x-none" w:eastAsia="x-none"/>
        </w:rPr>
        <w:t>Renewal of State of Emergency—Threat of Subsidence, Subsurface Instability, and Presence of Hydrocarbons in Sulphur Mines Salt Dome Area, 3EO</w:t>
      </w:r>
    </w:p>
    <w:p w14:paraId="69705481"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r w:rsidRPr="00E27BA1">
        <w:rPr>
          <w:kern w:val="2"/>
          <w:lang w:eastAsia="x-none"/>
        </w:rPr>
        <w:t>JML 25-146</w:t>
      </w:r>
      <w:r w:rsidRPr="00E27BA1">
        <w:rPr>
          <w:kern w:val="2"/>
          <w:lang w:eastAsia="x-none"/>
        </w:rPr>
        <w:tab/>
      </w:r>
      <w:r w:rsidRPr="00E27BA1">
        <w:rPr>
          <w:kern w:val="2"/>
          <w:lang w:val="x-none" w:eastAsia="x-none"/>
        </w:rPr>
        <w:t>Flags at Half-Staff—Period of Mourning and Reflection in Remembrance of the Victims of the French Quarter Terrorism Attack, 3EO</w:t>
      </w:r>
    </w:p>
    <w:p w14:paraId="1566CD74"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r w:rsidRPr="00E27BA1">
        <w:rPr>
          <w:kern w:val="2"/>
          <w:lang w:val="x-none" w:eastAsia="x-none"/>
        </w:rPr>
        <w:t>JML</w:t>
      </w:r>
      <w:r w:rsidRPr="00E27BA1">
        <w:rPr>
          <w:kern w:val="2"/>
          <w:lang w:eastAsia="x-none"/>
        </w:rPr>
        <w:t xml:space="preserve"> 25-147</w:t>
      </w:r>
      <w:r w:rsidRPr="00E27BA1">
        <w:rPr>
          <w:kern w:val="2"/>
          <w:lang w:eastAsia="x-none"/>
        </w:rPr>
        <w:tab/>
      </w:r>
      <w:r w:rsidRPr="00E27BA1">
        <w:rPr>
          <w:kern w:val="2"/>
          <w:lang w:val="x-none" w:eastAsia="x-none"/>
        </w:rPr>
        <w:t>Renewal of State of Emergency—City of Tallulah Water System, 4EO</w:t>
      </w:r>
    </w:p>
    <w:p w14:paraId="23E4A6E5"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r w:rsidRPr="00E27BA1">
        <w:rPr>
          <w:kern w:val="2"/>
          <w:lang w:eastAsia="x-none"/>
        </w:rPr>
        <w:t>JML 25-148</w:t>
      </w:r>
      <w:r w:rsidRPr="00E27BA1">
        <w:rPr>
          <w:kern w:val="2"/>
          <w:lang w:eastAsia="x-none"/>
        </w:rPr>
        <w:tab/>
      </w:r>
      <w:r w:rsidRPr="00E27BA1">
        <w:rPr>
          <w:kern w:val="2"/>
          <w:lang w:val="x-none" w:eastAsia="x-none"/>
        </w:rPr>
        <w:t>Renewal of State of Emergency—Cybersecurity Incidents, 5EO</w:t>
      </w:r>
    </w:p>
    <w:p w14:paraId="15E36B2C"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r w:rsidRPr="00E27BA1">
        <w:rPr>
          <w:kern w:val="2"/>
          <w:lang w:eastAsia="x-none"/>
        </w:rPr>
        <w:t>JML 25-149</w:t>
      </w:r>
      <w:r w:rsidRPr="00E27BA1">
        <w:rPr>
          <w:kern w:val="2"/>
          <w:lang w:eastAsia="x-none"/>
        </w:rPr>
        <w:tab/>
      </w:r>
      <w:r w:rsidRPr="00E27BA1">
        <w:rPr>
          <w:kern w:val="2"/>
          <w:lang w:val="x-none" w:eastAsia="x-none"/>
        </w:rPr>
        <w:t>Renewal of State of Disaster—Smitty’s Supply Fire, 6EO</w:t>
      </w:r>
    </w:p>
    <w:p w14:paraId="50933181"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r w:rsidRPr="00E27BA1">
        <w:rPr>
          <w:kern w:val="2"/>
          <w:lang w:val="x-none" w:eastAsia="x-none"/>
        </w:rPr>
        <w:t>JML 26-001</w:t>
      </w:r>
      <w:r w:rsidRPr="00E27BA1">
        <w:rPr>
          <w:kern w:val="2"/>
          <w:lang w:val="x-none" w:eastAsia="x-none"/>
        </w:rPr>
        <w:tab/>
        <w:t>Amendment to Fiscal Responsibility Program, 195EO</w:t>
      </w:r>
    </w:p>
    <w:p w14:paraId="39DEF662"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r w:rsidRPr="00E27BA1">
        <w:rPr>
          <w:kern w:val="2"/>
          <w:lang w:val="x-none" w:eastAsia="x-none"/>
        </w:rPr>
        <w:t>JML 26-002</w:t>
      </w:r>
      <w:r w:rsidRPr="00E27BA1">
        <w:rPr>
          <w:kern w:val="2"/>
          <w:lang w:val="x-none" w:eastAsia="x-none"/>
        </w:rPr>
        <w:tab/>
        <w:t>Flags at Half-Staff—The Honorable Robert “Bob” Kostelka, 196EO</w:t>
      </w:r>
    </w:p>
    <w:p w14:paraId="399EE33F"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r w:rsidRPr="00E27BA1">
        <w:rPr>
          <w:kern w:val="2"/>
          <w:lang w:val="x-none" w:eastAsia="x-none"/>
        </w:rPr>
        <w:t>JML 26-003</w:t>
      </w:r>
      <w:r w:rsidRPr="00E27BA1">
        <w:rPr>
          <w:kern w:val="2"/>
          <w:lang w:val="x-none" w:eastAsia="x-none"/>
        </w:rPr>
        <w:tab/>
        <w:t>Renewal of State of Emergency—Maximum Security Camp J Repairs and Operation—Louisiana State Penitentiary, 196EO</w:t>
      </w:r>
    </w:p>
    <w:p w14:paraId="1F80B2F8"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r w:rsidRPr="00E27BA1">
        <w:rPr>
          <w:w w:val="105"/>
          <w:kern w:val="2"/>
          <w:lang w:val="x-none" w:eastAsia="x-none"/>
        </w:rPr>
        <w:t>JML 26-004</w:t>
      </w:r>
      <w:r w:rsidRPr="00E27BA1">
        <w:rPr>
          <w:w w:val="105"/>
          <w:kern w:val="2"/>
          <w:lang w:val="x-none" w:eastAsia="x-none"/>
        </w:rPr>
        <w:tab/>
      </w:r>
      <w:r w:rsidRPr="00E27BA1">
        <w:rPr>
          <w:kern w:val="2"/>
          <w:lang w:val="x-none" w:eastAsia="x-none"/>
        </w:rPr>
        <w:t>Renewal of State of Emergency—Hurricane Ida, 198EO</w:t>
      </w:r>
    </w:p>
    <w:p w14:paraId="275E87B9"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r w:rsidRPr="00E27BA1">
        <w:rPr>
          <w:kern w:val="2"/>
          <w:lang w:val="x-none" w:eastAsia="x-none"/>
        </w:rPr>
        <w:t>JML 26-005</w:t>
      </w:r>
      <w:r w:rsidRPr="00E27BA1">
        <w:rPr>
          <w:kern w:val="2"/>
          <w:lang w:val="x-none" w:eastAsia="x-none"/>
        </w:rPr>
        <w:tab/>
        <w:t>Renewal of State of Emergency—Threat of Subsidence, Subsurface Instability, and Presence of Hydrocarbons in Sulphur Mines Salt Dome Area, 198EO</w:t>
      </w:r>
    </w:p>
    <w:p w14:paraId="70897D73"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r w:rsidRPr="00E27BA1">
        <w:rPr>
          <w:kern w:val="2"/>
          <w:lang w:val="x-none" w:eastAsia="x-none"/>
        </w:rPr>
        <w:t>JML 26-006</w:t>
      </w:r>
      <w:r w:rsidRPr="00E27BA1">
        <w:rPr>
          <w:kern w:val="2"/>
          <w:lang w:val="x-none" w:eastAsia="x-none"/>
        </w:rPr>
        <w:tab/>
        <w:t>State of Emergency—Winter Weather Preparation—January 22, 2026, 199EO</w:t>
      </w:r>
    </w:p>
    <w:p w14:paraId="659E9C49"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r w:rsidRPr="00E27BA1">
        <w:rPr>
          <w:kern w:val="2"/>
          <w:lang w:val="x-none" w:eastAsia="x-none"/>
        </w:rPr>
        <w:t>JML 26-007</w:t>
      </w:r>
      <w:r w:rsidRPr="00E27BA1">
        <w:rPr>
          <w:kern w:val="2"/>
          <w:lang w:val="x-none" w:eastAsia="x-none"/>
        </w:rPr>
        <w:tab/>
        <w:t>Renewal of State of Emergency—City of Tallulah Water System, 200EO</w:t>
      </w:r>
    </w:p>
    <w:p w14:paraId="10DE91EF"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r w:rsidRPr="00E27BA1">
        <w:rPr>
          <w:kern w:val="2"/>
          <w:lang w:val="x-none" w:eastAsia="x-none"/>
        </w:rPr>
        <w:t>JML 26-008</w:t>
      </w:r>
      <w:r w:rsidRPr="00E27BA1">
        <w:rPr>
          <w:kern w:val="2"/>
          <w:lang w:val="x-none" w:eastAsia="x-none"/>
        </w:rPr>
        <w:tab/>
        <w:t>Renewal of State of Emergency—Cybersecurity Incidents, 201EO</w:t>
      </w:r>
    </w:p>
    <w:p w14:paraId="45914980"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r w:rsidRPr="00E27BA1">
        <w:rPr>
          <w:kern w:val="2"/>
          <w:lang w:val="x-none" w:eastAsia="x-none"/>
        </w:rPr>
        <w:t>JML 26-009</w:t>
      </w:r>
      <w:r w:rsidRPr="00E27BA1">
        <w:rPr>
          <w:kern w:val="2"/>
          <w:lang w:val="x-none" w:eastAsia="x-none"/>
        </w:rPr>
        <w:tab/>
        <w:t>State of Emergency—Licensed Bed Capacity for Nursing Facilities, 202EO</w:t>
      </w:r>
    </w:p>
    <w:p w14:paraId="71BD9EDF"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r w:rsidRPr="00E27BA1">
        <w:rPr>
          <w:kern w:val="2"/>
          <w:lang w:val="x-none" w:eastAsia="x-none"/>
        </w:rPr>
        <w:t>JML 26-010</w:t>
      </w:r>
      <w:r w:rsidRPr="00E27BA1">
        <w:rPr>
          <w:kern w:val="2"/>
          <w:lang w:val="x-none" w:eastAsia="x-none"/>
        </w:rPr>
        <w:tab/>
        <w:t>State of Emergency—Suspension of Early Voting, 203EO</w:t>
      </w:r>
    </w:p>
    <w:p w14:paraId="1284B605"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r w:rsidRPr="00E27BA1">
        <w:rPr>
          <w:kern w:val="2"/>
          <w:lang w:val="x-none" w:eastAsia="x-none"/>
        </w:rPr>
        <w:t>JML 26-011</w:t>
      </w:r>
      <w:r w:rsidRPr="00E27BA1">
        <w:rPr>
          <w:kern w:val="2"/>
          <w:lang w:val="x-none" w:eastAsia="x-none"/>
        </w:rPr>
        <w:tab/>
        <w:t>Modernizing Louisiana’s Workforce for a New Era, 204EO</w:t>
      </w:r>
    </w:p>
    <w:p w14:paraId="08478B9A"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r w:rsidRPr="00E27BA1">
        <w:rPr>
          <w:kern w:val="2"/>
          <w:lang w:val="x-none" w:eastAsia="x-none"/>
        </w:rPr>
        <w:t>JML 26-012</w:t>
      </w:r>
      <w:r w:rsidRPr="00E27BA1">
        <w:rPr>
          <w:kern w:val="2"/>
          <w:lang w:val="x-none" w:eastAsia="x-none"/>
        </w:rPr>
        <w:tab/>
        <w:t>Flags at Half-Staff—Deputy Timothy David Jordan, 205EO</w:t>
      </w:r>
    </w:p>
    <w:p w14:paraId="3BC345BF"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r w:rsidRPr="00E27BA1">
        <w:rPr>
          <w:kern w:val="2"/>
          <w:lang w:val="x-none" w:eastAsia="x-none"/>
        </w:rPr>
        <w:t>JML 26-013</w:t>
      </w:r>
      <w:r w:rsidRPr="00E27BA1">
        <w:rPr>
          <w:kern w:val="2"/>
          <w:lang w:val="x-none" w:eastAsia="x-none"/>
        </w:rPr>
        <w:tab/>
        <w:t>Flags at Half-Staff—Deputy Christopher Paul Ohlmeyer, 205EO</w:t>
      </w:r>
    </w:p>
    <w:p w14:paraId="4D579012"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r w:rsidRPr="00E27BA1">
        <w:rPr>
          <w:kern w:val="2"/>
          <w:lang w:val="x-none" w:eastAsia="x-none"/>
        </w:rPr>
        <w:t>JML 26-014</w:t>
      </w:r>
      <w:r w:rsidRPr="00E27BA1">
        <w:rPr>
          <w:kern w:val="2"/>
          <w:lang w:val="x-none" w:eastAsia="x-none"/>
        </w:rPr>
        <w:tab/>
        <w:t>Bond Allocation 2026 Ceiling and Carry-Forward Bond Allocation 2025, 206EO</w:t>
      </w:r>
    </w:p>
    <w:p w14:paraId="333EDAA8"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r w:rsidRPr="00E27BA1">
        <w:rPr>
          <w:kern w:val="2"/>
          <w:lang w:val="x-none" w:eastAsia="x-none"/>
        </w:rPr>
        <w:t>JML 26-015</w:t>
      </w:r>
      <w:r w:rsidRPr="00E27BA1">
        <w:rPr>
          <w:kern w:val="2"/>
          <w:lang w:val="x-none" w:eastAsia="x-none"/>
        </w:rPr>
        <w:tab/>
        <w:t>Bond Allocation 2026 Ceiling Amendment, 207EO</w:t>
      </w:r>
    </w:p>
    <w:p w14:paraId="0D5729E3"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eastAsia="x-none"/>
        </w:rPr>
      </w:pPr>
      <w:r w:rsidRPr="00E27BA1">
        <w:rPr>
          <w:kern w:val="2"/>
          <w:lang w:val="x-none" w:eastAsia="x-none"/>
        </w:rPr>
        <w:t>JML 26-016</w:t>
      </w:r>
      <w:r w:rsidRPr="00E27BA1">
        <w:rPr>
          <w:kern w:val="2"/>
          <w:lang w:val="x-none" w:eastAsia="x-none"/>
        </w:rPr>
        <w:tab/>
        <w:t>Renewal of State of Emergency—Hurricane Ida, 330EO</w:t>
      </w:r>
    </w:p>
    <w:p w14:paraId="63EEAE8C"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r w:rsidRPr="00E27BA1">
        <w:rPr>
          <w:kern w:val="2"/>
          <w:lang w:val="x-none" w:eastAsia="x-none"/>
        </w:rPr>
        <w:t>JML 26-017</w:t>
      </w:r>
      <w:r w:rsidRPr="00E27BA1">
        <w:rPr>
          <w:kern w:val="2"/>
          <w:lang w:val="x-none" w:eastAsia="x-none"/>
        </w:rPr>
        <w:tab/>
        <w:t>Renewal of State of Emergency—Threat of Subsidence, Subsurface Instability, and Presence of Hydrocarbons in Sulphur Mines Salt Dome Area, 331EO</w:t>
      </w:r>
    </w:p>
    <w:p w14:paraId="56AB1CD4"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r w:rsidRPr="00E27BA1">
        <w:rPr>
          <w:kern w:val="2"/>
          <w:lang w:val="x-none" w:eastAsia="x-none"/>
        </w:rPr>
        <w:t>JML 26-018</w:t>
      </w:r>
      <w:r w:rsidRPr="00E27BA1">
        <w:rPr>
          <w:kern w:val="2"/>
          <w:lang w:val="x-none" w:eastAsia="x-none"/>
        </w:rPr>
        <w:tab/>
        <w:t>Renewal of State of Emergency—Maximum Security Camp J Repairs and Operation—Louisiana State Penitentiary, 331EO</w:t>
      </w:r>
    </w:p>
    <w:p w14:paraId="7D7DE766"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r w:rsidRPr="00E27BA1">
        <w:rPr>
          <w:kern w:val="2"/>
          <w:lang w:val="x-none" w:eastAsia="x-none"/>
        </w:rPr>
        <w:t>JML 26-019</w:t>
      </w:r>
      <w:r w:rsidRPr="00E27BA1">
        <w:rPr>
          <w:kern w:val="2"/>
          <w:lang w:val="x-none" w:eastAsia="x-none"/>
        </w:rPr>
        <w:tab/>
        <w:t>Renewal of State of Emergency—City of Tallulah Water System, 332EO</w:t>
      </w:r>
    </w:p>
    <w:p w14:paraId="622333F5"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r w:rsidRPr="00E27BA1">
        <w:rPr>
          <w:kern w:val="2"/>
          <w:lang w:val="x-none" w:eastAsia="x-none"/>
        </w:rPr>
        <w:t>JML 26-020</w:t>
      </w:r>
      <w:r w:rsidRPr="00E27BA1">
        <w:rPr>
          <w:kern w:val="2"/>
          <w:lang w:val="x-none" w:eastAsia="x-none"/>
        </w:rPr>
        <w:tab/>
      </w:r>
      <w:r w:rsidRPr="00E27BA1">
        <w:rPr>
          <w:spacing w:val="1"/>
          <w:kern w:val="2"/>
          <w:lang w:val="x-none" w:eastAsia="x-none"/>
        </w:rPr>
        <w:t>Renewal of S</w:t>
      </w:r>
      <w:r w:rsidRPr="00E27BA1">
        <w:rPr>
          <w:kern w:val="2"/>
          <w:lang w:val="x-none" w:eastAsia="x-none"/>
        </w:rPr>
        <w:t>tate</w:t>
      </w:r>
      <w:r w:rsidRPr="00E27BA1">
        <w:rPr>
          <w:spacing w:val="1"/>
          <w:kern w:val="2"/>
          <w:lang w:val="x-none" w:eastAsia="x-none"/>
        </w:rPr>
        <w:t xml:space="preserve"> </w:t>
      </w:r>
      <w:r w:rsidRPr="00E27BA1">
        <w:rPr>
          <w:kern w:val="2"/>
          <w:lang w:val="x-none" w:eastAsia="x-none"/>
        </w:rPr>
        <w:t xml:space="preserve">of </w:t>
      </w:r>
      <w:r w:rsidRPr="00E27BA1">
        <w:rPr>
          <w:spacing w:val="1"/>
          <w:kern w:val="2"/>
          <w:lang w:val="x-none" w:eastAsia="x-none"/>
        </w:rPr>
        <w:t>E</w:t>
      </w:r>
      <w:r w:rsidRPr="00E27BA1">
        <w:rPr>
          <w:spacing w:val="-2"/>
          <w:kern w:val="2"/>
          <w:lang w:val="x-none" w:eastAsia="x-none"/>
        </w:rPr>
        <w:t>m</w:t>
      </w:r>
      <w:r w:rsidRPr="00E27BA1">
        <w:rPr>
          <w:kern w:val="2"/>
          <w:lang w:val="x-none" w:eastAsia="x-none"/>
        </w:rPr>
        <w:t>erge</w:t>
      </w:r>
      <w:r w:rsidRPr="00E27BA1">
        <w:rPr>
          <w:spacing w:val="-3"/>
          <w:kern w:val="2"/>
          <w:lang w:val="x-none" w:eastAsia="x-none"/>
        </w:rPr>
        <w:t>n</w:t>
      </w:r>
      <w:r w:rsidRPr="00E27BA1">
        <w:rPr>
          <w:kern w:val="2"/>
          <w:lang w:val="x-none" w:eastAsia="x-none"/>
        </w:rPr>
        <w:t>cy—Cybersecurity Incidents, 333EO</w:t>
      </w:r>
    </w:p>
    <w:p w14:paraId="7B8D1A3D"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r w:rsidRPr="00E27BA1">
        <w:rPr>
          <w:kern w:val="2"/>
          <w:lang w:val="x-none" w:eastAsia="x-none"/>
        </w:rPr>
        <w:t>JML 26-021</w:t>
      </w:r>
      <w:r w:rsidRPr="00E27BA1">
        <w:rPr>
          <w:kern w:val="2"/>
          <w:lang w:val="x-none" w:eastAsia="x-none"/>
        </w:rPr>
        <w:tab/>
        <w:t>Directing the Department of Children and Family Services to Preserve Federal Earned Benefits for Eligible Children in Foster Care, 334EO</w:t>
      </w:r>
    </w:p>
    <w:p w14:paraId="6F348700"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r w:rsidRPr="00E27BA1">
        <w:rPr>
          <w:kern w:val="2"/>
          <w:lang w:val="x-none" w:eastAsia="x-none"/>
        </w:rPr>
        <w:t>JML 26-022</w:t>
      </w:r>
      <w:r w:rsidRPr="00E27BA1">
        <w:rPr>
          <w:kern w:val="2"/>
          <w:lang w:val="x-none" w:eastAsia="x-none"/>
        </w:rPr>
        <w:tab/>
        <w:t>Bond Allocation 2026 Ceiling, 335EO</w:t>
      </w:r>
    </w:p>
    <w:p w14:paraId="4D2BFA1E"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r w:rsidRPr="00E27BA1">
        <w:rPr>
          <w:kern w:val="2"/>
          <w:lang w:val="x-none" w:eastAsia="x-none"/>
        </w:rPr>
        <w:t>JML 26-023</w:t>
      </w:r>
      <w:r w:rsidRPr="00E27BA1">
        <w:rPr>
          <w:kern w:val="2"/>
          <w:lang w:val="x-none" w:eastAsia="x-none"/>
        </w:rPr>
        <w:tab/>
        <w:t>Renewal of State of Emergency—Hurricane Ida, 467EO</w:t>
      </w:r>
    </w:p>
    <w:p w14:paraId="2B273920"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r w:rsidRPr="00E27BA1">
        <w:rPr>
          <w:kern w:val="2"/>
          <w:lang w:val="x-none" w:eastAsia="x-none"/>
        </w:rPr>
        <w:t>JML 26-024</w:t>
      </w:r>
      <w:r w:rsidRPr="00E27BA1">
        <w:rPr>
          <w:kern w:val="2"/>
          <w:lang w:val="x-none" w:eastAsia="x-none"/>
        </w:rPr>
        <w:tab/>
        <w:t>Renewal of State of Emergency—Threat of Subsidence, Subsurface Instability, and Presence of Hydrocarbons in Sulphur Mines Salt Dome Area, 468EO</w:t>
      </w:r>
    </w:p>
    <w:p w14:paraId="1AC74D81"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r w:rsidRPr="00E27BA1">
        <w:rPr>
          <w:kern w:val="2"/>
          <w:lang w:val="x-none" w:eastAsia="x-none"/>
        </w:rPr>
        <w:t>JML 26-025</w:t>
      </w:r>
      <w:r w:rsidRPr="00E27BA1">
        <w:rPr>
          <w:kern w:val="2"/>
          <w:lang w:val="x-none" w:eastAsia="x-none"/>
        </w:rPr>
        <w:tab/>
        <w:t>Renewal of State of Emergency—Maximum Security Camp J Repairs and Operation—Louisiana State Penitentiary, 468EO</w:t>
      </w:r>
    </w:p>
    <w:p w14:paraId="6AF50F46"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r w:rsidRPr="00E27BA1">
        <w:rPr>
          <w:kern w:val="2"/>
          <w:lang w:val="x-none" w:eastAsia="x-none"/>
        </w:rPr>
        <w:t>JML 26-026</w:t>
      </w:r>
      <w:r w:rsidRPr="00E27BA1">
        <w:rPr>
          <w:kern w:val="2"/>
          <w:lang w:val="x-none" w:eastAsia="x-none"/>
        </w:rPr>
        <w:tab/>
        <w:t>Amendment to Emergency Response Commission, 469EO</w:t>
      </w:r>
    </w:p>
    <w:p w14:paraId="5657E039"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r w:rsidRPr="00E27BA1">
        <w:rPr>
          <w:kern w:val="2"/>
          <w:lang w:val="x-none" w:eastAsia="x-none"/>
        </w:rPr>
        <w:t>JML 26-027</w:t>
      </w:r>
      <w:r w:rsidRPr="00E27BA1">
        <w:rPr>
          <w:kern w:val="2"/>
          <w:lang w:val="x-none" w:eastAsia="x-none"/>
        </w:rPr>
        <w:tab/>
        <w:t>Renewal of State of Emergency—City of Tallulah Water System, 471EO</w:t>
      </w:r>
    </w:p>
    <w:p w14:paraId="0441C4DA"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r w:rsidRPr="00E27BA1">
        <w:rPr>
          <w:kern w:val="2"/>
          <w:lang w:val="x-none" w:eastAsia="x-none"/>
        </w:rPr>
        <w:t>JML 26-028</w:t>
      </w:r>
      <w:r w:rsidRPr="00E27BA1">
        <w:rPr>
          <w:kern w:val="2"/>
          <w:lang w:val="x-none" w:eastAsia="x-none"/>
        </w:rPr>
        <w:tab/>
      </w:r>
      <w:r w:rsidRPr="00E27BA1">
        <w:rPr>
          <w:spacing w:val="1"/>
          <w:kern w:val="2"/>
          <w:lang w:val="x-none" w:eastAsia="x-none"/>
        </w:rPr>
        <w:t>Renewal of S</w:t>
      </w:r>
      <w:r w:rsidRPr="00E27BA1">
        <w:rPr>
          <w:kern w:val="2"/>
          <w:lang w:val="x-none" w:eastAsia="x-none"/>
        </w:rPr>
        <w:t>tate</w:t>
      </w:r>
      <w:r w:rsidRPr="00E27BA1">
        <w:rPr>
          <w:spacing w:val="1"/>
          <w:kern w:val="2"/>
          <w:lang w:val="x-none" w:eastAsia="x-none"/>
        </w:rPr>
        <w:t xml:space="preserve"> </w:t>
      </w:r>
      <w:r w:rsidRPr="00E27BA1">
        <w:rPr>
          <w:kern w:val="2"/>
          <w:lang w:val="x-none" w:eastAsia="x-none"/>
        </w:rPr>
        <w:t xml:space="preserve">of </w:t>
      </w:r>
      <w:r w:rsidRPr="00E27BA1">
        <w:rPr>
          <w:spacing w:val="1"/>
          <w:kern w:val="2"/>
          <w:lang w:val="x-none" w:eastAsia="x-none"/>
        </w:rPr>
        <w:t>E</w:t>
      </w:r>
      <w:r w:rsidRPr="00E27BA1">
        <w:rPr>
          <w:spacing w:val="-2"/>
          <w:kern w:val="2"/>
          <w:lang w:val="x-none" w:eastAsia="x-none"/>
        </w:rPr>
        <w:t>m</w:t>
      </w:r>
      <w:r w:rsidRPr="00E27BA1">
        <w:rPr>
          <w:kern w:val="2"/>
          <w:lang w:val="x-none" w:eastAsia="x-none"/>
        </w:rPr>
        <w:t>erge</w:t>
      </w:r>
      <w:r w:rsidRPr="00E27BA1">
        <w:rPr>
          <w:spacing w:val="-3"/>
          <w:kern w:val="2"/>
          <w:lang w:val="x-none" w:eastAsia="x-none"/>
        </w:rPr>
        <w:t>n</w:t>
      </w:r>
      <w:r w:rsidRPr="00E27BA1">
        <w:rPr>
          <w:kern w:val="2"/>
          <w:lang w:val="x-none" w:eastAsia="x-none"/>
        </w:rPr>
        <w:t>cy—Cybersecurity Incidents, 471EO</w:t>
      </w:r>
    </w:p>
    <w:p w14:paraId="6A298003"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r w:rsidRPr="00E27BA1">
        <w:rPr>
          <w:kern w:val="2"/>
          <w:lang w:val="x-none" w:eastAsia="x-none"/>
        </w:rPr>
        <w:t>JML 26-029</w:t>
      </w:r>
      <w:r w:rsidRPr="00E27BA1">
        <w:rPr>
          <w:kern w:val="2"/>
          <w:lang w:val="x-none" w:eastAsia="x-none"/>
        </w:rPr>
        <w:tab/>
        <w:t>Flags at Half-Staff—Master Sergeant Tyler Marie Grezaffi, 472EO</w:t>
      </w:r>
    </w:p>
    <w:p w14:paraId="5520E25B"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r w:rsidRPr="00E27BA1">
        <w:rPr>
          <w:kern w:val="2"/>
          <w:lang w:val="x-none" w:eastAsia="x-none"/>
        </w:rPr>
        <w:t>JML 26-030</w:t>
      </w:r>
      <w:r w:rsidRPr="00E27BA1">
        <w:rPr>
          <w:kern w:val="2"/>
          <w:lang w:val="x-none" w:eastAsia="x-none"/>
        </w:rPr>
        <w:tab/>
        <w:t>Bond Allocation 2026 Ceiling Amendment, 473EO</w:t>
      </w:r>
    </w:p>
    <w:p w14:paraId="6998B325"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r w:rsidRPr="00E27BA1">
        <w:rPr>
          <w:kern w:val="2"/>
          <w:lang w:val="x-none" w:eastAsia="x-none"/>
        </w:rPr>
        <w:t>JML 26-031</w:t>
      </w:r>
      <w:r w:rsidRPr="00E27BA1">
        <w:rPr>
          <w:kern w:val="2"/>
          <w:lang w:val="x-none" w:eastAsia="x-none"/>
        </w:rPr>
        <w:tab/>
        <w:t>Flags at Half-Staff—Sheriff William Earl Hilton, 473EO</w:t>
      </w:r>
    </w:p>
    <w:p w14:paraId="221D7679"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r w:rsidRPr="00E27BA1">
        <w:rPr>
          <w:kern w:val="2"/>
          <w:lang w:val="x-none" w:eastAsia="x-none"/>
        </w:rPr>
        <w:t>JML 26-032</w:t>
      </w:r>
      <w:r w:rsidRPr="00E27BA1">
        <w:rPr>
          <w:kern w:val="2"/>
          <w:lang w:val="x-none" w:eastAsia="x-none"/>
        </w:rPr>
        <w:tab/>
        <w:t>Louisiana Rural Health Transformation Program, 474EO</w:t>
      </w:r>
    </w:p>
    <w:p w14:paraId="5F56C63D"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r w:rsidRPr="00E27BA1">
        <w:rPr>
          <w:kern w:val="2"/>
          <w:lang w:val="x-none" w:eastAsia="x-none"/>
        </w:rPr>
        <w:t>JML 26-033</w:t>
      </w:r>
      <w:r w:rsidRPr="00E27BA1">
        <w:rPr>
          <w:kern w:val="2"/>
          <w:lang w:val="x-none" w:eastAsia="x-none"/>
        </w:rPr>
        <w:tab/>
        <w:t>Renewal of State of Emergency—Hurricane Ida, 644EO</w:t>
      </w:r>
    </w:p>
    <w:p w14:paraId="1EFFFA8A"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r w:rsidRPr="00E27BA1">
        <w:rPr>
          <w:kern w:val="2"/>
          <w:lang w:val="x-none" w:eastAsia="x-none"/>
        </w:rPr>
        <w:t>JML 26-034</w:t>
      </w:r>
      <w:r w:rsidRPr="00E27BA1">
        <w:rPr>
          <w:kern w:val="2"/>
          <w:lang w:val="x-none" w:eastAsia="x-none"/>
        </w:rPr>
        <w:tab/>
        <w:t>Renewal of State of Emergency—Threat of Subsidence, Subsurface Instability, and Presence of Hydrocarbons in Sulphur Mines Salt Dome Area, 645EO</w:t>
      </w:r>
    </w:p>
    <w:p w14:paraId="5D3B3495"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r w:rsidRPr="00E27BA1">
        <w:rPr>
          <w:kern w:val="2"/>
          <w:lang w:val="x-none" w:eastAsia="x-none"/>
        </w:rPr>
        <w:t>JML 26-035</w:t>
      </w:r>
      <w:r w:rsidRPr="00E27BA1">
        <w:rPr>
          <w:kern w:val="2"/>
          <w:lang w:val="x-none" w:eastAsia="x-none"/>
        </w:rPr>
        <w:tab/>
        <w:t>Renewal of State of Emergency—Maximum Security Camp J Repairs and Operation—Louisiana State Penitentiary, 645EO</w:t>
      </w:r>
    </w:p>
    <w:p w14:paraId="435D17AA"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r w:rsidRPr="00E27BA1">
        <w:rPr>
          <w:kern w:val="2"/>
          <w:lang w:val="x-none" w:eastAsia="x-none"/>
        </w:rPr>
        <w:t>JML 26-036</w:t>
      </w:r>
      <w:r w:rsidRPr="00E27BA1">
        <w:rPr>
          <w:kern w:val="2"/>
          <w:lang w:val="x-none" w:eastAsia="x-none"/>
        </w:rPr>
        <w:tab/>
        <w:t>Renewal of State of Emergency—City of Tallulah Water System, 646EO</w:t>
      </w:r>
    </w:p>
    <w:p w14:paraId="65619EEF"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r w:rsidRPr="00E27BA1">
        <w:rPr>
          <w:kern w:val="2"/>
          <w:lang w:val="x-none" w:eastAsia="x-none"/>
        </w:rPr>
        <w:t>JML 26-037</w:t>
      </w:r>
      <w:r w:rsidRPr="00E27BA1">
        <w:rPr>
          <w:kern w:val="2"/>
          <w:lang w:val="x-none" w:eastAsia="x-none"/>
        </w:rPr>
        <w:tab/>
      </w:r>
      <w:r w:rsidRPr="00E27BA1">
        <w:rPr>
          <w:spacing w:val="1"/>
          <w:kern w:val="2"/>
          <w:lang w:val="x-none" w:eastAsia="x-none"/>
        </w:rPr>
        <w:t>Renewal of S</w:t>
      </w:r>
      <w:r w:rsidRPr="00E27BA1">
        <w:rPr>
          <w:kern w:val="2"/>
          <w:lang w:val="x-none" w:eastAsia="x-none"/>
        </w:rPr>
        <w:t>tate</w:t>
      </w:r>
      <w:r w:rsidRPr="00E27BA1">
        <w:rPr>
          <w:spacing w:val="1"/>
          <w:kern w:val="2"/>
          <w:lang w:val="x-none" w:eastAsia="x-none"/>
        </w:rPr>
        <w:t xml:space="preserve"> </w:t>
      </w:r>
      <w:r w:rsidRPr="00E27BA1">
        <w:rPr>
          <w:kern w:val="2"/>
          <w:lang w:val="x-none" w:eastAsia="x-none"/>
        </w:rPr>
        <w:t xml:space="preserve">of </w:t>
      </w:r>
      <w:r w:rsidRPr="00E27BA1">
        <w:rPr>
          <w:spacing w:val="1"/>
          <w:kern w:val="2"/>
          <w:lang w:val="x-none" w:eastAsia="x-none"/>
        </w:rPr>
        <w:t>E</w:t>
      </w:r>
      <w:r w:rsidRPr="00E27BA1">
        <w:rPr>
          <w:spacing w:val="-2"/>
          <w:kern w:val="2"/>
          <w:lang w:val="x-none" w:eastAsia="x-none"/>
        </w:rPr>
        <w:t>m</w:t>
      </w:r>
      <w:r w:rsidRPr="00E27BA1">
        <w:rPr>
          <w:kern w:val="2"/>
          <w:lang w:val="x-none" w:eastAsia="x-none"/>
        </w:rPr>
        <w:t>erge</w:t>
      </w:r>
      <w:r w:rsidRPr="00E27BA1">
        <w:rPr>
          <w:spacing w:val="-3"/>
          <w:kern w:val="2"/>
          <w:lang w:val="x-none" w:eastAsia="x-none"/>
        </w:rPr>
        <w:t>n</w:t>
      </w:r>
      <w:r w:rsidRPr="00E27BA1">
        <w:rPr>
          <w:kern w:val="2"/>
          <w:lang w:val="x-none" w:eastAsia="x-none"/>
        </w:rPr>
        <w:t>cy—Cybersecurity Incidents, 647EO</w:t>
      </w:r>
    </w:p>
    <w:p w14:paraId="6D1B3048"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r w:rsidRPr="00E27BA1">
        <w:rPr>
          <w:kern w:val="2"/>
          <w:lang w:val="x-none" w:eastAsia="x-none"/>
        </w:rPr>
        <w:t>JML 26-38</w:t>
      </w:r>
      <w:r w:rsidRPr="00E27BA1">
        <w:rPr>
          <w:kern w:val="2"/>
          <w:lang w:val="x-none" w:eastAsia="x-none"/>
        </w:rPr>
        <w:tab/>
      </w:r>
      <w:r w:rsidRPr="00E27BA1">
        <w:rPr>
          <w:kern w:val="2"/>
          <w:lang w:val="x-none" w:eastAsia="x-none"/>
        </w:rPr>
        <w:tab/>
        <w:t>State of Emergency—Suspension of Closed Party Primary Elections for the Offices of Representative in the United States Congress, 648EO</w:t>
      </w:r>
    </w:p>
    <w:p w14:paraId="471824DB" w14:textId="77777777" w:rsidR="00E27BA1" w:rsidRPr="00E27BA1" w:rsidRDefault="00E27BA1" w:rsidP="00E27BA1">
      <w:pPr>
        <w:keepNext/>
        <w:jc w:val="center"/>
        <w:rPr>
          <w:b/>
          <w:kern w:val="28"/>
        </w:rPr>
      </w:pPr>
      <w:r w:rsidRPr="00E27BA1">
        <w:rPr>
          <w:b/>
          <w:kern w:val="28"/>
        </w:rPr>
        <w:lastRenderedPageBreak/>
        <w:t>EXECUTIVE ORDERS (continued)</w:t>
      </w:r>
    </w:p>
    <w:p w14:paraId="044AB237"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r w:rsidRPr="00E27BA1">
        <w:rPr>
          <w:kern w:val="2"/>
          <w:lang w:val="x-none" w:eastAsia="x-none"/>
        </w:rPr>
        <w:t>JML 26-39</w:t>
      </w:r>
      <w:r w:rsidRPr="00E27BA1">
        <w:rPr>
          <w:kern w:val="2"/>
          <w:lang w:val="x-none" w:eastAsia="x-none"/>
        </w:rPr>
        <w:tab/>
      </w:r>
      <w:r w:rsidRPr="00E27BA1">
        <w:rPr>
          <w:kern w:val="2"/>
          <w:lang w:val="x-none" w:eastAsia="x-none"/>
        </w:rPr>
        <w:tab/>
        <w:t>Flags at Half-Staff—Peace Officers Memorial Day and Police Week, 649EO</w:t>
      </w:r>
    </w:p>
    <w:p w14:paraId="40A3947D"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r w:rsidRPr="00E27BA1">
        <w:rPr>
          <w:kern w:val="2"/>
          <w:lang w:val="x-none" w:eastAsia="x-none"/>
        </w:rPr>
        <w:t>JML 26-40</w:t>
      </w:r>
      <w:r w:rsidRPr="00E27BA1">
        <w:rPr>
          <w:kern w:val="2"/>
          <w:lang w:val="x-none" w:eastAsia="x-none"/>
        </w:rPr>
        <w:tab/>
      </w:r>
      <w:r w:rsidRPr="00E27BA1">
        <w:rPr>
          <w:kern w:val="2"/>
          <w:lang w:val="x-none" w:eastAsia="x-none"/>
        </w:rPr>
        <w:tab/>
        <w:t>Flags at Half-Staff—Martha Elizabeth Odom, 649EO</w:t>
      </w:r>
    </w:p>
    <w:p w14:paraId="5E845534"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r w:rsidRPr="00E27BA1">
        <w:rPr>
          <w:kern w:val="2"/>
          <w:lang w:val="x-none" w:eastAsia="x-none"/>
        </w:rPr>
        <w:t>JML 26-41</w:t>
      </w:r>
      <w:r w:rsidRPr="00E27BA1">
        <w:rPr>
          <w:kern w:val="2"/>
          <w:lang w:val="x-none" w:eastAsia="x-none"/>
        </w:rPr>
        <w:tab/>
      </w:r>
      <w:r w:rsidRPr="00E27BA1">
        <w:rPr>
          <w:kern w:val="2"/>
          <w:lang w:val="x-none" w:eastAsia="x-none"/>
        </w:rPr>
        <w:tab/>
        <w:t>Flags at Half-Staff—Period of Mourning for Jayla Elkins, Shayla Elkins, Kayla Pugh, Layla Pugh, Markaydon Pugh, Braylon Snow, Khedarrion Snow, and Sariahh Snow, 650EO</w:t>
      </w:r>
    </w:p>
    <w:p w14:paraId="15C584E9"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r w:rsidRPr="00E27BA1">
        <w:rPr>
          <w:kern w:val="2"/>
          <w:lang w:val="x-none" w:eastAsia="x-none"/>
        </w:rPr>
        <w:t>JML 26-042</w:t>
      </w:r>
      <w:r w:rsidRPr="00E27BA1">
        <w:rPr>
          <w:kern w:val="2"/>
          <w:lang w:val="x-none" w:eastAsia="x-none"/>
        </w:rPr>
        <w:tab/>
        <w:t>Renewal of State of Emergency—Hurricane Ida, 887 EO</w:t>
      </w:r>
    </w:p>
    <w:p w14:paraId="55888A07"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r w:rsidRPr="00E27BA1">
        <w:rPr>
          <w:kern w:val="2"/>
          <w:lang w:val="x-none" w:eastAsia="x-none"/>
        </w:rPr>
        <w:t>JML 26-043</w:t>
      </w:r>
      <w:r w:rsidRPr="00E27BA1">
        <w:rPr>
          <w:kern w:val="2"/>
          <w:lang w:val="x-none" w:eastAsia="x-none"/>
        </w:rPr>
        <w:tab/>
        <w:t>Renewal of State of Emergency—Threat of Subsidence, Subsurface Instability, and Presence of Hydrocarbons in Sulphur Mines Salt Dome Area, 888EO</w:t>
      </w:r>
    </w:p>
    <w:p w14:paraId="72240EE6"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r w:rsidRPr="00E27BA1">
        <w:rPr>
          <w:kern w:val="2"/>
          <w:lang w:val="x-none" w:eastAsia="x-none"/>
        </w:rPr>
        <w:t>JML 26-044</w:t>
      </w:r>
      <w:r w:rsidRPr="00E27BA1">
        <w:rPr>
          <w:kern w:val="2"/>
          <w:lang w:val="x-none" w:eastAsia="x-none"/>
        </w:rPr>
        <w:tab/>
        <w:t>Renewal of State of Emergency—Maximum Security—Camp J Repairs and Operation Louisiana State Penitentiary, 888EO</w:t>
      </w:r>
    </w:p>
    <w:p w14:paraId="6C5C7E05" w14:textId="77777777" w:rsidR="00E27BA1" w:rsidRPr="00E27BA1" w:rsidRDefault="00E27BA1" w:rsidP="00E27BA1">
      <w:pPr>
        <w:tabs>
          <w:tab w:val="left" w:pos="144"/>
          <w:tab w:val="left" w:pos="187"/>
          <w:tab w:val="left" w:pos="540"/>
          <w:tab w:val="left" w:pos="907"/>
          <w:tab w:val="left" w:pos="1260"/>
        </w:tabs>
        <w:ind w:firstLine="187"/>
        <w:jc w:val="both"/>
        <w:outlineLvl w:val="3"/>
        <w:rPr>
          <w:kern w:val="2"/>
          <w:lang w:val="x-none" w:eastAsia="x-none"/>
        </w:rPr>
      </w:pPr>
      <w:r w:rsidRPr="00E27BA1">
        <w:rPr>
          <w:kern w:val="2"/>
          <w:lang w:val="x-none" w:eastAsia="x-none"/>
        </w:rPr>
        <w:t>JML 26-45</w:t>
      </w:r>
      <w:r w:rsidRPr="00E27BA1">
        <w:rPr>
          <w:kern w:val="2"/>
          <w:lang w:val="x-none" w:eastAsia="x-none"/>
        </w:rPr>
        <w:tab/>
        <w:t>Renewal of State of Emergency—City of Tallulah Water System, 889EO</w:t>
      </w:r>
    </w:p>
    <w:p w14:paraId="335B7862" w14:textId="77777777" w:rsidR="00E27BA1" w:rsidRPr="00E27BA1" w:rsidRDefault="00E27BA1" w:rsidP="00E27BA1">
      <w:pPr>
        <w:tabs>
          <w:tab w:val="left" w:pos="144"/>
          <w:tab w:val="left" w:pos="187"/>
          <w:tab w:val="left" w:pos="540"/>
          <w:tab w:val="left" w:pos="907"/>
          <w:tab w:val="left" w:pos="1260"/>
        </w:tabs>
        <w:ind w:firstLine="187"/>
        <w:jc w:val="both"/>
        <w:outlineLvl w:val="3"/>
        <w:rPr>
          <w:kern w:val="2"/>
          <w:lang w:val="x-none" w:eastAsia="x-none"/>
        </w:rPr>
      </w:pPr>
      <w:r w:rsidRPr="00E27BA1">
        <w:rPr>
          <w:kern w:val="2"/>
          <w:lang w:val="x-none" w:eastAsia="x-none"/>
        </w:rPr>
        <w:t>JML 26-46</w:t>
      </w:r>
      <w:r w:rsidRPr="00E27BA1">
        <w:rPr>
          <w:kern w:val="2"/>
          <w:lang w:val="x-none" w:eastAsia="x-none"/>
        </w:rPr>
        <w:tab/>
      </w:r>
      <w:r w:rsidRPr="00E27BA1">
        <w:rPr>
          <w:spacing w:val="1"/>
          <w:kern w:val="2"/>
          <w:lang w:val="x-none" w:eastAsia="x-none"/>
        </w:rPr>
        <w:t>Renewal of S</w:t>
      </w:r>
      <w:r w:rsidRPr="00E27BA1">
        <w:rPr>
          <w:kern w:val="2"/>
          <w:lang w:val="x-none" w:eastAsia="x-none"/>
        </w:rPr>
        <w:t>tate</w:t>
      </w:r>
      <w:r w:rsidRPr="00E27BA1">
        <w:rPr>
          <w:spacing w:val="1"/>
          <w:kern w:val="2"/>
          <w:lang w:val="x-none" w:eastAsia="x-none"/>
        </w:rPr>
        <w:t xml:space="preserve"> </w:t>
      </w:r>
      <w:r w:rsidRPr="00E27BA1">
        <w:rPr>
          <w:kern w:val="2"/>
          <w:lang w:val="x-none" w:eastAsia="x-none"/>
        </w:rPr>
        <w:t xml:space="preserve">of </w:t>
      </w:r>
      <w:r w:rsidRPr="00E27BA1">
        <w:rPr>
          <w:spacing w:val="1"/>
          <w:kern w:val="2"/>
          <w:lang w:val="x-none" w:eastAsia="x-none"/>
        </w:rPr>
        <w:t>E</w:t>
      </w:r>
      <w:r w:rsidRPr="00E27BA1">
        <w:rPr>
          <w:spacing w:val="-2"/>
          <w:kern w:val="2"/>
          <w:lang w:val="x-none" w:eastAsia="x-none"/>
        </w:rPr>
        <w:t>m</w:t>
      </w:r>
      <w:r w:rsidRPr="00E27BA1">
        <w:rPr>
          <w:kern w:val="2"/>
          <w:lang w:val="x-none" w:eastAsia="x-none"/>
        </w:rPr>
        <w:t>erge</w:t>
      </w:r>
      <w:r w:rsidRPr="00E27BA1">
        <w:rPr>
          <w:spacing w:val="-3"/>
          <w:kern w:val="2"/>
          <w:lang w:val="x-none" w:eastAsia="x-none"/>
        </w:rPr>
        <w:t>n</w:t>
      </w:r>
      <w:r w:rsidRPr="00E27BA1">
        <w:rPr>
          <w:kern w:val="2"/>
          <w:lang w:val="x-none" w:eastAsia="x-none"/>
        </w:rPr>
        <w:t>cy—Cybersecurity Incidents, 890EO</w:t>
      </w:r>
    </w:p>
    <w:p w14:paraId="57261719" w14:textId="77777777" w:rsidR="00E27BA1" w:rsidRPr="00E27BA1" w:rsidRDefault="00E27BA1" w:rsidP="00E27BA1">
      <w:pPr>
        <w:tabs>
          <w:tab w:val="left" w:pos="144"/>
          <w:tab w:val="left" w:pos="187"/>
          <w:tab w:val="left" w:pos="540"/>
          <w:tab w:val="left" w:pos="907"/>
          <w:tab w:val="left" w:pos="1260"/>
        </w:tabs>
        <w:ind w:firstLine="187"/>
        <w:jc w:val="both"/>
        <w:outlineLvl w:val="3"/>
        <w:rPr>
          <w:kern w:val="2"/>
          <w:lang w:val="x-none" w:eastAsia="x-none"/>
        </w:rPr>
      </w:pPr>
      <w:r w:rsidRPr="00E27BA1">
        <w:rPr>
          <w:kern w:val="2"/>
          <w:lang w:val="x-none" w:eastAsia="x-none"/>
        </w:rPr>
        <w:t>JML 26-47</w:t>
      </w:r>
      <w:r w:rsidRPr="00E27BA1">
        <w:rPr>
          <w:kern w:val="2"/>
          <w:lang w:val="x-none" w:eastAsia="x-none"/>
        </w:rPr>
        <w:tab/>
        <w:t>Reduction of Minimum Foundation Program Appropriation for Fiscal Year 2026-2027, 891EO</w:t>
      </w:r>
    </w:p>
    <w:p w14:paraId="6B510F91" w14:textId="77777777" w:rsidR="00E27BA1" w:rsidRPr="00E27BA1" w:rsidRDefault="00E27BA1" w:rsidP="00E27BA1">
      <w:pPr>
        <w:tabs>
          <w:tab w:val="left" w:pos="144"/>
          <w:tab w:val="left" w:pos="187"/>
          <w:tab w:val="left" w:pos="540"/>
          <w:tab w:val="left" w:pos="907"/>
          <w:tab w:val="left" w:pos="1260"/>
        </w:tabs>
        <w:ind w:firstLine="187"/>
        <w:jc w:val="both"/>
        <w:outlineLvl w:val="3"/>
        <w:rPr>
          <w:kern w:val="2"/>
          <w:lang w:val="x-none" w:eastAsia="x-none"/>
        </w:rPr>
      </w:pPr>
      <w:r w:rsidRPr="00E27BA1">
        <w:rPr>
          <w:kern w:val="2"/>
          <w:lang w:val="x-none" w:eastAsia="x-none"/>
        </w:rPr>
        <w:t>JML 26-48</w:t>
      </w:r>
      <w:r w:rsidRPr="00E27BA1">
        <w:rPr>
          <w:kern w:val="2"/>
          <w:lang w:val="x-none" w:eastAsia="x-none"/>
        </w:rPr>
        <w:tab/>
        <w:t>Renewal of State of Emergency—Hurricane Ida, 892EO</w:t>
      </w:r>
    </w:p>
    <w:p w14:paraId="1FCF26B0" w14:textId="77777777" w:rsidR="00E27BA1" w:rsidRPr="00E27BA1" w:rsidRDefault="00E27BA1" w:rsidP="00E27BA1">
      <w:pPr>
        <w:tabs>
          <w:tab w:val="left" w:pos="144"/>
          <w:tab w:val="left" w:pos="187"/>
          <w:tab w:val="left" w:pos="540"/>
          <w:tab w:val="left" w:pos="907"/>
          <w:tab w:val="left" w:pos="1260"/>
        </w:tabs>
        <w:ind w:firstLine="187"/>
        <w:jc w:val="both"/>
        <w:outlineLvl w:val="3"/>
        <w:rPr>
          <w:kern w:val="2"/>
          <w:lang w:val="x-none" w:eastAsia="x-none"/>
        </w:rPr>
      </w:pPr>
      <w:r w:rsidRPr="00E27BA1">
        <w:rPr>
          <w:kern w:val="2"/>
          <w:lang w:val="x-none" w:eastAsia="x-none"/>
        </w:rPr>
        <w:t>JML 26-49</w:t>
      </w:r>
      <w:r w:rsidRPr="00E27BA1">
        <w:rPr>
          <w:kern w:val="2"/>
          <w:lang w:val="x-none" w:eastAsia="x-none"/>
        </w:rPr>
        <w:tab/>
        <w:t>Renewal of State of Emergency—Threat of Subsidence, Subsurface Instability, and Presence of Hydrocarbons in Sulphur Mines Salt Dome Area, 893EO</w:t>
      </w:r>
    </w:p>
    <w:p w14:paraId="690BEEE6" w14:textId="77777777" w:rsidR="00E27BA1" w:rsidRPr="00E27BA1" w:rsidRDefault="00E27BA1" w:rsidP="00E27BA1">
      <w:pPr>
        <w:tabs>
          <w:tab w:val="left" w:pos="144"/>
          <w:tab w:val="left" w:pos="187"/>
          <w:tab w:val="left" w:pos="540"/>
          <w:tab w:val="left" w:pos="907"/>
          <w:tab w:val="left" w:pos="1260"/>
        </w:tabs>
        <w:ind w:firstLine="187"/>
        <w:jc w:val="both"/>
        <w:outlineLvl w:val="3"/>
        <w:rPr>
          <w:kern w:val="2"/>
          <w:lang w:val="x-none" w:eastAsia="x-none"/>
        </w:rPr>
      </w:pPr>
      <w:r w:rsidRPr="00E27BA1">
        <w:rPr>
          <w:kern w:val="2"/>
          <w:lang w:val="x-none" w:eastAsia="x-none"/>
        </w:rPr>
        <w:t>JML 26-50</w:t>
      </w:r>
      <w:r w:rsidRPr="00E27BA1">
        <w:rPr>
          <w:kern w:val="2"/>
          <w:lang w:val="x-none" w:eastAsia="x-none"/>
        </w:rPr>
        <w:tab/>
        <w:t>Renewal of State of Emergency—Maximum Security Camp J Repairs and Operation—Louisiana State Penitentiary, 894EO</w:t>
      </w:r>
    </w:p>
    <w:p w14:paraId="09D8D9E8" w14:textId="77777777" w:rsidR="00E27BA1" w:rsidRPr="00E27BA1" w:rsidRDefault="00E27BA1" w:rsidP="00E27BA1">
      <w:pPr>
        <w:tabs>
          <w:tab w:val="left" w:pos="144"/>
          <w:tab w:val="left" w:pos="187"/>
          <w:tab w:val="left" w:pos="540"/>
          <w:tab w:val="left" w:pos="907"/>
          <w:tab w:val="left" w:pos="1260"/>
        </w:tabs>
        <w:ind w:firstLine="187"/>
        <w:jc w:val="both"/>
        <w:outlineLvl w:val="3"/>
        <w:rPr>
          <w:kern w:val="2"/>
          <w:lang w:val="x-none" w:eastAsia="x-none"/>
        </w:rPr>
      </w:pPr>
      <w:r w:rsidRPr="00E27BA1">
        <w:rPr>
          <w:kern w:val="2"/>
          <w:lang w:val="x-none" w:eastAsia="x-none"/>
        </w:rPr>
        <w:t>JML 26-51</w:t>
      </w:r>
      <w:r w:rsidRPr="00E27BA1">
        <w:rPr>
          <w:kern w:val="2"/>
          <w:lang w:val="x-none" w:eastAsia="x-none"/>
        </w:rPr>
        <w:tab/>
        <w:t>Bond Allocation 2026 Ceiling Amendment, 1093EO</w:t>
      </w:r>
    </w:p>
    <w:p w14:paraId="5F2C3F6B" w14:textId="77777777" w:rsidR="00E27BA1" w:rsidRPr="00E27BA1" w:rsidRDefault="00E27BA1" w:rsidP="00E27BA1">
      <w:pPr>
        <w:tabs>
          <w:tab w:val="left" w:pos="144"/>
          <w:tab w:val="left" w:pos="187"/>
          <w:tab w:val="left" w:pos="540"/>
          <w:tab w:val="left" w:pos="907"/>
          <w:tab w:val="left" w:pos="1260"/>
        </w:tabs>
        <w:ind w:firstLine="187"/>
        <w:jc w:val="both"/>
        <w:outlineLvl w:val="3"/>
        <w:rPr>
          <w:kern w:val="2"/>
          <w:lang w:val="x-none" w:eastAsia="x-none"/>
        </w:rPr>
      </w:pPr>
      <w:r w:rsidRPr="00E27BA1">
        <w:rPr>
          <w:kern w:val="2"/>
          <w:lang w:val="x-none" w:eastAsia="x-none"/>
        </w:rPr>
        <w:t>JML 26-52</w:t>
      </w:r>
      <w:r w:rsidRPr="00E27BA1">
        <w:rPr>
          <w:kern w:val="2"/>
          <w:lang w:val="x-none" w:eastAsia="x-none"/>
        </w:rPr>
        <w:tab/>
        <w:t>Renewal of State of Emergency—Cybersecurity Incidents, 1093EO</w:t>
      </w:r>
    </w:p>
    <w:p w14:paraId="3F89D72B" w14:textId="77777777" w:rsidR="00E27BA1" w:rsidRPr="00E27BA1" w:rsidRDefault="00E27BA1" w:rsidP="00E27BA1">
      <w:pPr>
        <w:tabs>
          <w:tab w:val="left" w:pos="144"/>
          <w:tab w:val="left" w:pos="187"/>
          <w:tab w:val="left" w:pos="540"/>
          <w:tab w:val="left" w:pos="907"/>
          <w:tab w:val="left" w:pos="1260"/>
        </w:tabs>
        <w:ind w:firstLine="187"/>
        <w:jc w:val="both"/>
        <w:outlineLvl w:val="3"/>
        <w:rPr>
          <w:kern w:val="2"/>
          <w:lang w:val="x-none" w:eastAsia="x-none"/>
        </w:rPr>
      </w:pPr>
      <w:r w:rsidRPr="00E27BA1">
        <w:rPr>
          <w:kern w:val="2"/>
          <w:lang w:val="x-none" w:eastAsia="x-none"/>
        </w:rPr>
        <w:t>JML 26-53</w:t>
      </w:r>
      <w:r w:rsidRPr="00E27BA1">
        <w:rPr>
          <w:kern w:val="2"/>
          <w:lang w:val="x-none" w:eastAsia="x-none"/>
        </w:rPr>
        <w:tab/>
        <w:t>State of Emergency—Suspension of Early Voting, 1094EO</w:t>
      </w:r>
    </w:p>
    <w:p w14:paraId="26106AA8" w14:textId="77777777" w:rsidR="00E27BA1" w:rsidRPr="00E27BA1" w:rsidRDefault="00E27BA1" w:rsidP="00E27BA1">
      <w:pPr>
        <w:tabs>
          <w:tab w:val="left" w:pos="144"/>
          <w:tab w:val="left" w:pos="187"/>
          <w:tab w:val="left" w:pos="540"/>
          <w:tab w:val="left" w:pos="907"/>
          <w:tab w:val="left" w:pos="1260"/>
        </w:tabs>
        <w:ind w:firstLine="187"/>
        <w:jc w:val="both"/>
        <w:outlineLvl w:val="3"/>
        <w:rPr>
          <w:kern w:val="2"/>
          <w:lang w:val="x-none" w:eastAsia="x-none"/>
        </w:rPr>
      </w:pPr>
      <w:r w:rsidRPr="00E27BA1">
        <w:rPr>
          <w:kern w:val="2"/>
          <w:lang w:val="x-none" w:eastAsia="x-none"/>
        </w:rPr>
        <w:t>JML 26-54</w:t>
      </w:r>
      <w:r w:rsidRPr="00E27BA1">
        <w:rPr>
          <w:kern w:val="2"/>
          <w:lang w:val="x-none" w:eastAsia="x-none"/>
        </w:rPr>
        <w:tab/>
        <w:t>State of Emergency—Suspension of Early Voting, 1095EO</w:t>
      </w:r>
    </w:p>
    <w:p w14:paraId="5ED8874C" w14:textId="77777777" w:rsidR="00E27BA1" w:rsidRPr="00E27BA1" w:rsidRDefault="00E27BA1" w:rsidP="00E27BA1">
      <w:pPr>
        <w:tabs>
          <w:tab w:val="left" w:pos="144"/>
          <w:tab w:val="left" w:pos="187"/>
          <w:tab w:val="left" w:pos="540"/>
          <w:tab w:val="left" w:pos="907"/>
          <w:tab w:val="left" w:pos="1260"/>
        </w:tabs>
        <w:ind w:firstLine="187"/>
        <w:jc w:val="both"/>
        <w:outlineLvl w:val="3"/>
        <w:rPr>
          <w:kern w:val="2"/>
          <w:lang w:val="x-none" w:eastAsia="x-none"/>
        </w:rPr>
      </w:pPr>
      <w:r w:rsidRPr="00E27BA1">
        <w:rPr>
          <w:kern w:val="2"/>
          <w:lang w:val="x-none" w:eastAsia="x-none"/>
        </w:rPr>
        <w:t>JML 26-55</w:t>
      </w:r>
      <w:r w:rsidRPr="00E27BA1">
        <w:rPr>
          <w:kern w:val="2"/>
          <w:lang w:val="x-none" w:eastAsia="x-none"/>
        </w:rPr>
        <w:tab/>
        <w:t>State of Emergency—Tropical Storm Arthur—June 18, 2026, 1095EO</w:t>
      </w:r>
    </w:p>
    <w:p w14:paraId="33CB4767" w14:textId="77777777" w:rsidR="00E27BA1" w:rsidRPr="00E27BA1" w:rsidRDefault="00E27BA1" w:rsidP="00E27BA1">
      <w:pPr>
        <w:tabs>
          <w:tab w:val="left" w:pos="144"/>
          <w:tab w:val="left" w:pos="187"/>
          <w:tab w:val="left" w:pos="540"/>
          <w:tab w:val="left" w:pos="907"/>
          <w:tab w:val="left" w:pos="1260"/>
        </w:tabs>
        <w:ind w:firstLine="187"/>
        <w:jc w:val="both"/>
        <w:outlineLvl w:val="3"/>
        <w:rPr>
          <w:kern w:val="2"/>
          <w:lang w:val="x-none" w:eastAsia="x-none"/>
        </w:rPr>
      </w:pPr>
      <w:r w:rsidRPr="00E27BA1">
        <w:rPr>
          <w:kern w:val="2"/>
          <w:lang w:val="x-none" w:eastAsia="x-none"/>
        </w:rPr>
        <w:t>JML 26-56</w:t>
      </w:r>
      <w:r w:rsidRPr="00E27BA1">
        <w:rPr>
          <w:kern w:val="2"/>
          <w:lang w:val="x-none" w:eastAsia="x-none"/>
        </w:rPr>
        <w:tab/>
        <w:t>State of Emergency—Licensed Bed Capacity for Nursing Facilities, 1096EO</w:t>
      </w:r>
    </w:p>
    <w:p w14:paraId="187EF743" w14:textId="77777777" w:rsidR="00E27BA1" w:rsidRPr="00E27BA1" w:rsidRDefault="00E27BA1" w:rsidP="00E27BA1">
      <w:pPr>
        <w:tabs>
          <w:tab w:val="left" w:pos="144"/>
          <w:tab w:val="left" w:pos="187"/>
          <w:tab w:val="left" w:pos="540"/>
          <w:tab w:val="left" w:pos="907"/>
          <w:tab w:val="left" w:pos="1260"/>
        </w:tabs>
        <w:ind w:firstLine="187"/>
        <w:jc w:val="both"/>
        <w:outlineLvl w:val="3"/>
        <w:rPr>
          <w:kern w:val="2"/>
          <w:lang w:val="x-none" w:eastAsia="x-none"/>
        </w:rPr>
      </w:pPr>
      <w:r w:rsidRPr="00E27BA1">
        <w:rPr>
          <w:kern w:val="2"/>
          <w:lang w:val="x-none" w:eastAsia="x-none"/>
        </w:rPr>
        <w:t>JML 26-57</w:t>
      </w:r>
      <w:r w:rsidRPr="00E27BA1">
        <w:rPr>
          <w:kern w:val="2"/>
          <w:lang w:val="x-none" w:eastAsia="x-none"/>
        </w:rPr>
        <w:tab/>
        <w:t>Amended State of Emergency—Tropical Storm Arthur—June 18, 2026, 1097EO</w:t>
      </w:r>
    </w:p>
    <w:p w14:paraId="59E08BB2" w14:textId="77777777" w:rsidR="00E27BA1" w:rsidRPr="00E27BA1" w:rsidRDefault="00E27BA1" w:rsidP="00E27BA1">
      <w:pPr>
        <w:tabs>
          <w:tab w:val="left" w:pos="144"/>
          <w:tab w:val="left" w:pos="187"/>
          <w:tab w:val="left" w:pos="540"/>
          <w:tab w:val="left" w:pos="907"/>
          <w:tab w:val="left" w:pos="1260"/>
        </w:tabs>
        <w:ind w:firstLine="187"/>
        <w:jc w:val="both"/>
        <w:outlineLvl w:val="3"/>
        <w:rPr>
          <w:kern w:val="2"/>
          <w:lang w:val="x-none" w:eastAsia="x-none"/>
        </w:rPr>
      </w:pPr>
      <w:r w:rsidRPr="00E27BA1">
        <w:rPr>
          <w:kern w:val="2"/>
          <w:lang w:val="x-none" w:eastAsia="x-none"/>
        </w:rPr>
        <w:t>JML 26-58</w:t>
      </w:r>
      <w:r w:rsidRPr="00E27BA1">
        <w:rPr>
          <w:kern w:val="2"/>
          <w:lang w:val="x-none" w:eastAsia="x-none"/>
        </w:rPr>
        <w:tab/>
        <w:t>Louisiana Ratepayer and Community Protection Initiative Criteria for Led Certifications for Data Center and Large-Load Investments, 1098EO</w:t>
      </w:r>
    </w:p>
    <w:p w14:paraId="165C1B03" w14:textId="77777777" w:rsidR="00E27BA1" w:rsidRPr="00E27BA1" w:rsidRDefault="00E27BA1" w:rsidP="00E27BA1">
      <w:pPr>
        <w:tabs>
          <w:tab w:val="left" w:pos="144"/>
          <w:tab w:val="left" w:pos="187"/>
          <w:tab w:val="left" w:pos="540"/>
          <w:tab w:val="left" w:pos="907"/>
          <w:tab w:val="left" w:pos="1260"/>
        </w:tabs>
        <w:ind w:firstLine="187"/>
        <w:jc w:val="both"/>
        <w:outlineLvl w:val="3"/>
        <w:rPr>
          <w:kern w:val="2"/>
          <w:lang w:val="x-none" w:eastAsia="x-none"/>
        </w:rPr>
      </w:pPr>
      <w:r w:rsidRPr="00E27BA1">
        <w:rPr>
          <w:kern w:val="2"/>
          <w:lang w:val="x-none" w:eastAsia="x-none"/>
        </w:rPr>
        <w:t>JML 26-59</w:t>
      </w:r>
      <w:r w:rsidRPr="00E27BA1">
        <w:rPr>
          <w:kern w:val="2"/>
          <w:lang w:val="x-none" w:eastAsia="x-none"/>
        </w:rPr>
        <w:tab/>
        <w:t>Renewal of State of Emergency—Hurricane Ida, 1100EO</w:t>
      </w:r>
    </w:p>
    <w:p w14:paraId="6684F26B" w14:textId="77777777" w:rsidR="00E27BA1" w:rsidRPr="00E27BA1" w:rsidRDefault="00E27BA1" w:rsidP="00E27BA1">
      <w:pPr>
        <w:tabs>
          <w:tab w:val="left" w:pos="144"/>
          <w:tab w:val="left" w:pos="187"/>
          <w:tab w:val="left" w:pos="540"/>
          <w:tab w:val="left" w:pos="907"/>
          <w:tab w:val="left" w:pos="1260"/>
        </w:tabs>
        <w:ind w:firstLine="187"/>
        <w:jc w:val="both"/>
        <w:outlineLvl w:val="3"/>
        <w:rPr>
          <w:kern w:val="2"/>
          <w:lang w:val="x-none" w:eastAsia="x-none"/>
        </w:rPr>
      </w:pPr>
      <w:r w:rsidRPr="00E27BA1">
        <w:rPr>
          <w:kern w:val="2"/>
          <w:lang w:val="x-none" w:eastAsia="x-none"/>
        </w:rPr>
        <w:t>JML 26-60</w:t>
      </w:r>
      <w:r w:rsidRPr="00E27BA1">
        <w:rPr>
          <w:kern w:val="2"/>
          <w:lang w:val="x-none" w:eastAsia="x-none"/>
        </w:rPr>
        <w:tab/>
        <w:t>Renewal of State of Emergency—Threat of Subsidence, Subsurface Instability, and Presence of Hydrocarbons in Sulphur Mines Salt Dome Area, 1101EO</w:t>
      </w:r>
    </w:p>
    <w:p w14:paraId="1554D2C8" w14:textId="77777777" w:rsidR="00E27BA1" w:rsidRPr="00E27BA1" w:rsidRDefault="00E27BA1" w:rsidP="00E27BA1">
      <w:pPr>
        <w:tabs>
          <w:tab w:val="left" w:pos="144"/>
          <w:tab w:val="left" w:pos="187"/>
          <w:tab w:val="left" w:pos="540"/>
          <w:tab w:val="left" w:pos="907"/>
          <w:tab w:val="left" w:pos="1260"/>
        </w:tabs>
        <w:ind w:firstLine="187"/>
        <w:jc w:val="both"/>
        <w:outlineLvl w:val="3"/>
        <w:rPr>
          <w:kern w:val="2"/>
          <w:lang w:val="x-none" w:eastAsia="x-none"/>
        </w:rPr>
      </w:pPr>
      <w:r w:rsidRPr="00E27BA1">
        <w:rPr>
          <w:kern w:val="2"/>
          <w:lang w:val="x-none" w:eastAsia="x-none"/>
        </w:rPr>
        <w:t>JML 26-61</w:t>
      </w:r>
      <w:r w:rsidRPr="00E27BA1">
        <w:rPr>
          <w:kern w:val="2"/>
          <w:lang w:val="x-none" w:eastAsia="x-none"/>
        </w:rPr>
        <w:tab/>
        <w:t>Renewal of State of Emergency—Maximum Security Camp J Repairs and Operation—Louisiana State Penitentiary, 1101EO</w:t>
      </w:r>
    </w:p>
    <w:p w14:paraId="72270950" w14:textId="77777777" w:rsidR="00E27BA1" w:rsidRPr="00E27BA1" w:rsidRDefault="00E27BA1" w:rsidP="00E27BA1">
      <w:pPr>
        <w:tabs>
          <w:tab w:val="left" w:pos="144"/>
          <w:tab w:val="left" w:pos="187"/>
          <w:tab w:val="left" w:pos="540"/>
          <w:tab w:val="left" w:pos="907"/>
          <w:tab w:val="left" w:pos="1260"/>
        </w:tabs>
        <w:ind w:firstLine="187"/>
        <w:jc w:val="both"/>
        <w:outlineLvl w:val="3"/>
        <w:rPr>
          <w:kern w:val="2"/>
          <w:lang w:val="x-none" w:eastAsia="x-none"/>
        </w:rPr>
      </w:pPr>
      <w:r w:rsidRPr="00E27BA1">
        <w:rPr>
          <w:kern w:val="2"/>
          <w:lang w:val="x-none" w:eastAsia="x-none"/>
        </w:rPr>
        <w:t>JML 26-62</w:t>
      </w:r>
      <w:r w:rsidRPr="00E27BA1">
        <w:rPr>
          <w:kern w:val="2"/>
          <w:lang w:val="x-none" w:eastAsia="x-none"/>
        </w:rPr>
        <w:tab/>
        <w:t>Amended State of Emergency—Tropical Arthur—June 18, 2026, 1102EO</w:t>
      </w:r>
    </w:p>
    <w:p w14:paraId="5E9D26EA" w14:textId="77777777" w:rsidR="00E27BA1" w:rsidRPr="00E27BA1" w:rsidRDefault="00E27BA1" w:rsidP="00E27BA1">
      <w:pPr>
        <w:tabs>
          <w:tab w:val="left" w:pos="144"/>
          <w:tab w:val="left" w:pos="187"/>
          <w:tab w:val="left" w:pos="540"/>
          <w:tab w:val="left" w:pos="907"/>
          <w:tab w:val="left" w:pos="1260"/>
        </w:tabs>
        <w:ind w:firstLine="187"/>
        <w:jc w:val="both"/>
        <w:outlineLvl w:val="3"/>
        <w:rPr>
          <w:kern w:val="2"/>
          <w:lang w:val="x-none" w:eastAsia="x-none"/>
        </w:rPr>
      </w:pPr>
      <w:r w:rsidRPr="00E27BA1">
        <w:rPr>
          <w:kern w:val="2"/>
          <w:lang w:val="x-none" w:eastAsia="x-none"/>
        </w:rPr>
        <w:t>JML 26-63</w:t>
      </w:r>
      <w:r w:rsidRPr="00E27BA1">
        <w:rPr>
          <w:kern w:val="2"/>
          <w:lang w:val="x-none" w:eastAsia="x-none"/>
        </w:rPr>
        <w:tab/>
      </w:r>
      <w:r w:rsidRPr="00E27BA1">
        <w:rPr>
          <w:spacing w:val="1"/>
          <w:kern w:val="2"/>
          <w:lang w:val="x-none" w:eastAsia="x-none"/>
        </w:rPr>
        <w:t>Renewal of S</w:t>
      </w:r>
      <w:r w:rsidRPr="00E27BA1">
        <w:rPr>
          <w:kern w:val="2"/>
          <w:lang w:val="x-none" w:eastAsia="x-none"/>
        </w:rPr>
        <w:t>tate</w:t>
      </w:r>
      <w:r w:rsidRPr="00E27BA1">
        <w:rPr>
          <w:spacing w:val="1"/>
          <w:kern w:val="2"/>
          <w:lang w:val="x-none" w:eastAsia="x-none"/>
        </w:rPr>
        <w:t xml:space="preserve"> </w:t>
      </w:r>
      <w:r w:rsidRPr="00E27BA1">
        <w:rPr>
          <w:kern w:val="2"/>
          <w:lang w:val="x-none" w:eastAsia="x-none"/>
        </w:rPr>
        <w:t xml:space="preserve">of </w:t>
      </w:r>
      <w:r w:rsidRPr="00E27BA1">
        <w:rPr>
          <w:spacing w:val="1"/>
          <w:kern w:val="2"/>
          <w:lang w:val="x-none" w:eastAsia="x-none"/>
        </w:rPr>
        <w:t>E</w:t>
      </w:r>
      <w:r w:rsidRPr="00E27BA1">
        <w:rPr>
          <w:spacing w:val="-2"/>
          <w:kern w:val="2"/>
          <w:lang w:val="x-none" w:eastAsia="x-none"/>
        </w:rPr>
        <w:t>m</w:t>
      </w:r>
      <w:r w:rsidRPr="00E27BA1">
        <w:rPr>
          <w:kern w:val="2"/>
          <w:lang w:val="x-none" w:eastAsia="x-none"/>
        </w:rPr>
        <w:t>erge</w:t>
      </w:r>
      <w:r w:rsidRPr="00E27BA1">
        <w:rPr>
          <w:spacing w:val="-3"/>
          <w:kern w:val="2"/>
          <w:lang w:val="x-none" w:eastAsia="x-none"/>
        </w:rPr>
        <w:t>n</w:t>
      </w:r>
      <w:r w:rsidRPr="00E27BA1">
        <w:rPr>
          <w:kern w:val="2"/>
          <w:lang w:val="x-none" w:eastAsia="x-none"/>
        </w:rPr>
        <w:t>cy—Cybersecurity Incidents, 1306EO</w:t>
      </w:r>
    </w:p>
    <w:p w14:paraId="4DEACBBA" w14:textId="77777777" w:rsidR="00E27BA1" w:rsidRPr="00E27BA1" w:rsidRDefault="00E27BA1" w:rsidP="00E27BA1">
      <w:pPr>
        <w:tabs>
          <w:tab w:val="left" w:pos="144"/>
          <w:tab w:val="left" w:pos="187"/>
          <w:tab w:val="left" w:pos="540"/>
          <w:tab w:val="left" w:pos="907"/>
          <w:tab w:val="left" w:pos="1260"/>
        </w:tabs>
        <w:ind w:firstLine="187"/>
        <w:jc w:val="both"/>
        <w:outlineLvl w:val="3"/>
        <w:rPr>
          <w:kern w:val="2"/>
          <w:lang w:val="x-none" w:eastAsia="x-none"/>
        </w:rPr>
      </w:pPr>
      <w:r w:rsidRPr="00E27BA1">
        <w:rPr>
          <w:kern w:val="2"/>
          <w:lang w:val="x-none" w:eastAsia="x-none"/>
        </w:rPr>
        <w:t>JML 26-64</w:t>
      </w:r>
      <w:r w:rsidRPr="00E27BA1">
        <w:rPr>
          <w:kern w:val="2"/>
          <w:lang w:val="x-none" w:eastAsia="x-none"/>
        </w:rPr>
        <w:tab/>
        <w:t>Flags at Half-Staff—Senator Larry Selders, 1306EO</w:t>
      </w:r>
    </w:p>
    <w:p w14:paraId="43968DEA" w14:textId="77777777" w:rsidR="00E27BA1" w:rsidRPr="00E27BA1" w:rsidRDefault="00E27BA1" w:rsidP="00E27BA1">
      <w:pPr>
        <w:tabs>
          <w:tab w:val="left" w:pos="144"/>
          <w:tab w:val="left" w:pos="187"/>
          <w:tab w:val="left" w:pos="540"/>
          <w:tab w:val="left" w:pos="907"/>
          <w:tab w:val="left" w:pos="1260"/>
        </w:tabs>
        <w:ind w:firstLine="187"/>
        <w:jc w:val="both"/>
        <w:outlineLvl w:val="3"/>
        <w:rPr>
          <w:kern w:val="2"/>
          <w:lang w:val="x-none" w:eastAsia="x-none"/>
        </w:rPr>
      </w:pPr>
      <w:r w:rsidRPr="00E27BA1">
        <w:rPr>
          <w:kern w:val="2"/>
          <w:lang w:val="x-none" w:eastAsia="x-none"/>
        </w:rPr>
        <w:t>JML 26-65</w:t>
      </w:r>
      <w:r w:rsidRPr="00E27BA1">
        <w:rPr>
          <w:kern w:val="2"/>
          <w:lang w:val="x-none" w:eastAsia="x-none"/>
        </w:rPr>
        <w:tab/>
        <w:t>Flags at Half-Staff—Deputy United States Marshal—Michael Andrew Hanson, 1307EO</w:t>
      </w:r>
    </w:p>
    <w:p w14:paraId="01CF20B4" w14:textId="77777777" w:rsidR="00E27BA1" w:rsidRPr="00E27BA1" w:rsidRDefault="00E27BA1" w:rsidP="00E27BA1">
      <w:pPr>
        <w:tabs>
          <w:tab w:val="left" w:pos="144"/>
          <w:tab w:val="left" w:pos="187"/>
          <w:tab w:val="left" w:pos="540"/>
          <w:tab w:val="left" w:pos="907"/>
          <w:tab w:val="left" w:pos="1260"/>
        </w:tabs>
        <w:ind w:firstLine="187"/>
        <w:jc w:val="both"/>
        <w:outlineLvl w:val="3"/>
        <w:rPr>
          <w:kern w:val="2"/>
          <w:lang w:val="x-none" w:eastAsia="x-none"/>
        </w:rPr>
      </w:pPr>
      <w:r w:rsidRPr="00E27BA1">
        <w:rPr>
          <w:kern w:val="2"/>
          <w:lang w:val="x-none" w:eastAsia="x-none"/>
        </w:rPr>
        <w:t>JML 26-66</w:t>
      </w:r>
      <w:r w:rsidRPr="00E27BA1">
        <w:rPr>
          <w:kern w:val="2"/>
          <w:lang w:val="x-none" w:eastAsia="x-none"/>
        </w:rPr>
        <w:tab/>
        <w:t>Renewal of State of Emergency—Licensed Bed Capacity for Nursing Facilities, 1308EO</w:t>
      </w:r>
    </w:p>
    <w:p w14:paraId="022652F1" w14:textId="77777777" w:rsidR="00E27BA1" w:rsidRPr="00E27BA1" w:rsidRDefault="00E27BA1" w:rsidP="00E27BA1">
      <w:pPr>
        <w:tabs>
          <w:tab w:val="left" w:pos="144"/>
          <w:tab w:val="left" w:pos="187"/>
          <w:tab w:val="left" w:pos="540"/>
          <w:tab w:val="left" w:pos="907"/>
          <w:tab w:val="left" w:pos="1260"/>
        </w:tabs>
        <w:ind w:firstLine="187"/>
        <w:jc w:val="both"/>
        <w:outlineLvl w:val="3"/>
        <w:rPr>
          <w:kern w:val="2"/>
          <w:lang w:val="x-none" w:eastAsia="x-none"/>
        </w:rPr>
      </w:pPr>
      <w:r w:rsidRPr="00E27BA1">
        <w:rPr>
          <w:kern w:val="2"/>
          <w:lang w:val="x-none" w:eastAsia="x-none"/>
        </w:rPr>
        <w:t>JML 26-67</w:t>
      </w:r>
      <w:r w:rsidRPr="00E27BA1">
        <w:rPr>
          <w:kern w:val="2"/>
          <w:lang w:val="x-none" w:eastAsia="x-none"/>
        </w:rPr>
        <w:tab/>
        <w:t>Bond Allocation 2026 Ceiling Amendment, 1308EO</w:t>
      </w:r>
    </w:p>
    <w:p w14:paraId="134887DA" w14:textId="77777777" w:rsidR="00E27BA1" w:rsidRPr="00E27BA1" w:rsidRDefault="00E27BA1" w:rsidP="00E27BA1">
      <w:pPr>
        <w:tabs>
          <w:tab w:val="left" w:pos="144"/>
          <w:tab w:val="left" w:pos="187"/>
          <w:tab w:val="left" w:pos="540"/>
          <w:tab w:val="left" w:pos="907"/>
          <w:tab w:val="left" w:pos="1260"/>
        </w:tabs>
        <w:ind w:firstLine="187"/>
        <w:jc w:val="both"/>
        <w:outlineLvl w:val="3"/>
        <w:rPr>
          <w:kern w:val="2"/>
          <w:lang w:val="x-none" w:eastAsia="x-none"/>
        </w:rPr>
      </w:pPr>
      <w:r w:rsidRPr="00E27BA1">
        <w:rPr>
          <w:kern w:val="2"/>
          <w:lang w:val="x-none" w:eastAsia="x-none"/>
        </w:rPr>
        <w:t>JML 26-68</w:t>
      </w:r>
      <w:r w:rsidRPr="00E27BA1">
        <w:rPr>
          <w:kern w:val="2"/>
          <w:lang w:val="x-none" w:eastAsia="x-none"/>
        </w:rPr>
        <w:tab/>
      </w:r>
      <w:r w:rsidRPr="00E27BA1">
        <w:rPr>
          <w:kern w:val="2"/>
          <w:lang w:eastAsia="x-none"/>
        </w:rPr>
        <w:t>State of Emergency—Tropical Storm Bertha—July 22, 2026, 1309EO</w:t>
      </w:r>
    </w:p>
    <w:p w14:paraId="60906552" w14:textId="77777777" w:rsidR="00E27BA1" w:rsidRPr="00E27BA1" w:rsidRDefault="00E27BA1" w:rsidP="00E27BA1">
      <w:pPr>
        <w:tabs>
          <w:tab w:val="left" w:pos="144"/>
          <w:tab w:val="left" w:pos="187"/>
          <w:tab w:val="left" w:pos="540"/>
          <w:tab w:val="left" w:pos="907"/>
          <w:tab w:val="left" w:pos="1260"/>
        </w:tabs>
        <w:ind w:firstLine="187"/>
        <w:jc w:val="both"/>
        <w:outlineLvl w:val="3"/>
        <w:rPr>
          <w:kern w:val="2"/>
          <w:lang w:val="x-none" w:eastAsia="x-none"/>
        </w:rPr>
      </w:pPr>
      <w:r w:rsidRPr="00E27BA1">
        <w:rPr>
          <w:kern w:val="2"/>
          <w:lang w:val="x-none" w:eastAsia="x-none"/>
        </w:rPr>
        <w:t>JML 26-69</w:t>
      </w:r>
      <w:r w:rsidRPr="00E27BA1">
        <w:rPr>
          <w:kern w:val="2"/>
          <w:lang w:val="x-none" w:eastAsia="x-none"/>
        </w:rPr>
        <w:tab/>
        <w:t>Louisiana Taxpayer Protection Initiative</w:t>
      </w:r>
      <w:r w:rsidRPr="00E27BA1">
        <w:rPr>
          <w:kern w:val="2"/>
          <w:lang w:eastAsia="x-none"/>
        </w:rPr>
        <w:t>—</w:t>
      </w:r>
      <w:r w:rsidRPr="00E27BA1">
        <w:rPr>
          <w:kern w:val="2"/>
          <w:lang w:val="x-none" w:eastAsia="x-none"/>
        </w:rPr>
        <w:t>Combating Fraud Through Federal-State</w:t>
      </w:r>
      <w:r w:rsidRPr="00E27BA1">
        <w:rPr>
          <w:kern w:val="2"/>
          <w:lang w:eastAsia="x-none"/>
        </w:rPr>
        <w:t>—</w:t>
      </w:r>
      <w:r w:rsidRPr="00E27BA1">
        <w:rPr>
          <w:kern w:val="2"/>
          <w:lang w:val="x-none" w:eastAsia="x-none"/>
        </w:rPr>
        <w:t>Partnerships and Cooperation, 1310EO</w:t>
      </w:r>
    </w:p>
    <w:p w14:paraId="1E8BD6AC" w14:textId="77777777" w:rsidR="00E27BA1" w:rsidRPr="00E27BA1" w:rsidRDefault="00E27BA1" w:rsidP="00E27BA1">
      <w:pPr>
        <w:tabs>
          <w:tab w:val="left" w:pos="144"/>
          <w:tab w:val="left" w:pos="187"/>
          <w:tab w:val="left" w:pos="540"/>
          <w:tab w:val="left" w:pos="907"/>
          <w:tab w:val="left" w:pos="1260"/>
        </w:tabs>
        <w:ind w:firstLine="187"/>
        <w:jc w:val="both"/>
        <w:outlineLvl w:val="3"/>
        <w:rPr>
          <w:kern w:val="2"/>
          <w:lang w:val="x-none" w:eastAsia="x-none"/>
        </w:rPr>
      </w:pPr>
      <w:r w:rsidRPr="00E27BA1">
        <w:rPr>
          <w:kern w:val="2"/>
          <w:lang w:val="x-none" w:eastAsia="x-none"/>
        </w:rPr>
        <w:t>JML 26-70</w:t>
      </w:r>
      <w:r w:rsidRPr="00E27BA1">
        <w:rPr>
          <w:kern w:val="2"/>
          <w:lang w:val="x-none" w:eastAsia="x-none"/>
        </w:rPr>
        <w:tab/>
        <w:t>Renewal of State of Emergency—Threat of Subsidence, Subsurface Instability, and Presence Of Hydrocarbons in Sulphur Mines Salt Dome Area, 1314EO</w:t>
      </w:r>
    </w:p>
    <w:p w14:paraId="75B74A9D" w14:textId="77777777" w:rsidR="00E27BA1" w:rsidRPr="00E27BA1" w:rsidRDefault="00E27BA1" w:rsidP="00E27BA1">
      <w:pPr>
        <w:tabs>
          <w:tab w:val="left" w:pos="144"/>
          <w:tab w:val="left" w:pos="187"/>
          <w:tab w:val="left" w:pos="540"/>
          <w:tab w:val="left" w:pos="907"/>
          <w:tab w:val="left" w:pos="1260"/>
        </w:tabs>
        <w:ind w:firstLine="187"/>
        <w:jc w:val="both"/>
        <w:outlineLvl w:val="3"/>
        <w:rPr>
          <w:kern w:val="2"/>
          <w:lang w:val="x-none" w:eastAsia="x-none"/>
        </w:rPr>
      </w:pPr>
      <w:r w:rsidRPr="00E27BA1">
        <w:rPr>
          <w:kern w:val="2"/>
          <w:lang w:val="x-none" w:eastAsia="x-none"/>
        </w:rPr>
        <w:t>JML 26-71</w:t>
      </w:r>
      <w:r w:rsidRPr="00E27BA1">
        <w:rPr>
          <w:kern w:val="2"/>
          <w:lang w:val="x-none" w:eastAsia="x-none"/>
        </w:rPr>
        <w:tab/>
        <w:t>Renewal of State of Emergency—Maximum Security Camp J Repairs and Operation—Louisiana State Penitentiary, 1315EO</w:t>
      </w:r>
    </w:p>
    <w:p w14:paraId="13B669D7" w14:textId="77777777" w:rsidR="00E27BA1" w:rsidRPr="00E27BA1" w:rsidRDefault="00E27BA1" w:rsidP="00E27BA1">
      <w:pPr>
        <w:tabs>
          <w:tab w:val="left" w:pos="144"/>
          <w:tab w:val="left" w:pos="187"/>
          <w:tab w:val="left" w:pos="540"/>
          <w:tab w:val="left" w:pos="907"/>
          <w:tab w:val="left" w:pos="1260"/>
        </w:tabs>
        <w:ind w:firstLine="187"/>
        <w:jc w:val="both"/>
        <w:outlineLvl w:val="3"/>
        <w:rPr>
          <w:kern w:val="2"/>
          <w:lang w:val="x-none" w:eastAsia="x-none"/>
        </w:rPr>
      </w:pPr>
      <w:r w:rsidRPr="00E27BA1">
        <w:rPr>
          <w:kern w:val="2"/>
          <w:lang w:val="x-none" w:eastAsia="x-none"/>
        </w:rPr>
        <w:t>JML 26-72</w:t>
      </w:r>
      <w:r w:rsidRPr="00E27BA1">
        <w:rPr>
          <w:kern w:val="2"/>
          <w:lang w:val="x-none" w:eastAsia="x-none"/>
        </w:rPr>
        <w:tab/>
        <w:t>Renewal of State of Emergency—Hurricane Ida, 1316EO</w:t>
      </w:r>
    </w:p>
    <w:p w14:paraId="580719DF" w14:textId="77777777" w:rsidR="00E27BA1" w:rsidRPr="00E27BA1" w:rsidRDefault="00E27BA1" w:rsidP="00E27BA1">
      <w:pPr>
        <w:tabs>
          <w:tab w:val="left" w:pos="144"/>
          <w:tab w:val="left" w:pos="187"/>
          <w:tab w:val="left" w:pos="540"/>
          <w:tab w:val="left" w:pos="907"/>
          <w:tab w:val="left" w:pos="1260"/>
        </w:tabs>
        <w:ind w:firstLine="187"/>
        <w:jc w:val="both"/>
        <w:outlineLvl w:val="3"/>
        <w:rPr>
          <w:kern w:val="2"/>
          <w:lang w:eastAsia="x-none"/>
        </w:rPr>
      </w:pPr>
      <w:r w:rsidRPr="00E27BA1">
        <w:rPr>
          <w:kern w:val="2"/>
          <w:lang w:val="x-none" w:eastAsia="x-none"/>
        </w:rPr>
        <w:t>JML 26-73</w:t>
      </w:r>
      <w:r w:rsidRPr="00E27BA1">
        <w:rPr>
          <w:kern w:val="2"/>
          <w:lang w:val="x-none" w:eastAsia="x-none"/>
        </w:rPr>
        <w:tab/>
        <w:t>Amendment and Renewal of State of Emergency—Tropical Storm Arthur—June 18, 2026, 1317EO</w:t>
      </w:r>
    </w:p>
    <w:p w14:paraId="237865C4" w14:textId="77777777" w:rsidR="00E27BA1" w:rsidRPr="00E27BA1" w:rsidRDefault="00E27BA1" w:rsidP="00E27BA1">
      <w:pPr>
        <w:tabs>
          <w:tab w:val="left" w:pos="144"/>
          <w:tab w:val="left" w:pos="187"/>
          <w:tab w:val="left" w:pos="540"/>
          <w:tab w:val="left" w:pos="907"/>
          <w:tab w:val="left" w:pos="1260"/>
        </w:tabs>
        <w:ind w:firstLine="187"/>
        <w:jc w:val="both"/>
        <w:outlineLvl w:val="3"/>
        <w:rPr>
          <w:kern w:val="2"/>
          <w:lang w:val="x-none" w:eastAsia="x-none"/>
        </w:rPr>
      </w:pPr>
      <w:r w:rsidRPr="00E27BA1">
        <w:rPr>
          <w:kern w:val="2"/>
          <w:lang w:val="x-none" w:eastAsia="x-none"/>
        </w:rPr>
        <w:t>JML 26-74</w:t>
      </w:r>
      <w:r w:rsidRPr="00E27BA1">
        <w:rPr>
          <w:kern w:val="2"/>
          <w:lang w:val="x-none" w:eastAsia="x-none"/>
        </w:rPr>
        <w:tab/>
        <w:t>Flags at Half-Staff—Former State Representative—Mickey James Guillory, 1318EO</w:t>
      </w:r>
    </w:p>
    <w:p w14:paraId="5CE4DD4E" w14:textId="77777777" w:rsidR="00E27BA1" w:rsidRPr="00E27BA1" w:rsidRDefault="00E27BA1" w:rsidP="00E27BA1">
      <w:pPr>
        <w:tabs>
          <w:tab w:val="left" w:pos="144"/>
          <w:tab w:val="left" w:pos="187"/>
          <w:tab w:val="left" w:pos="540"/>
          <w:tab w:val="left" w:pos="907"/>
          <w:tab w:val="left" w:pos="1260"/>
        </w:tabs>
        <w:ind w:firstLine="187"/>
        <w:jc w:val="both"/>
        <w:outlineLvl w:val="3"/>
        <w:rPr>
          <w:kern w:val="2"/>
          <w:lang w:val="x-none" w:eastAsia="x-none"/>
        </w:rPr>
      </w:pPr>
      <w:r w:rsidRPr="00E27BA1">
        <w:rPr>
          <w:kern w:val="2"/>
          <w:lang w:val="x-none" w:eastAsia="x-none"/>
        </w:rPr>
        <w:t>JML 26-75</w:t>
      </w:r>
      <w:r w:rsidRPr="00E27BA1">
        <w:rPr>
          <w:kern w:val="2"/>
          <w:lang w:val="x-none" w:eastAsia="x-none"/>
        </w:rPr>
        <w:tab/>
      </w:r>
      <w:r w:rsidRPr="00E27BA1">
        <w:rPr>
          <w:spacing w:val="1"/>
          <w:kern w:val="2"/>
          <w:lang w:val="x-none" w:eastAsia="x-none"/>
        </w:rPr>
        <w:t>Renewal of S</w:t>
      </w:r>
      <w:r w:rsidRPr="00E27BA1">
        <w:rPr>
          <w:kern w:val="2"/>
          <w:lang w:val="x-none" w:eastAsia="x-none"/>
        </w:rPr>
        <w:t>tate</w:t>
      </w:r>
      <w:r w:rsidRPr="00E27BA1">
        <w:rPr>
          <w:spacing w:val="1"/>
          <w:kern w:val="2"/>
          <w:lang w:val="x-none" w:eastAsia="x-none"/>
        </w:rPr>
        <w:t xml:space="preserve"> </w:t>
      </w:r>
      <w:r w:rsidRPr="00E27BA1">
        <w:rPr>
          <w:kern w:val="2"/>
          <w:lang w:val="x-none" w:eastAsia="x-none"/>
        </w:rPr>
        <w:t xml:space="preserve">of </w:t>
      </w:r>
      <w:r w:rsidRPr="00E27BA1">
        <w:rPr>
          <w:spacing w:val="1"/>
          <w:kern w:val="2"/>
          <w:lang w:val="x-none" w:eastAsia="x-none"/>
        </w:rPr>
        <w:t>E</w:t>
      </w:r>
      <w:r w:rsidRPr="00E27BA1">
        <w:rPr>
          <w:spacing w:val="-2"/>
          <w:kern w:val="2"/>
          <w:lang w:val="x-none" w:eastAsia="x-none"/>
        </w:rPr>
        <w:t>m</w:t>
      </w:r>
      <w:r w:rsidRPr="00E27BA1">
        <w:rPr>
          <w:kern w:val="2"/>
          <w:lang w:val="x-none" w:eastAsia="x-none"/>
        </w:rPr>
        <w:t>erge</w:t>
      </w:r>
      <w:r w:rsidRPr="00E27BA1">
        <w:rPr>
          <w:spacing w:val="-3"/>
          <w:kern w:val="2"/>
          <w:lang w:val="x-none" w:eastAsia="x-none"/>
        </w:rPr>
        <w:t>n</w:t>
      </w:r>
      <w:r w:rsidRPr="00E27BA1">
        <w:rPr>
          <w:kern w:val="2"/>
          <w:lang w:val="x-none" w:eastAsia="x-none"/>
        </w:rPr>
        <w:t>cy—Cybersecurity Incidents, 1318EO</w:t>
      </w:r>
    </w:p>
    <w:p w14:paraId="530ACFA7"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p>
    <w:p w14:paraId="60CD1D19"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p>
    <w:p w14:paraId="37E22358"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eastAsia="x-none"/>
        </w:rPr>
      </w:pPr>
    </w:p>
    <w:p w14:paraId="7972C9F2" w14:textId="77777777" w:rsidR="00E27BA1" w:rsidRPr="00E27BA1" w:rsidRDefault="00E27BA1" w:rsidP="00E27BA1">
      <w:pPr>
        <w:jc w:val="center"/>
        <w:rPr>
          <w:b/>
          <w:kern w:val="28"/>
        </w:rPr>
      </w:pPr>
      <w:bookmarkStart w:id="775" w:name="_Hlk211589355"/>
      <w:r w:rsidRPr="00E27BA1">
        <w:rPr>
          <w:b/>
          <w:kern w:val="2"/>
        </w:rPr>
        <w:t>G</w:t>
      </w:r>
      <w:r w:rsidRPr="00E27BA1">
        <w:rPr>
          <w:b/>
          <w:kern w:val="28"/>
        </w:rPr>
        <w:t>OVERNOR</w:t>
      </w:r>
      <w:bookmarkEnd w:id="775"/>
    </w:p>
    <w:p w14:paraId="43BA4718" w14:textId="77777777" w:rsidR="00E27BA1" w:rsidRPr="00E27BA1" w:rsidRDefault="00E27BA1" w:rsidP="00E27BA1">
      <w:pPr>
        <w:tabs>
          <w:tab w:val="left" w:pos="144"/>
          <w:tab w:val="left" w:pos="187"/>
          <w:tab w:val="left" w:pos="540"/>
          <w:tab w:val="left" w:pos="907"/>
          <w:tab w:val="left" w:pos="1080"/>
        </w:tabs>
        <w:ind w:firstLine="187"/>
        <w:jc w:val="both"/>
        <w:outlineLvl w:val="3"/>
        <w:rPr>
          <w:b/>
          <w:kern w:val="2"/>
          <w:lang w:eastAsia="x-none"/>
        </w:rPr>
      </w:pPr>
      <w:r w:rsidRPr="00E27BA1">
        <w:rPr>
          <w:b/>
          <w:kern w:val="2"/>
          <w:lang w:eastAsia="x-none"/>
        </w:rPr>
        <w:t>Administration, Division of</w:t>
      </w:r>
    </w:p>
    <w:p w14:paraId="5C463910"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Louisiana Charter School Start-Up and Expansion Loan Fund, 588N, 1338R</w:t>
      </w:r>
    </w:p>
    <w:p w14:paraId="0D07F062" w14:textId="77777777" w:rsidR="00E27BA1" w:rsidRPr="00E27BA1" w:rsidRDefault="00E27BA1" w:rsidP="00E27BA1">
      <w:pPr>
        <w:tabs>
          <w:tab w:val="left" w:pos="144"/>
          <w:tab w:val="left" w:pos="187"/>
          <w:tab w:val="left" w:pos="540"/>
          <w:tab w:val="left" w:pos="907"/>
          <w:tab w:val="left" w:pos="1080"/>
        </w:tabs>
        <w:ind w:firstLine="270"/>
        <w:jc w:val="both"/>
        <w:outlineLvl w:val="3"/>
        <w:rPr>
          <w:b/>
          <w:kern w:val="2"/>
          <w:lang w:eastAsia="x-none"/>
        </w:rPr>
      </w:pPr>
      <w:r w:rsidRPr="00E27BA1">
        <w:rPr>
          <w:b/>
          <w:kern w:val="2"/>
          <w:lang w:eastAsia="x-none"/>
        </w:rPr>
        <w:t>Broadband and Development and Connectivity</w:t>
      </w:r>
    </w:p>
    <w:p w14:paraId="049DA3B7"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Granting Unserved Municipalities Broadband Opportunities (GUMBO), 914ER, 1187R</w:t>
      </w:r>
    </w:p>
    <w:p w14:paraId="2E9E5B3A"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Granting Unserved Municipalities Broadband Opportunities 2.0 (GUMBO 2.0), 1187R</w:t>
      </w:r>
    </w:p>
    <w:p w14:paraId="0C1E9F4F" w14:textId="77777777" w:rsidR="00E27BA1" w:rsidRPr="00E27BA1" w:rsidRDefault="00E27BA1" w:rsidP="00E27BA1">
      <w:pPr>
        <w:tabs>
          <w:tab w:val="left" w:pos="144"/>
          <w:tab w:val="left" w:pos="187"/>
          <w:tab w:val="left" w:pos="540"/>
          <w:tab w:val="left" w:pos="907"/>
          <w:tab w:val="left" w:pos="1080"/>
        </w:tabs>
        <w:ind w:firstLine="270"/>
        <w:jc w:val="both"/>
        <w:outlineLvl w:val="3"/>
        <w:rPr>
          <w:b/>
          <w:kern w:val="2"/>
          <w:lang w:eastAsia="x-none"/>
        </w:rPr>
      </w:pPr>
      <w:r w:rsidRPr="00E27BA1">
        <w:rPr>
          <w:b/>
          <w:kern w:val="2"/>
          <w:lang w:eastAsia="x-none"/>
        </w:rPr>
        <w:t>Commissioner, Office of</w:t>
      </w:r>
    </w:p>
    <w:p w14:paraId="0DD24802"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kern w:val="2"/>
        </w:rPr>
        <w:t>Nongovernmental entity database reporting, 261N, 1188R</w:t>
      </w:r>
    </w:p>
    <w:p w14:paraId="572131F1" w14:textId="77777777" w:rsidR="00E27BA1" w:rsidRPr="00E27BA1" w:rsidRDefault="00E27BA1" w:rsidP="00E27BA1">
      <w:pPr>
        <w:tabs>
          <w:tab w:val="left" w:pos="144"/>
          <w:tab w:val="left" w:pos="187"/>
          <w:tab w:val="left" w:pos="540"/>
          <w:tab w:val="left" w:pos="907"/>
          <w:tab w:val="left" w:pos="1080"/>
        </w:tabs>
        <w:ind w:firstLine="270"/>
        <w:jc w:val="both"/>
        <w:outlineLvl w:val="3"/>
        <w:rPr>
          <w:b/>
          <w:kern w:val="2"/>
          <w:lang w:eastAsia="x-none"/>
        </w:rPr>
      </w:pPr>
      <w:r w:rsidRPr="00E27BA1">
        <w:rPr>
          <w:b/>
          <w:kern w:val="2"/>
          <w:lang w:eastAsia="x-none"/>
        </w:rPr>
        <w:t>Facility Planning and Control</w:t>
      </w:r>
    </w:p>
    <w:p w14:paraId="2F85D3C0"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bCs/>
          <w:kern w:val="2"/>
        </w:rPr>
        <w:t>Contract limit adjustment, 189P</w:t>
      </w:r>
    </w:p>
    <w:p w14:paraId="3C19477D"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bCs/>
          <w:kern w:val="2"/>
        </w:rPr>
        <w:t>Designer contracts, 493R</w:t>
      </w:r>
    </w:p>
    <w:p w14:paraId="30D85EFA"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bCs/>
          <w:kern w:val="2"/>
        </w:rPr>
        <w:t>Notice of public hearing</w:t>
      </w:r>
    </w:p>
    <w:p w14:paraId="77C06B1E" w14:textId="77777777" w:rsidR="00E27BA1" w:rsidRPr="00E27BA1" w:rsidRDefault="00E27BA1" w:rsidP="00E27BA1">
      <w:pPr>
        <w:tabs>
          <w:tab w:val="left" w:pos="720"/>
          <w:tab w:val="left" w:pos="979"/>
          <w:tab w:val="left" w:pos="1152"/>
        </w:tabs>
        <w:ind w:left="450"/>
        <w:jc w:val="both"/>
        <w:outlineLvl w:val="4"/>
        <w:rPr>
          <w:bCs/>
          <w:kern w:val="2"/>
        </w:rPr>
      </w:pPr>
      <w:r w:rsidRPr="00E27BA1">
        <w:rPr>
          <w:bCs/>
          <w:kern w:val="2"/>
        </w:rPr>
        <w:t>Designer contracts, 324P</w:t>
      </w:r>
    </w:p>
    <w:p w14:paraId="2BDA56FC" w14:textId="77777777" w:rsidR="00E27BA1" w:rsidRPr="00E27BA1" w:rsidRDefault="00E27BA1" w:rsidP="00E27BA1">
      <w:pPr>
        <w:tabs>
          <w:tab w:val="left" w:pos="144"/>
          <w:tab w:val="left" w:pos="187"/>
          <w:tab w:val="left" w:pos="540"/>
          <w:tab w:val="left" w:pos="907"/>
          <w:tab w:val="left" w:pos="1080"/>
        </w:tabs>
        <w:ind w:firstLine="270"/>
        <w:jc w:val="both"/>
        <w:outlineLvl w:val="3"/>
        <w:rPr>
          <w:b/>
          <w:kern w:val="2"/>
          <w:lang w:eastAsia="x-none"/>
        </w:rPr>
      </w:pPr>
      <w:r w:rsidRPr="00E27BA1">
        <w:rPr>
          <w:b/>
          <w:kern w:val="2"/>
          <w:lang w:eastAsia="x-none"/>
        </w:rPr>
        <w:t>Group Benefits, Office of</w:t>
      </w:r>
    </w:p>
    <w:p w14:paraId="7247C966"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kern w:val="2"/>
        </w:rPr>
        <w:t>Payment of premiums, 263N, 678R</w:t>
      </w:r>
    </w:p>
    <w:p w14:paraId="470655AD" w14:textId="77777777" w:rsidR="00E27BA1" w:rsidRPr="00E27BA1" w:rsidRDefault="00E27BA1" w:rsidP="00E27BA1">
      <w:pPr>
        <w:tabs>
          <w:tab w:val="left" w:pos="144"/>
          <w:tab w:val="left" w:pos="187"/>
          <w:tab w:val="left" w:pos="540"/>
          <w:tab w:val="left" w:pos="907"/>
          <w:tab w:val="left" w:pos="1080"/>
        </w:tabs>
        <w:ind w:firstLine="270"/>
        <w:jc w:val="both"/>
        <w:outlineLvl w:val="3"/>
        <w:rPr>
          <w:b/>
          <w:kern w:val="2"/>
          <w:lang w:eastAsia="x-none"/>
        </w:rPr>
      </w:pPr>
      <w:r w:rsidRPr="00E27BA1">
        <w:rPr>
          <w:b/>
          <w:kern w:val="2"/>
          <w:lang w:eastAsia="x-none"/>
        </w:rPr>
        <w:t>Racing Commission</w:t>
      </w:r>
    </w:p>
    <w:p w14:paraId="59119EFE"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bCs/>
          <w:kern w:val="2"/>
        </w:rPr>
        <w:t>Notice of public hearing</w:t>
      </w:r>
    </w:p>
    <w:p w14:paraId="140D6B9D" w14:textId="77777777" w:rsidR="00E27BA1" w:rsidRPr="00E27BA1" w:rsidRDefault="00E27BA1" w:rsidP="00E27BA1">
      <w:pPr>
        <w:tabs>
          <w:tab w:val="left" w:pos="720"/>
          <w:tab w:val="left" w:pos="979"/>
          <w:tab w:val="left" w:pos="1152"/>
        </w:tabs>
        <w:ind w:left="450"/>
        <w:jc w:val="both"/>
        <w:outlineLvl w:val="4"/>
        <w:rPr>
          <w:bCs/>
          <w:kern w:val="2"/>
        </w:rPr>
      </w:pPr>
      <w:r w:rsidRPr="00E27BA1">
        <w:rPr>
          <w:bCs/>
          <w:kern w:val="2"/>
        </w:rPr>
        <w:t>Substantive changes to proposed Rule</w:t>
      </w:r>
    </w:p>
    <w:p w14:paraId="61E62ABE" w14:textId="77777777" w:rsidR="00E27BA1" w:rsidRPr="00E27BA1" w:rsidRDefault="00E27BA1" w:rsidP="00E27BA1">
      <w:pPr>
        <w:tabs>
          <w:tab w:val="left" w:pos="720"/>
          <w:tab w:val="left" w:pos="979"/>
          <w:tab w:val="left" w:pos="1152"/>
        </w:tabs>
        <w:ind w:left="450" w:firstLine="90"/>
        <w:jc w:val="both"/>
        <w:outlineLvl w:val="4"/>
        <w:rPr>
          <w:bCs/>
          <w:kern w:val="2"/>
        </w:rPr>
      </w:pPr>
      <w:r w:rsidRPr="00E27BA1">
        <w:rPr>
          <w:bCs/>
          <w:kern w:val="2"/>
        </w:rPr>
        <w:t>Voided and Voidable Claims, 189P, 493R</w:t>
      </w:r>
    </w:p>
    <w:p w14:paraId="5602AA84" w14:textId="77777777" w:rsidR="00E27BA1" w:rsidRPr="00E27BA1" w:rsidRDefault="00E27BA1" w:rsidP="00E27BA1">
      <w:pPr>
        <w:tabs>
          <w:tab w:val="left" w:pos="144"/>
          <w:tab w:val="left" w:pos="187"/>
          <w:tab w:val="left" w:pos="540"/>
          <w:tab w:val="left" w:pos="907"/>
          <w:tab w:val="left" w:pos="1080"/>
        </w:tabs>
        <w:ind w:firstLine="270"/>
        <w:jc w:val="both"/>
        <w:outlineLvl w:val="3"/>
        <w:rPr>
          <w:b/>
          <w:kern w:val="2"/>
          <w:lang w:eastAsia="x-none"/>
        </w:rPr>
      </w:pPr>
      <w:r w:rsidRPr="00E27BA1">
        <w:rPr>
          <w:b/>
          <w:kern w:val="2"/>
          <w:lang w:eastAsia="x-none"/>
        </w:rPr>
        <w:t>State Procurement, Office of</w:t>
      </w:r>
    </w:p>
    <w:p w14:paraId="3F546E95"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bCs/>
          <w:kern w:val="2"/>
        </w:rPr>
        <w:t>Procurement protest bonds, 36R</w:t>
      </w:r>
    </w:p>
    <w:p w14:paraId="252321CC" w14:textId="77777777" w:rsidR="00E27BA1" w:rsidRPr="00E27BA1" w:rsidRDefault="00E27BA1" w:rsidP="00E27BA1">
      <w:pPr>
        <w:tabs>
          <w:tab w:val="left" w:pos="144"/>
          <w:tab w:val="left" w:pos="187"/>
          <w:tab w:val="left" w:pos="540"/>
          <w:tab w:val="left" w:pos="907"/>
          <w:tab w:val="left" w:pos="1080"/>
        </w:tabs>
        <w:ind w:firstLine="270"/>
        <w:jc w:val="both"/>
        <w:outlineLvl w:val="3"/>
        <w:rPr>
          <w:b/>
          <w:kern w:val="2"/>
          <w:lang w:eastAsia="x-none"/>
        </w:rPr>
      </w:pPr>
      <w:r w:rsidRPr="00E27BA1">
        <w:rPr>
          <w:b/>
          <w:kern w:val="2"/>
          <w:lang w:eastAsia="x-none"/>
        </w:rPr>
        <w:t>Tax Commission</w:t>
      </w:r>
    </w:p>
    <w:p w14:paraId="4FD45684"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bCs/>
          <w:kern w:val="2"/>
        </w:rPr>
        <w:t>Ad Valorem taxation, 954R</w:t>
      </w:r>
    </w:p>
    <w:p w14:paraId="2007E3C4" w14:textId="77777777" w:rsidR="00E27BA1" w:rsidRPr="00E27BA1" w:rsidRDefault="00E27BA1" w:rsidP="00E27BA1">
      <w:pPr>
        <w:tabs>
          <w:tab w:val="left" w:pos="144"/>
          <w:tab w:val="left" w:pos="187"/>
          <w:tab w:val="left" w:pos="540"/>
          <w:tab w:val="left" w:pos="907"/>
          <w:tab w:val="left" w:pos="1080"/>
        </w:tabs>
        <w:ind w:firstLine="187"/>
        <w:jc w:val="both"/>
        <w:outlineLvl w:val="3"/>
        <w:rPr>
          <w:b/>
          <w:kern w:val="2"/>
          <w:lang w:eastAsia="x-none"/>
        </w:rPr>
      </w:pPr>
      <w:r w:rsidRPr="00E27BA1">
        <w:rPr>
          <w:b/>
          <w:kern w:val="2"/>
          <w:lang w:eastAsia="x-none"/>
        </w:rPr>
        <w:t>Architectural Examiners, Board of</w:t>
      </w:r>
    </w:p>
    <w:p w14:paraId="69B99990"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Administration, 584N</w:t>
      </w:r>
    </w:p>
    <w:p w14:paraId="10450E78"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Architects Selection Board, 488R</w:t>
      </w:r>
    </w:p>
    <w:p w14:paraId="4448CD50"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Election of nominees to fill vacancy, if required, 1225N</w:t>
      </w:r>
    </w:p>
    <w:p w14:paraId="37F946FC"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Louisiana Architecture Education and Research Fund, 93N, 945R</w:t>
      </w:r>
    </w:p>
    <w:p w14:paraId="712511FA" w14:textId="77777777" w:rsidR="00E27BA1" w:rsidRPr="00E27BA1" w:rsidRDefault="00E27BA1" w:rsidP="00E27BA1">
      <w:pPr>
        <w:jc w:val="center"/>
        <w:rPr>
          <w:b/>
          <w:kern w:val="28"/>
        </w:rPr>
      </w:pPr>
      <w:r w:rsidRPr="00E27BA1">
        <w:rPr>
          <w:b/>
          <w:kern w:val="28"/>
        </w:rPr>
        <w:lastRenderedPageBreak/>
        <w:t>GOVERNOR (continued)</w:t>
      </w:r>
    </w:p>
    <w:p w14:paraId="362F9B42"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Organization, 490R</w:t>
      </w:r>
    </w:p>
    <w:p w14:paraId="5B63FB22"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kern w:val="2"/>
        </w:rPr>
        <w:t>Titles, firm names, and assumed names, 95N, 946R</w:t>
      </w:r>
    </w:p>
    <w:p w14:paraId="25A61E1F" w14:textId="77777777" w:rsidR="00E27BA1" w:rsidRPr="00E27BA1" w:rsidRDefault="00E27BA1" w:rsidP="00E27BA1">
      <w:pPr>
        <w:tabs>
          <w:tab w:val="left" w:pos="144"/>
          <w:tab w:val="left" w:pos="187"/>
          <w:tab w:val="left" w:pos="540"/>
          <w:tab w:val="left" w:pos="907"/>
          <w:tab w:val="left" w:pos="1080"/>
        </w:tabs>
        <w:ind w:firstLine="187"/>
        <w:jc w:val="both"/>
        <w:outlineLvl w:val="3"/>
        <w:rPr>
          <w:b/>
          <w:kern w:val="2"/>
          <w:lang w:eastAsia="x-none"/>
        </w:rPr>
      </w:pPr>
      <w:r w:rsidRPr="00E27BA1">
        <w:rPr>
          <w:b/>
          <w:kern w:val="2"/>
          <w:lang w:eastAsia="x-none"/>
        </w:rPr>
        <w:t>Auctioneers Licensing Board</w:t>
      </w:r>
    </w:p>
    <w:p w14:paraId="70DE4BC6"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Notice of public hearing</w:t>
      </w:r>
    </w:p>
    <w:p w14:paraId="1B0DD3D5" w14:textId="77777777" w:rsidR="00E27BA1" w:rsidRPr="00E27BA1" w:rsidRDefault="00E27BA1" w:rsidP="00E27BA1">
      <w:pPr>
        <w:tabs>
          <w:tab w:val="left" w:pos="720"/>
          <w:tab w:val="left" w:pos="979"/>
          <w:tab w:val="left" w:pos="1152"/>
        </w:tabs>
        <w:ind w:left="450"/>
        <w:jc w:val="both"/>
        <w:outlineLvl w:val="4"/>
        <w:rPr>
          <w:rFonts w:eastAsia="Calibri"/>
          <w:bCs/>
          <w:kern w:val="2"/>
        </w:rPr>
      </w:pPr>
      <w:r w:rsidRPr="00E27BA1">
        <w:rPr>
          <w:rFonts w:eastAsia="Calibri"/>
          <w:bCs/>
          <w:kern w:val="2"/>
        </w:rPr>
        <w:t>Request for comments on rulemaking, 1082P</w:t>
      </w:r>
    </w:p>
    <w:p w14:paraId="7C84513E" w14:textId="77777777" w:rsidR="00E27BA1" w:rsidRPr="00E27BA1" w:rsidRDefault="00E27BA1" w:rsidP="00E27BA1">
      <w:pPr>
        <w:tabs>
          <w:tab w:val="left" w:pos="144"/>
          <w:tab w:val="left" w:pos="187"/>
          <w:tab w:val="left" w:pos="540"/>
          <w:tab w:val="left" w:pos="907"/>
          <w:tab w:val="left" w:pos="1080"/>
        </w:tabs>
        <w:ind w:firstLine="187"/>
        <w:jc w:val="both"/>
        <w:outlineLvl w:val="3"/>
        <w:rPr>
          <w:b/>
          <w:kern w:val="2"/>
          <w:lang w:eastAsia="x-none"/>
        </w:rPr>
      </w:pPr>
      <w:r w:rsidRPr="00E27BA1">
        <w:rPr>
          <w:b/>
          <w:kern w:val="2"/>
          <w:lang w:eastAsia="x-none"/>
        </w:rPr>
        <w:t>Coastal Protection and Restoration Authority</w:t>
      </w:r>
    </w:p>
    <w:p w14:paraId="7B2DA092"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t xml:space="preserve">Notice of Availability of </w:t>
      </w:r>
      <w:r w:rsidRPr="00E27BA1">
        <w:rPr>
          <w:rFonts w:eastAsia="Calibri"/>
        </w:rPr>
        <w:t>Deepwater Horizon Natural Resource Damage Assessment</w:t>
      </w:r>
      <w:r w:rsidRPr="00E27BA1">
        <w:rPr>
          <w:kern w:val="2"/>
        </w:rPr>
        <w:t>—</w:t>
      </w:r>
      <w:r w:rsidRPr="00E27BA1">
        <w:rPr>
          <w:rFonts w:eastAsia="Calibri"/>
        </w:rPr>
        <w:t>Louisiana Trustee Implementation Group</w:t>
      </w:r>
      <w:r w:rsidRPr="00E27BA1">
        <w:rPr>
          <w:kern w:val="2"/>
        </w:rPr>
        <w:t>—</w:t>
      </w:r>
      <w:r w:rsidRPr="00E27BA1">
        <w:rPr>
          <w:rFonts w:eastAsia="Calibri"/>
        </w:rPr>
        <w:t>Draft Phase 2 Restoration Plan and Environmental Assessment #8.1: East Orleans Landbridge Restoration and Raccoon Island Restoration, 876P</w:t>
      </w:r>
    </w:p>
    <w:p w14:paraId="2075F45B" w14:textId="77777777" w:rsidR="00E27BA1" w:rsidRPr="00E27BA1" w:rsidRDefault="00E27BA1" w:rsidP="00E27BA1">
      <w:pPr>
        <w:tabs>
          <w:tab w:val="left" w:pos="144"/>
          <w:tab w:val="left" w:pos="187"/>
          <w:tab w:val="left" w:pos="540"/>
          <w:tab w:val="left" w:pos="907"/>
          <w:tab w:val="left" w:pos="1080"/>
        </w:tabs>
        <w:ind w:firstLine="187"/>
        <w:jc w:val="both"/>
        <w:outlineLvl w:val="3"/>
        <w:rPr>
          <w:b/>
          <w:kern w:val="2"/>
          <w:lang w:eastAsia="x-none"/>
        </w:rPr>
      </w:pPr>
      <w:r w:rsidRPr="00E27BA1">
        <w:rPr>
          <w:b/>
          <w:kern w:val="2"/>
          <w:lang w:eastAsia="x-none"/>
        </w:rPr>
        <w:t>Elderly Affairs, Office of</w:t>
      </w:r>
    </w:p>
    <w:p w14:paraId="682C0F83"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bCs/>
          <w:kern w:val="2"/>
        </w:rPr>
        <w:t>Office of Elderly Affairs, 1401N</w:t>
      </w:r>
    </w:p>
    <w:p w14:paraId="7D5C073A" w14:textId="77777777" w:rsidR="00E27BA1" w:rsidRPr="00E27BA1" w:rsidRDefault="00E27BA1" w:rsidP="00E27BA1">
      <w:pPr>
        <w:tabs>
          <w:tab w:val="left" w:pos="144"/>
          <w:tab w:val="left" w:pos="187"/>
          <w:tab w:val="left" w:pos="540"/>
          <w:tab w:val="left" w:pos="907"/>
          <w:tab w:val="left" w:pos="1080"/>
        </w:tabs>
        <w:ind w:firstLine="187"/>
        <w:jc w:val="both"/>
        <w:outlineLvl w:val="3"/>
        <w:rPr>
          <w:b/>
          <w:kern w:val="2"/>
          <w:lang w:eastAsia="x-none"/>
        </w:rPr>
      </w:pPr>
      <w:r w:rsidRPr="00E27BA1">
        <w:rPr>
          <w:b/>
          <w:kern w:val="2"/>
          <w:lang w:eastAsia="x-none"/>
        </w:rPr>
        <w:t>Financial Institutions, Office of</w:t>
      </w:r>
    </w:p>
    <w:p w14:paraId="4E8E38D3"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Notice of public hearing</w:t>
      </w:r>
    </w:p>
    <w:p w14:paraId="4126E120" w14:textId="77777777" w:rsidR="00E27BA1" w:rsidRPr="00E27BA1" w:rsidRDefault="00E27BA1" w:rsidP="00E27BA1">
      <w:pPr>
        <w:tabs>
          <w:tab w:val="left" w:pos="720"/>
          <w:tab w:val="left" w:pos="979"/>
          <w:tab w:val="left" w:pos="1152"/>
        </w:tabs>
        <w:ind w:left="450"/>
        <w:jc w:val="both"/>
        <w:outlineLvl w:val="4"/>
        <w:rPr>
          <w:rFonts w:eastAsia="Calibri"/>
          <w:bCs/>
          <w:kern w:val="2"/>
        </w:rPr>
      </w:pPr>
      <w:r w:rsidRPr="00E27BA1">
        <w:rPr>
          <w:rFonts w:eastAsia="Calibri"/>
          <w:bCs/>
          <w:kern w:val="2"/>
        </w:rPr>
        <w:t>Request for comments on rulemaking, 1083P</w:t>
      </w:r>
    </w:p>
    <w:p w14:paraId="0B9766BD" w14:textId="77777777" w:rsidR="00E27BA1" w:rsidRPr="00E27BA1" w:rsidRDefault="00E27BA1" w:rsidP="00E27BA1">
      <w:pPr>
        <w:tabs>
          <w:tab w:val="left" w:pos="144"/>
          <w:tab w:val="left" w:pos="187"/>
          <w:tab w:val="left" w:pos="540"/>
          <w:tab w:val="left" w:pos="907"/>
          <w:tab w:val="left" w:pos="1080"/>
        </w:tabs>
        <w:ind w:firstLine="187"/>
        <w:jc w:val="both"/>
        <w:outlineLvl w:val="3"/>
        <w:rPr>
          <w:b/>
          <w:kern w:val="2"/>
          <w:lang w:eastAsia="x-none"/>
        </w:rPr>
      </w:pPr>
      <w:r w:rsidRPr="00E27BA1">
        <w:rPr>
          <w:b/>
          <w:kern w:val="2"/>
          <w:lang w:eastAsia="x-none"/>
        </w:rPr>
        <w:t>Firefighters Pension and Relief Fund for the City of New Orleans and Vicinity</w:t>
      </w:r>
    </w:p>
    <w:p w14:paraId="4A4D1988"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bCs/>
          <w:kern w:val="2"/>
        </w:rPr>
        <w:t>Retirement, 216R</w:t>
      </w:r>
    </w:p>
    <w:p w14:paraId="0AD94B14" w14:textId="77777777" w:rsidR="00E27BA1" w:rsidRPr="00E27BA1" w:rsidRDefault="00E27BA1" w:rsidP="00E27BA1">
      <w:pPr>
        <w:tabs>
          <w:tab w:val="left" w:pos="144"/>
          <w:tab w:val="left" w:pos="187"/>
          <w:tab w:val="left" w:pos="540"/>
          <w:tab w:val="left" w:pos="907"/>
          <w:tab w:val="left" w:pos="1080"/>
        </w:tabs>
        <w:ind w:firstLine="187"/>
        <w:jc w:val="both"/>
        <w:outlineLvl w:val="3"/>
        <w:rPr>
          <w:b/>
          <w:kern w:val="2"/>
          <w:lang w:eastAsia="x-none"/>
        </w:rPr>
      </w:pPr>
      <w:r w:rsidRPr="00E27BA1">
        <w:rPr>
          <w:b/>
          <w:kern w:val="2"/>
          <w:lang w:eastAsia="x-none"/>
        </w:rPr>
        <w:t>Interior Designers, Board of Examiners of</w:t>
      </w:r>
    </w:p>
    <w:p w14:paraId="4D21FB7B"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bCs/>
          <w:kern w:val="2"/>
        </w:rPr>
        <w:t>Notice of public hearing</w:t>
      </w:r>
    </w:p>
    <w:p w14:paraId="2BB986E2" w14:textId="77777777" w:rsidR="00E27BA1" w:rsidRPr="00E27BA1" w:rsidRDefault="00E27BA1" w:rsidP="00E27BA1">
      <w:pPr>
        <w:tabs>
          <w:tab w:val="left" w:pos="720"/>
          <w:tab w:val="left" w:pos="979"/>
          <w:tab w:val="left" w:pos="1152"/>
        </w:tabs>
        <w:ind w:left="450"/>
        <w:jc w:val="both"/>
        <w:outlineLvl w:val="4"/>
        <w:rPr>
          <w:bCs/>
          <w:kern w:val="2"/>
        </w:rPr>
      </w:pPr>
      <w:r w:rsidRPr="00E27BA1">
        <w:rPr>
          <w:bCs/>
          <w:kern w:val="2"/>
        </w:rPr>
        <w:t>Request for comments on rulemaking, 875P</w:t>
      </w:r>
    </w:p>
    <w:p w14:paraId="077866D8" w14:textId="77777777" w:rsidR="00E27BA1" w:rsidRPr="00E27BA1" w:rsidRDefault="00E27BA1" w:rsidP="00E27BA1">
      <w:pPr>
        <w:tabs>
          <w:tab w:val="left" w:pos="144"/>
          <w:tab w:val="left" w:pos="187"/>
          <w:tab w:val="left" w:pos="540"/>
          <w:tab w:val="left" w:pos="907"/>
          <w:tab w:val="left" w:pos="1080"/>
        </w:tabs>
        <w:ind w:firstLine="187"/>
        <w:jc w:val="both"/>
        <w:outlineLvl w:val="3"/>
        <w:rPr>
          <w:b/>
          <w:kern w:val="2"/>
          <w:lang w:eastAsia="x-none"/>
        </w:rPr>
      </w:pPr>
      <w:r w:rsidRPr="00E27BA1">
        <w:rPr>
          <w:b/>
          <w:kern w:val="2"/>
          <w:lang w:eastAsia="x-none"/>
        </w:rPr>
        <w:t>Motor Vehicle Commission</w:t>
      </w:r>
    </w:p>
    <w:p w14:paraId="310E1EAC"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bCs/>
          <w:kern w:val="2"/>
        </w:rPr>
        <w:t>License by endorsement, 351R</w:t>
      </w:r>
    </w:p>
    <w:p w14:paraId="05BB7ACA"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bCs/>
          <w:kern w:val="2"/>
        </w:rPr>
        <w:t>Teleconference or video conference participation at open meetings by person with disability, 352R</w:t>
      </w:r>
    </w:p>
    <w:p w14:paraId="046243BF" w14:textId="77777777" w:rsidR="00E27BA1" w:rsidRPr="00E27BA1" w:rsidRDefault="00E27BA1" w:rsidP="00E27BA1">
      <w:pPr>
        <w:tabs>
          <w:tab w:val="left" w:pos="144"/>
          <w:tab w:val="left" w:pos="187"/>
          <w:tab w:val="left" w:pos="540"/>
          <w:tab w:val="left" w:pos="907"/>
          <w:tab w:val="left" w:pos="1080"/>
        </w:tabs>
        <w:ind w:firstLine="187"/>
        <w:jc w:val="both"/>
        <w:outlineLvl w:val="3"/>
        <w:rPr>
          <w:b/>
          <w:kern w:val="2"/>
          <w:lang w:eastAsia="x-none"/>
        </w:rPr>
      </w:pPr>
      <w:r w:rsidRPr="00E27BA1">
        <w:rPr>
          <w:b/>
          <w:kern w:val="2"/>
          <w:lang w:eastAsia="x-none"/>
        </w:rPr>
        <w:t>Pardons, Board of and Committee on Parole</w:t>
      </w:r>
    </w:p>
    <w:p w14:paraId="48CD97E1"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kern w:val="2"/>
        </w:rPr>
        <w:t>Medical marijuana usage while under parole supervision, 811N, 1338R</w:t>
      </w:r>
    </w:p>
    <w:p w14:paraId="12487400" w14:textId="77777777" w:rsidR="00E27BA1" w:rsidRPr="00E27BA1" w:rsidRDefault="00E27BA1" w:rsidP="00E27BA1">
      <w:pPr>
        <w:tabs>
          <w:tab w:val="left" w:pos="144"/>
          <w:tab w:val="left" w:pos="187"/>
          <w:tab w:val="left" w:pos="540"/>
          <w:tab w:val="left" w:pos="907"/>
          <w:tab w:val="left" w:pos="1080"/>
        </w:tabs>
        <w:ind w:firstLine="187"/>
        <w:jc w:val="both"/>
        <w:outlineLvl w:val="3"/>
        <w:rPr>
          <w:b/>
          <w:kern w:val="2"/>
          <w:lang w:eastAsia="x-none"/>
        </w:rPr>
      </w:pPr>
      <w:r w:rsidRPr="00E27BA1">
        <w:rPr>
          <w:b/>
          <w:kern w:val="2"/>
          <w:lang w:eastAsia="x-none"/>
        </w:rPr>
        <w:t>Real Estate Appraisers Board</w:t>
      </w:r>
    </w:p>
    <w:p w14:paraId="0096CEA3"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bCs/>
          <w:kern w:val="2"/>
        </w:rPr>
        <w:t>Real Estate Appraisers Board, 98N, 1341R</w:t>
      </w:r>
    </w:p>
    <w:p w14:paraId="34820441" w14:textId="77777777" w:rsidR="00E27BA1" w:rsidRPr="00E27BA1" w:rsidRDefault="00E27BA1" w:rsidP="00E27BA1">
      <w:pPr>
        <w:tabs>
          <w:tab w:val="left" w:pos="144"/>
          <w:tab w:val="left" w:pos="187"/>
          <w:tab w:val="left" w:pos="540"/>
          <w:tab w:val="left" w:pos="907"/>
          <w:tab w:val="left" w:pos="1080"/>
        </w:tabs>
        <w:ind w:firstLine="187"/>
        <w:jc w:val="both"/>
        <w:outlineLvl w:val="3"/>
        <w:rPr>
          <w:b/>
          <w:kern w:val="2"/>
          <w:lang w:eastAsia="x-none"/>
        </w:rPr>
      </w:pPr>
      <w:r w:rsidRPr="00E27BA1">
        <w:rPr>
          <w:b/>
          <w:kern w:val="2"/>
          <w:lang w:eastAsia="x-none"/>
        </w:rPr>
        <w:t>Real Estate Commission</w:t>
      </w:r>
    </w:p>
    <w:p w14:paraId="7AE9FE90"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bCs/>
          <w:kern w:val="2"/>
        </w:rPr>
        <w:t>Real estate, 591N</w:t>
      </w:r>
    </w:p>
    <w:p w14:paraId="7DD7D48E" w14:textId="77777777" w:rsidR="00E27BA1" w:rsidRPr="00E27BA1" w:rsidRDefault="00E27BA1" w:rsidP="00E27BA1">
      <w:pPr>
        <w:tabs>
          <w:tab w:val="left" w:pos="144"/>
          <w:tab w:val="left" w:pos="187"/>
          <w:tab w:val="left" w:pos="540"/>
          <w:tab w:val="left" w:pos="907"/>
          <w:tab w:val="left" w:pos="1080"/>
        </w:tabs>
        <w:ind w:firstLine="187"/>
        <w:jc w:val="both"/>
        <w:outlineLvl w:val="3"/>
        <w:rPr>
          <w:b/>
          <w:bCs/>
          <w:kern w:val="2"/>
          <w:lang w:eastAsia="x-none"/>
        </w:rPr>
      </w:pPr>
      <w:r w:rsidRPr="00E27BA1">
        <w:rPr>
          <w:b/>
          <w:bCs/>
          <w:kern w:val="2"/>
          <w:lang w:eastAsia="x-none"/>
        </w:rPr>
        <w:t>Uniform Construction Code Commission</w:t>
      </w:r>
    </w:p>
    <w:p w14:paraId="5C0245F1" w14:textId="77777777" w:rsidR="00E27BA1" w:rsidRPr="00E27BA1" w:rsidRDefault="00E27BA1" w:rsidP="00E27BA1">
      <w:pPr>
        <w:tabs>
          <w:tab w:val="left" w:pos="720"/>
          <w:tab w:val="left" w:pos="979"/>
          <w:tab w:val="left" w:pos="1152"/>
        </w:tabs>
        <w:ind w:left="450" w:hanging="90"/>
        <w:jc w:val="both"/>
        <w:outlineLvl w:val="4"/>
        <w:rPr>
          <w:rFonts w:eastAsia="Calibri"/>
          <w:kern w:val="2"/>
        </w:rPr>
      </w:pPr>
      <w:r w:rsidRPr="00E27BA1">
        <w:rPr>
          <w:bCs/>
          <w:kern w:val="2"/>
        </w:rPr>
        <w:t>Uniform</w:t>
      </w:r>
      <w:r w:rsidRPr="00E27BA1">
        <w:rPr>
          <w:rFonts w:eastAsia="Calibri"/>
          <w:kern w:val="2"/>
        </w:rPr>
        <w:t xml:space="preserve"> Construction Code</w:t>
      </w:r>
    </w:p>
    <w:p w14:paraId="5E422037"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Adoption</w:t>
      </w:r>
      <w:r w:rsidRPr="00E27BA1">
        <w:rPr>
          <w:rFonts w:eastAsia="Calibri"/>
        </w:rPr>
        <w:t xml:space="preserve"> of the 2023 NEC and the 2024 I-Codes, 1403N</w:t>
      </w:r>
    </w:p>
    <w:p w14:paraId="29DACCE0" w14:textId="77777777" w:rsidR="00E27BA1" w:rsidRPr="00E27BA1" w:rsidRDefault="00E27BA1" w:rsidP="00E27BA1">
      <w:pPr>
        <w:tabs>
          <w:tab w:val="left" w:pos="144"/>
          <w:tab w:val="left" w:pos="187"/>
          <w:tab w:val="left" w:pos="540"/>
          <w:tab w:val="left" w:pos="907"/>
          <w:tab w:val="left" w:pos="1080"/>
        </w:tabs>
        <w:ind w:firstLine="187"/>
        <w:jc w:val="both"/>
        <w:outlineLvl w:val="3"/>
        <w:rPr>
          <w:b/>
          <w:bCs/>
          <w:kern w:val="2"/>
          <w:lang w:eastAsia="x-none"/>
        </w:rPr>
      </w:pPr>
      <w:r w:rsidRPr="00E27BA1">
        <w:rPr>
          <w:b/>
          <w:bCs/>
          <w:kern w:val="2"/>
          <w:lang w:eastAsia="x-none"/>
        </w:rPr>
        <w:t>Uniform Construction Code Council</w:t>
      </w:r>
    </w:p>
    <w:p w14:paraId="49F2809F"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bCs/>
          <w:kern w:val="2"/>
        </w:rPr>
        <w:t>International building code and international existing building code changes, 264N, 678R</w:t>
      </w:r>
    </w:p>
    <w:p w14:paraId="773D2608"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bCs/>
          <w:kern w:val="2"/>
        </w:rPr>
        <w:t>International residential code, 652ER</w:t>
      </w:r>
    </w:p>
    <w:p w14:paraId="7FE8EBAD" w14:textId="77777777" w:rsidR="00E27BA1" w:rsidRPr="00E27BA1" w:rsidRDefault="00E27BA1" w:rsidP="00E27BA1">
      <w:pPr>
        <w:tabs>
          <w:tab w:val="left" w:pos="144"/>
          <w:tab w:val="left" w:pos="187"/>
          <w:tab w:val="left" w:pos="540"/>
          <w:tab w:val="left" w:pos="907"/>
          <w:tab w:val="left" w:pos="1080"/>
        </w:tabs>
        <w:ind w:firstLine="187"/>
        <w:jc w:val="both"/>
        <w:outlineLvl w:val="3"/>
        <w:rPr>
          <w:b/>
          <w:bCs/>
          <w:kern w:val="2"/>
          <w:lang w:eastAsia="x-none"/>
        </w:rPr>
      </w:pPr>
      <w:r w:rsidRPr="00E27BA1">
        <w:rPr>
          <w:b/>
          <w:bCs/>
          <w:kern w:val="2"/>
          <w:lang w:eastAsia="x-none"/>
        </w:rPr>
        <w:t>Veterans Affairs, Department of</w:t>
      </w:r>
    </w:p>
    <w:p w14:paraId="25A645E8"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bCs/>
          <w:kern w:val="2"/>
        </w:rPr>
        <w:t>Cemeteries, 254N, 948R</w:t>
      </w:r>
    </w:p>
    <w:p w14:paraId="76D4AB12"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bCs/>
          <w:kern w:val="2"/>
        </w:rPr>
        <w:t>Military Family Assistance Grants, 255N, 949R</w:t>
      </w:r>
    </w:p>
    <w:p w14:paraId="57B3D0EB"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sz w:val="18"/>
          <w:szCs w:val="18"/>
          <w:lang w:val="x-none" w:eastAsia="x-none"/>
        </w:rPr>
      </w:pPr>
      <w:bookmarkStart w:id="776" w:name="_Hlk211589523"/>
    </w:p>
    <w:p w14:paraId="2862991F"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sz w:val="18"/>
          <w:szCs w:val="18"/>
          <w:lang w:val="x-none" w:eastAsia="x-none"/>
        </w:rPr>
      </w:pPr>
    </w:p>
    <w:p w14:paraId="6998F441"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sz w:val="18"/>
          <w:szCs w:val="18"/>
          <w:lang w:val="x-none" w:eastAsia="x-none"/>
        </w:rPr>
      </w:pPr>
    </w:p>
    <w:p w14:paraId="2BDF5215" w14:textId="77777777" w:rsidR="00E27BA1" w:rsidRPr="00E27BA1" w:rsidRDefault="00E27BA1" w:rsidP="00E27BA1">
      <w:pPr>
        <w:keepNext/>
        <w:jc w:val="center"/>
        <w:rPr>
          <w:b/>
          <w:kern w:val="28"/>
        </w:rPr>
      </w:pPr>
      <w:r w:rsidRPr="00E27BA1">
        <w:rPr>
          <w:b/>
          <w:kern w:val="28"/>
        </w:rPr>
        <w:t>HEALTH</w:t>
      </w:r>
    </w:p>
    <w:bookmarkEnd w:id="776"/>
    <w:p w14:paraId="315CBBC2" w14:textId="77777777" w:rsidR="00E27BA1" w:rsidRPr="00E27BA1" w:rsidRDefault="00E27BA1" w:rsidP="00E27BA1">
      <w:pPr>
        <w:keepNext/>
        <w:tabs>
          <w:tab w:val="left" w:pos="144"/>
          <w:tab w:val="left" w:pos="187"/>
          <w:tab w:val="left" w:pos="540"/>
          <w:tab w:val="left" w:pos="907"/>
          <w:tab w:val="left" w:pos="1080"/>
        </w:tabs>
        <w:ind w:firstLine="187"/>
        <w:jc w:val="both"/>
        <w:outlineLvl w:val="3"/>
        <w:rPr>
          <w:b/>
          <w:kern w:val="2"/>
          <w:lang w:eastAsia="x-none"/>
        </w:rPr>
      </w:pPr>
      <w:r w:rsidRPr="00E27BA1">
        <w:rPr>
          <w:b/>
          <w:kern w:val="2"/>
          <w:lang w:eastAsia="x-none"/>
        </w:rPr>
        <w:t>Aging and Adult Services, Office of</w:t>
      </w:r>
    </w:p>
    <w:p w14:paraId="4D9BC9EF"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Nursing facilities</w:t>
      </w:r>
    </w:p>
    <w:p w14:paraId="6C9EA219"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Preadmission screening, 1237N</w:t>
      </w:r>
    </w:p>
    <w:p w14:paraId="1CBD95D7" w14:textId="77777777" w:rsidR="00E27BA1" w:rsidRPr="00E27BA1" w:rsidRDefault="00E27BA1" w:rsidP="00E27BA1">
      <w:pPr>
        <w:keepNext/>
        <w:tabs>
          <w:tab w:val="left" w:pos="144"/>
          <w:tab w:val="left" w:pos="187"/>
          <w:tab w:val="left" w:pos="540"/>
          <w:tab w:val="left" w:pos="907"/>
          <w:tab w:val="left" w:pos="1080"/>
        </w:tabs>
        <w:ind w:firstLine="187"/>
        <w:jc w:val="both"/>
        <w:outlineLvl w:val="3"/>
        <w:rPr>
          <w:b/>
          <w:kern w:val="2"/>
          <w:lang w:eastAsia="x-none"/>
        </w:rPr>
      </w:pPr>
      <w:r w:rsidRPr="00E27BA1">
        <w:rPr>
          <w:b/>
          <w:kern w:val="2"/>
          <w:lang w:eastAsia="x-none"/>
        </w:rPr>
        <w:t>Behavioral Health, Office</w:t>
      </w:r>
    </w:p>
    <w:p w14:paraId="302A1D37"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Certified community behavioral health clinics, 1436N</w:t>
      </w:r>
    </w:p>
    <w:p w14:paraId="5AAFA517" w14:textId="77777777" w:rsidR="00E27BA1" w:rsidRPr="00E27BA1" w:rsidRDefault="00E27BA1" w:rsidP="00E27BA1">
      <w:pPr>
        <w:keepNext/>
        <w:tabs>
          <w:tab w:val="left" w:pos="144"/>
          <w:tab w:val="left" w:pos="187"/>
          <w:tab w:val="left" w:pos="540"/>
          <w:tab w:val="left" w:pos="907"/>
          <w:tab w:val="left" w:pos="1080"/>
        </w:tabs>
        <w:ind w:firstLine="187"/>
        <w:jc w:val="both"/>
        <w:outlineLvl w:val="3"/>
        <w:rPr>
          <w:b/>
          <w:kern w:val="2"/>
          <w:lang w:eastAsia="x-none"/>
        </w:rPr>
      </w:pPr>
      <w:r w:rsidRPr="00E27BA1">
        <w:rPr>
          <w:b/>
          <w:kern w:val="2"/>
          <w:lang w:eastAsia="x-none"/>
        </w:rPr>
        <w:t>Dentistry, Board of</w:t>
      </w:r>
    </w:p>
    <w:p w14:paraId="1F5D4297"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bCs/>
          <w:kern w:val="2"/>
        </w:rPr>
        <w:t>Continuing education requirements, 271N, 685R</w:t>
      </w:r>
    </w:p>
    <w:p w14:paraId="57D06F86"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bCs/>
          <w:kern w:val="2"/>
        </w:rPr>
        <w:t>Licensure examination, 41R</w:t>
      </w:r>
    </w:p>
    <w:p w14:paraId="72534B42" w14:textId="77777777" w:rsidR="00E27BA1" w:rsidRPr="00E27BA1" w:rsidRDefault="00E27BA1" w:rsidP="00E27BA1">
      <w:pPr>
        <w:keepNext/>
        <w:tabs>
          <w:tab w:val="left" w:pos="144"/>
          <w:tab w:val="left" w:pos="187"/>
          <w:tab w:val="left" w:pos="540"/>
          <w:tab w:val="left" w:pos="907"/>
          <w:tab w:val="left" w:pos="1080"/>
        </w:tabs>
        <w:ind w:firstLine="187"/>
        <w:jc w:val="both"/>
        <w:outlineLvl w:val="3"/>
        <w:rPr>
          <w:b/>
          <w:kern w:val="2"/>
          <w:lang w:eastAsia="x-none"/>
        </w:rPr>
      </w:pPr>
      <w:r w:rsidRPr="00E27BA1">
        <w:rPr>
          <w:b/>
          <w:kern w:val="2"/>
          <w:lang w:eastAsia="x-none"/>
        </w:rPr>
        <w:t>Examiners of Psychologists, Board of</w:t>
      </w:r>
    </w:p>
    <w:p w14:paraId="007B0C2E"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ADA accommodations, 386N, 977R</w:t>
      </w:r>
    </w:p>
    <w:p w14:paraId="0B8EF517"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Psychologists licensure requirements, 386N, 977R</w:t>
      </w:r>
    </w:p>
    <w:p w14:paraId="065D2590"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Continuing education, 386N, 977R</w:t>
      </w:r>
    </w:p>
    <w:p w14:paraId="3E76B8C0" w14:textId="77777777" w:rsidR="00E27BA1" w:rsidRPr="00E27BA1" w:rsidRDefault="00E27BA1" w:rsidP="00E27BA1">
      <w:pPr>
        <w:keepNext/>
        <w:tabs>
          <w:tab w:val="left" w:pos="144"/>
          <w:tab w:val="left" w:pos="187"/>
          <w:tab w:val="left" w:pos="540"/>
          <w:tab w:val="left" w:pos="907"/>
          <w:tab w:val="left" w:pos="1080"/>
        </w:tabs>
        <w:ind w:firstLine="187"/>
        <w:jc w:val="both"/>
        <w:outlineLvl w:val="3"/>
        <w:rPr>
          <w:b/>
          <w:kern w:val="2"/>
          <w:lang w:eastAsia="x-none"/>
        </w:rPr>
      </w:pPr>
      <w:r w:rsidRPr="00E27BA1">
        <w:rPr>
          <w:b/>
          <w:kern w:val="2"/>
          <w:lang w:eastAsia="x-none"/>
        </w:rPr>
        <w:t>Health Services Financing, Bureau of</w:t>
      </w:r>
    </w:p>
    <w:p w14:paraId="6B9A7F1E"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Certified community behavioral health clinics, 1436N</w:t>
      </w:r>
    </w:p>
    <w:p w14:paraId="210B907F"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Children and adult mental health services, 132N, 496R</w:t>
      </w:r>
    </w:p>
    <w:p w14:paraId="53B30F82"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Dental benefits</w:t>
      </w:r>
    </w:p>
    <w:p w14:paraId="1766D0FC"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Prepaid Ambulatory Health Plan</w:t>
      </w:r>
    </w:p>
    <w:p w14:paraId="5E6C1675" w14:textId="77777777" w:rsidR="00E27BA1" w:rsidRPr="00E27BA1" w:rsidRDefault="00E27BA1" w:rsidP="00E27BA1">
      <w:pPr>
        <w:tabs>
          <w:tab w:val="left" w:pos="720"/>
          <w:tab w:val="left" w:pos="979"/>
          <w:tab w:val="left" w:pos="1152"/>
        </w:tabs>
        <w:ind w:left="540"/>
        <w:jc w:val="both"/>
        <w:outlineLvl w:val="4"/>
        <w:rPr>
          <w:kern w:val="2"/>
        </w:rPr>
      </w:pPr>
      <w:r w:rsidRPr="00E27BA1">
        <w:rPr>
          <w:kern w:val="2"/>
        </w:rPr>
        <w:t>Enrollment broker, 225R</w:t>
      </w:r>
    </w:p>
    <w:p w14:paraId="73A66835"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Eligibility</w:t>
      </w:r>
    </w:p>
    <w:p w14:paraId="51F8B410"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New adult eligibility group, 1229N</w:t>
      </w:r>
    </w:p>
    <w:p w14:paraId="4D209890"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Retroactive coverage eligibility, 1231N</w:t>
      </w:r>
    </w:p>
    <w:p w14:paraId="7689A27A"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Eligibility factors</w:t>
      </w:r>
    </w:p>
    <w:p w14:paraId="192B1E2E"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Citizenship, 833N, 1348R</w:t>
      </w:r>
    </w:p>
    <w:p w14:paraId="263187EE" w14:textId="77777777" w:rsidR="00E27BA1" w:rsidRPr="00E27BA1" w:rsidRDefault="00E27BA1" w:rsidP="00E27BA1">
      <w:pPr>
        <w:tabs>
          <w:tab w:val="left" w:pos="720"/>
          <w:tab w:val="left" w:pos="979"/>
          <w:tab w:val="left" w:pos="1152"/>
        </w:tabs>
        <w:ind w:left="450" w:hanging="90"/>
        <w:jc w:val="both"/>
        <w:outlineLvl w:val="4"/>
        <w:rPr>
          <w:kern w:val="2"/>
        </w:rPr>
      </w:pPr>
      <w:bookmarkStart w:id="777" w:name="_Hlk234563384"/>
      <w:r w:rsidRPr="00E27BA1">
        <w:rPr>
          <w:kern w:val="2"/>
        </w:rPr>
        <w:t>Home and community-based waivers</w:t>
      </w:r>
    </w:p>
    <w:bookmarkEnd w:id="777"/>
    <w:p w14:paraId="5538784C"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Developmental disabilities services, 1234N</w:t>
      </w:r>
    </w:p>
    <w:p w14:paraId="726BD658"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Hospital services</w:t>
      </w:r>
    </w:p>
    <w:p w14:paraId="2E0AECE6"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Postpartum nurse home visits, 1439N</w:t>
      </w:r>
    </w:p>
    <w:p w14:paraId="742F0200"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Intermediate care facilities for persons with intellectual disabilities</w:t>
      </w:r>
    </w:p>
    <w:p w14:paraId="4A6CC105"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Reimbursement methodology, 134N, 497R</w:t>
      </w:r>
    </w:p>
    <w:p w14:paraId="4935C2F2"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Louisiana Children's Health Insurance Program, 616N, 1189R</w:t>
      </w:r>
    </w:p>
    <w:p w14:paraId="2E84877F"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Managed care for physical and behavioral health</w:t>
      </w:r>
    </w:p>
    <w:p w14:paraId="2D4ED4DA" w14:textId="77777777" w:rsidR="00E27BA1" w:rsidRPr="00E27BA1" w:rsidRDefault="00E27BA1" w:rsidP="00E27BA1">
      <w:pPr>
        <w:tabs>
          <w:tab w:val="left" w:pos="720"/>
          <w:tab w:val="left" w:pos="979"/>
          <w:tab w:val="left" w:pos="1152"/>
        </w:tabs>
        <w:ind w:left="540"/>
        <w:jc w:val="both"/>
        <w:outlineLvl w:val="4"/>
        <w:rPr>
          <w:kern w:val="2"/>
        </w:rPr>
      </w:pPr>
      <w:r w:rsidRPr="00E27BA1">
        <w:rPr>
          <w:kern w:val="2"/>
        </w:rPr>
        <w:t>Enrollment broker, 226R</w:t>
      </w:r>
    </w:p>
    <w:p w14:paraId="44486E23"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Medicaid eligibility</w:t>
      </w:r>
    </w:p>
    <w:p w14:paraId="29B5FE5F"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Federally-facilitated marketplace determinations, 42R</w:t>
      </w:r>
    </w:p>
    <w:p w14:paraId="45EC4B31"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Medicaid Program integrity</w:t>
      </w:r>
    </w:p>
    <w:p w14:paraId="150D77FC"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Fraud, waste and abuse recovery, 272N, 690R, 1235N</w:t>
      </w:r>
    </w:p>
    <w:p w14:paraId="40C0C894"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Nursing facilities</w:t>
      </w:r>
    </w:p>
    <w:p w14:paraId="3EDB9AED"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Preadmission screening, 1237N</w:t>
      </w:r>
    </w:p>
    <w:p w14:paraId="09D342AE"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Professional Services Program</w:t>
      </w:r>
    </w:p>
    <w:p w14:paraId="08B1B2C1" w14:textId="77777777" w:rsidR="00E27BA1" w:rsidRPr="00E27BA1" w:rsidRDefault="00E27BA1" w:rsidP="00E27BA1">
      <w:pPr>
        <w:tabs>
          <w:tab w:val="left" w:pos="720"/>
          <w:tab w:val="left" w:pos="979"/>
          <w:tab w:val="left" w:pos="1152"/>
        </w:tabs>
        <w:ind w:left="450"/>
        <w:jc w:val="both"/>
        <w:outlineLvl w:val="4"/>
        <w:rPr>
          <w:bCs/>
          <w:kern w:val="2"/>
        </w:rPr>
      </w:pPr>
      <w:r w:rsidRPr="00E27BA1">
        <w:rPr>
          <w:kern w:val="2"/>
        </w:rPr>
        <w:t>Doula services, 42R</w:t>
      </w:r>
    </w:p>
    <w:p w14:paraId="242349AA" w14:textId="77777777" w:rsidR="00E27BA1" w:rsidRPr="00E27BA1" w:rsidRDefault="00E27BA1" w:rsidP="00E27BA1">
      <w:pPr>
        <w:keepNext/>
        <w:tabs>
          <w:tab w:val="left" w:pos="144"/>
          <w:tab w:val="left" w:pos="187"/>
          <w:tab w:val="left" w:pos="540"/>
          <w:tab w:val="left" w:pos="907"/>
          <w:tab w:val="left" w:pos="1080"/>
        </w:tabs>
        <w:ind w:firstLine="187"/>
        <w:jc w:val="both"/>
        <w:outlineLvl w:val="3"/>
        <w:rPr>
          <w:b/>
          <w:kern w:val="2"/>
          <w:lang w:eastAsia="x-none"/>
        </w:rPr>
      </w:pPr>
      <w:r w:rsidRPr="00E27BA1">
        <w:rPr>
          <w:b/>
          <w:kern w:val="2"/>
          <w:lang w:eastAsia="x-none"/>
        </w:rPr>
        <w:t>Health Standards Section</w:t>
      </w:r>
    </w:p>
    <w:p w14:paraId="78CDD765"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bCs/>
          <w:kern w:val="2"/>
        </w:rPr>
        <w:t>Ambulatory surgical center</w:t>
      </w:r>
    </w:p>
    <w:p w14:paraId="0BCD3954" w14:textId="77777777" w:rsidR="00E27BA1" w:rsidRPr="00E27BA1" w:rsidRDefault="00E27BA1" w:rsidP="00E27BA1">
      <w:pPr>
        <w:tabs>
          <w:tab w:val="left" w:pos="720"/>
          <w:tab w:val="left" w:pos="979"/>
          <w:tab w:val="left" w:pos="1152"/>
        </w:tabs>
        <w:ind w:left="450"/>
        <w:jc w:val="both"/>
        <w:outlineLvl w:val="4"/>
        <w:rPr>
          <w:bCs/>
          <w:kern w:val="2"/>
        </w:rPr>
      </w:pPr>
      <w:r w:rsidRPr="00E27BA1">
        <w:rPr>
          <w:bCs/>
          <w:kern w:val="2"/>
        </w:rPr>
        <w:t>Licensing standards, 43R</w:t>
      </w:r>
    </w:p>
    <w:p w14:paraId="5B1CF3E7"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bCs/>
          <w:kern w:val="2"/>
        </w:rPr>
        <w:t>Behavioral health service providers</w:t>
      </w:r>
    </w:p>
    <w:p w14:paraId="00C5BB17" w14:textId="77777777" w:rsidR="00E27BA1" w:rsidRPr="00E27BA1" w:rsidRDefault="00E27BA1" w:rsidP="00E27BA1">
      <w:pPr>
        <w:tabs>
          <w:tab w:val="left" w:pos="720"/>
          <w:tab w:val="left" w:pos="979"/>
          <w:tab w:val="left" w:pos="1152"/>
        </w:tabs>
        <w:ind w:left="450"/>
        <w:jc w:val="both"/>
        <w:outlineLvl w:val="4"/>
        <w:rPr>
          <w:bCs/>
          <w:kern w:val="2"/>
        </w:rPr>
      </w:pPr>
      <w:r w:rsidRPr="00E27BA1">
        <w:rPr>
          <w:bCs/>
          <w:kern w:val="2"/>
        </w:rPr>
        <w:t>Licensing standards, 44R, 1239N</w:t>
      </w:r>
    </w:p>
    <w:p w14:paraId="3CA7107C"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bCs/>
          <w:kern w:val="2"/>
        </w:rPr>
        <w:t>Free-standing birth centers</w:t>
      </w:r>
    </w:p>
    <w:p w14:paraId="7030488D" w14:textId="77777777" w:rsidR="00E27BA1" w:rsidRPr="00E27BA1" w:rsidRDefault="00E27BA1" w:rsidP="00E27BA1">
      <w:pPr>
        <w:tabs>
          <w:tab w:val="left" w:pos="720"/>
          <w:tab w:val="left" w:pos="979"/>
          <w:tab w:val="left" w:pos="1152"/>
        </w:tabs>
        <w:ind w:left="450"/>
        <w:jc w:val="both"/>
        <w:outlineLvl w:val="4"/>
        <w:rPr>
          <w:bCs/>
          <w:kern w:val="2"/>
        </w:rPr>
      </w:pPr>
      <w:r w:rsidRPr="00E27BA1">
        <w:rPr>
          <w:bCs/>
          <w:kern w:val="2"/>
        </w:rPr>
        <w:t>Licensing standards, 228R</w:t>
      </w:r>
    </w:p>
    <w:p w14:paraId="075C36EC"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bCs/>
          <w:kern w:val="2"/>
        </w:rPr>
        <w:t>Healthcare facility sanctions, 834N, 1348R</w:t>
      </w:r>
    </w:p>
    <w:p w14:paraId="77B3AC36"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bCs/>
          <w:kern w:val="2"/>
        </w:rPr>
        <w:t>Home and community-based services providers</w:t>
      </w:r>
    </w:p>
    <w:p w14:paraId="42E28176" w14:textId="77777777" w:rsidR="00E27BA1" w:rsidRPr="00E27BA1" w:rsidRDefault="00E27BA1" w:rsidP="00E27BA1">
      <w:pPr>
        <w:tabs>
          <w:tab w:val="left" w:pos="720"/>
          <w:tab w:val="left" w:pos="979"/>
          <w:tab w:val="left" w:pos="1152"/>
        </w:tabs>
        <w:ind w:left="450"/>
        <w:jc w:val="both"/>
        <w:outlineLvl w:val="4"/>
        <w:rPr>
          <w:bCs/>
          <w:kern w:val="2"/>
        </w:rPr>
      </w:pPr>
      <w:r w:rsidRPr="00E27BA1">
        <w:rPr>
          <w:bCs/>
          <w:kern w:val="2"/>
        </w:rPr>
        <w:t>Monitored in-home caregiving module</w:t>
      </w:r>
    </w:p>
    <w:p w14:paraId="068D70CD" w14:textId="77777777" w:rsidR="00E27BA1" w:rsidRPr="00E27BA1" w:rsidRDefault="00E27BA1" w:rsidP="00E27BA1">
      <w:pPr>
        <w:tabs>
          <w:tab w:val="left" w:pos="720"/>
          <w:tab w:val="left" w:pos="979"/>
          <w:tab w:val="left" w:pos="1152"/>
        </w:tabs>
        <w:ind w:left="540"/>
        <w:jc w:val="both"/>
        <w:outlineLvl w:val="4"/>
        <w:rPr>
          <w:bCs/>
          <w:kern w:val="2"/>
        </w:rPr>
      </w:pPr>
      <w:r w:rsidRPr="00E27BA1">
        <w:rPr>
          <w:bCs/>
          <w:kern w:val="2"/>
        </w:rPr>
        <w:t>Licensing standards, 395N</w:t>
      </w:r>
    </w:p>
    <w:p w14:paraId="7B2D0F48"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bCs/>
          <w:kern w:val="2"/>
        </w:rPr>
        <w:t>Hospitals</w:t>
      </w:r>
    </w:p>
    <w:p w14:paraId="0AB040CF" w14:textId="77777777" w:rsidR="00E27BA1" w:rsidRPr="00E27BA1" w:rsidRDefault="00E27BA1" w:rsidP="00E27BA1">
      <w:pPr>
        <w:tabs>
          <w:tab w:val="left" w:pos="720"/>
          <w:tab w:val="left" w:pos="979"/>
          <w:tab w:val="left" w:pos="1152"/>
        </w:tabs>
        <w:ind w:left="450"/>
        <w:jc w:val="both"/>
        <w:outlineLvl w:val="4"/>
        <w:rPr>
          <w:bCs/>
          <w:kern w:val="2"/>
        </w:rPr>
      </w:pPr>
      <w:r w:rsidRPr="00E27BA1">
        <w:rPr>
          <w:bCs/>
          <w:kern w:val="2"/>
        </w:rPr>
        <w:t>Licensing standards, 354R, 497R</w:t>
      </w:r>
    </w:p>
    <w:p w14:paraId="26B2FE39"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bCs/>
          <w:kern w:val="2"/>
        </w:rPr>
        <w:t>Notice of public hearing</w:t>
      </w:r>
    </w:p>
    <w:p w14:paraId="3BCF8CF3" w14:textId="77777777" w:rsidR="00E27BA1" w:rsidRPr="00E27BA1" w:rsidRDefault="00E27BA1" w:rsidP="00E27BA1">
      <w:pPr>
        <w:tabs>
          <w:tab w:val="left" w:pos="720"/>
          <w:tab w:val="left" w:pos="979"/>
          <w:tab w:val="left" w:pos="1152"/>
        </w:tabs>
        <w:ind w:left="450"/>
        <w:jc w:val="both"/>
        <w:outlineLvl w:val="4"/>
        <w:rPr>
          <w:bCs/>
          <w:kern w:val="2"/>
        </w:rPr>
      </w:pPr>
      <w:r w:rsidRPr="00E27BA1">
        <w:rPr>
          <w:bCs/>
          <w:kern w:val="2"/>
        </w:rPr>
        <w:t>Substantive changes to proposed Rule</w:t>
      </w:r>
    </w:p>
    <w:p w14:paraId="245F219E" w14:textId="77777777" w:rsidR="00E27BA1" w:rsidRPr="00E27BA1" w:rsidRDefault="00E27BA1" w:rsidP="00E27BA1">
      <w:pPr>
        <w:tabs>
          <w:tab w:val="left" w:pos="720"/>
          <w:tab w:val="left" w:pos="979"/>
          <w:tab w:val="left" w:pos="1152"/>
        </w:tabs>
        <w:ind w:left="450" w:firstLine="90"/>
        <w:jc w:val="both"/>
        <w:outlineLvl w:val="4"/>
        <w:rPr>
          <w:bCs/>
          <w:kern w:val="2"/>
        </w:rPr>
      </w:pPr>
      <w:r w:rsidRPr="00E27BA1">
        <w:rPr>
          <w:bCs/>
          <w:kern w:val="2"/>
        </w:rPr>
        <w:t>Nurse Staffing Agencies—Licensing Standards, 190P</w:t>
      </w:r>
    </w:p>
    <w:p w14:paraId="70996DFB"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bCs/>
          <w:kern w:val="2"/>
        </w:rPr>
        <w:t>Nurse staffing agencies</w:t>
      </w:r>
    </w:p>
    <w:p w14:paraId="491D303E" w14:textId="77777777" w:rsidR="00E27BA1" w:rsidRPr="00E27BA1" w:rsidRDefault="00E27BA1" w:rsidP="00E27BA1">
      <w:pPr>
        <w:tabs>
          <w:tab w:val="left" w:pos="720"/>
          <w:tab w:val="left" w:pos="979"/>
          <w:tab w:val="left" w:pos="1152"/>
        </w:tabs>
        <w:ind w:left="450"/>
        <w:jc w:val="both"/>
        <w:outlineLvl w:val="4"/>
        <w:rPr>
          <w:bCs/>
          <w:kern w:val="2"/>
        </w:rPr>
      </w:pPr>
      <w:r w:rsidRPr="00E27BA1">
        <w:rPr>
          <w:bCs/>
          <w:kern w:val="2"/>
        </w:rPr>
        <w:t>Licensing standards, 700R</w:t>
      </w:r>
    </w:p>
    <w:p w14:paraId="7FD09050" w14:textId="77777777" w:rsidR="00E27BA1" w:rsidRPr="00E27BA1" w:rsidRDefault="00E27BA1" w:rsidP="00E27BA1">
      <w:pPr>
        <w:keepNext/>
        <w:tabs>
          <w:tab w:val="left" w:pos="144"/>
          <w:tab w:val="left" w:pos="187"/>
          <w:tab w:val="left" w:pos="540"/>
          <w:tab w:val="left" w:pos="907"/>
          <w:tab w:val="left" w:pos="1080"/>
        </w:tabs>
        <w:ind w:firstLine="187"/>
        <w:jc w:val="both"/>
        <w:outlineLvl w:val="3"/>
        <w:rPr>
          <w:b/>
          <w:kern w:val="2"/>
          <w:lang w:eastAsia="x-none"/>
        </w:rPr>
      </w:pPr>
      <w:r w:rsidRPr="00E27BA1">
        <w:rPr>
          <w:b/>
          <w:kern w:val="2"/>
          <w:lang w:eastAsia="x-none"/>
        </w:rPr>
        <w:t>Intellectual and Developmental Disability Supports</w:t>
      </w:r>
    </w:p>
    <w:p w14:paraId="7F3D4C70"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Home and community-based waivers</w:t>
      </w:r>
    </w:p>
    <w:p w14:paraId="6DAA5CCC"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Developmental disabilities services, 1234N</w:t>
      </w:r>
    </w:p>
    <w:p w14:paraId="3BB6DE8B" w14:textId="77777777" w:rsidR="00E27BA1" w:rsidRPr="00E27BA1" w:rsidRDefault="00E27BA1" w:rsidP="00E27BA1">
      <w:pPr>
        <w:keepNext/>
        <w:tabs>
          <w:tab w:val="left" w:pos="144"/>
          <w:tab w:val="left" w:pos="187"/>
          <w:tab w:val="left" w:pos="540"/>
          <w:tab w:val="left" w:pos="907"/>
          <w:tab w:val="left" w:pos="1080"/>
        </w:tabs>
        <w:ind w:firstLine="187"/>
        <w:jc w:val="both"/>
        <w:outlineLvl w:val="3"/>
        <w:rPr>
          <w:b/>
          <w:kern w:val="2"/>
          <w:lang w:eastAsia="x-none"/>
        </w:rPr>
      </w:pPr>
      <w:r w:rsidRPr="00E27BA1">
        <w:rPr>
          <w:b/>
          <w:kern w:val="2"/>
          <w:lang w:eastAsia="x-none"/>
        </w:rPr>
        <w:t>Licensed Professional Counselors Board of Examiners</w:t>
      </w:r>
    </w:p>
    <w:p w14:paraId="71844BA4"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Board meetings, 1349R</w:t>
      </w:r>
    </w:p>
    <w:p w14:paraId="7B56C7EA"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Duties, 1349R</w:t>
      </w:r>
    </w:p>
    <w:p w14:paraId="4B40473B"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General provisions, 1350R</w:t>
      </w:r>
    </w:p>
    <w:p w14:paraId="7BF97992"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Powers, 1349R</w:t>
      </w:r>
    </w:p>
    <w:p w14:paraId="2CB9DFC2"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Procedures, 1349R</w:t>
      </w:r>
    </w:p>
    <w:p w14:paraId="71C9E9EB"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Records, 1349R</w:t>
      </w:r>
    </w:p>
    <w:p w14:paraId="6A1FD168"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kern w:val="2"/>
        </w:rPr>
        <w:t>Supervision ratio of hours, 1250N</w:t>
      </w:r>
    </w:p>
    <w:p w14:paraId="61B1787E" w14:textId="77777777" w:rsidR="00E27BA1" w:rsidRPr="00E27BA1" w:rsidRDefault="00E27BA1" w:rsidP="00E27BA1">
      <w:pPr>
        <w:keepNext/>
        <w:tabs>
          <w:tab w:val="left" w:pos="144"/>
          <w:tab w:val="left" w:pos="187"/>
          <w:tab w:val="left" w:pos="540"/>
          <w:tab w:val="left" w:pos="907"/>
          <w:tab w:val="left" w:pos="1080"/>
        </w:tabs>
        <w:ind w:firstLine="187"/>
        <w:jc w:val="both"/>
        <w:outlineLvl w:val="3"/>
        <w:rPr>
          <w:b/>
          <w:kern w:val="2"/>
          <w:lang w:eastAsia="x-none"/>
        </w:rPr>
      </w:pPr>
      <w:r w:rsidRPr="00E27BA1">
        <w:rPr>
          <w:b/>
          <w:kern w:val="2"/>
          <w:lang w:eastAsia="x-none"/>
        </w:rPr>
        <w:br w:type="page"/>
      </w:r>
    </w:p>
    <w:p w14:paraId="70686152" w14:textId="77777777" w:rsidR="00E27BA1" w:rsidRPr="00E27BA1" w:rsidRDefault="00E27BA1" w:rsidP="00E27BA1">
      <w:pPr>
        <w:keepNext/>
        <w:jc w:val="center"/>
        <w:rPr>
          <w:b/>
          <w:kern w:val="28"/>
        </w:rPr>
      </w:pPr>
      <w:r w:rsidRPr="00E27BA1">
        <w:rPr>
          <w:b/>
          <w:kern w:val="28"/>
        </w:rPr>
        <w:lastRenderedPageBreak/>
        <w:t>HEALTH (continued)</w:t>
      </w:r>
    </w:p>
    <w:p w14:paraId="6F6A880A" w14:textId="77777777" w:rsidR="00E27BA1" w:rsidRPr="00E27BA1" w:rsidRDefault="00E27BA1" w:rsidP="00E27BA1">
      <w:pPr>
        <w:keepNext/>
        <w:tabs>
          <w:tab w:val="left" w:pos="144"/>
          <w:tab w:val="left" w:pos="187"/>
          <w:tab w:val="left" w:pos="540"/>
          <w:tab w:val="left" w:pos="907"/>
          <w:tab w:val="left" w:pos="1080"/>
        </w:tabs>
        <w:ind w:firstLine="187"/>
        <w:jc w:val="both"/>
        <w:outlineLvl w:val="3"/>
        <w:rPr>
          <w:b/>
          <w:kern w:val="2"/>
          <w:lang w:eastAsia="x-none"/>
        </w:rPr>
      </w:pPr>
      <w:r w:rsidRPr="00E27BA1">
        <w:rPr>
          <w:b/>
          <w:kern w:val="2"/>
          <w:lang w:eastAsia="x-none"/>
        </w:rPr>
        <w:t>Medical Examiners, Board of</w:t>
      </w:r>
    </w:p>
    <w:p w14:paraId="64F1CE35"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bCs/>
          <w:kern w:val="2"/>
        </w:rPr>
        <w:t>Medical psychologists, 109N</w:t>
      </w:r>
    </w:p>
    <w:p w14:paraId="2B80BAB8"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bCs/>
          <w:kern w:val="2"/>
        </w:rPr>
        <w:t>Physicians</w:t>
      </w:r>
    </w:p>
    <w:p w14:paraId="0487FB2A" w14:textId="77777777" w:rsidR="00E27BA1" w:rsidRPr="00E27BA1" w:rsidRDefault="00E27BA1" w:rsidP="00E27BA1">
      <w:pPr>
        <w:tabs>
          <w:tab w:val="left" w:pos="720"/>
          <w:tab w:val="left" w:pos="979"/>
          <w:tab w:val="left" w:pos="1152"/>
        </w:tabs>
        <w:ind w:left="450"/>
        <w:jc w:val="both"/>
        <w:outlineLvl w:val="4"/>
        <w:rPr>
          <w:bCs/>
          <w:kern w:val="2"/>
        </w:rPr>
      </w:pPr>
      <w:r w:rsidRPr="00E27BA1">
        <w:rPr>
          <w:bCs/>
          <w:kern w:val="2"/>
        </w:rPr>
        <w:t>Assistants, 812N</w:t>
      </w:r>
    </w:p>
    <w:p w14:paraId="6FBB3752" w14:textId="77777777" w:rsidR="00E27BA1" w:rsidRPr="00E27BA1" w:rsidRDefault="00E27BA1" w:rsidP="00E27BA1">
      <w:pPr>
        <w:tabs>
          <w:tab w:val="left" w:pos="720"/>
          <w:tab w:val="left" w:pos="979"/>
          <w:tab w:val="left" w:pos="1152"/>
        </w:tabs>
        <w:ind w:left="450"/>
        <w:jc w:val="both"/>
        <w:outlineLvl w:val="4"/>
        <w:rPr>
          <w:bCs/>
          <w:kern w:val="2"/>
        </w:rPr>
      </w:pPr>
      <w:r w:rsidRPr="00E27BA1">
        <w:rPr>
          <w:bCs/>
          <w:kern w:val="2"/>
        </w:rPr>
        <w:t>Continuing medical education 114N</w:t>
      </w:r>
    </w:p>
    <w:p w14:paraId="7C464669" w14:textId="77777777" w:rsidR="00E27BA1" w:rsidRPr="00E27BA1" w:rsidRDefault="00E27BA1" w:rsidP="00E27BA1">
      <w:pPr>
        <w:tabs>
          <w:tab w:val="left" w:pos="720"/>
          <w:tab w:val="left" w:pos="979"/>
          <w:tab w:val="left" w:pos="1152"/>
        </w:tabs>
        <w:ind w:left="450"/>
        <w:jc w:val="both"/>
        <w:outlineLvl w:val="4"/>
        <w:rPr>
          <w:bCs/>
          <w:kern w:val="2"/>
        </w:rPr>
      </w:pPr>
      <w:r w:rsidRPr="00E27BA1">
        <w:rPr>
          <w:bCs/>
          <w:kern w:val="2"/>
        </w:rPr>
        <w:t>Obesity medication, 392N</w:t>
      </w:r>
    </w:p>
    <w:p w14:paraId="2F0833A4"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bCs/>
          <w:kern w:val="2"/>
        </w:rPr>
        <w:t>Private radiological technologists, 1433N</w:t>
      </w:r>
    </w:p>
    <w:p w14:paraId="68B1DA0A"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bCs/>
          <w:kern w:val="2"/>
        </w:rPr>
        <w:t>Respiratory therapists, 117N</w:t>
      </w:r>
    </w:p>
    <w:p w14:paraId="0A06AC12" w14:textId="77777777" w:rsidR="00E27BA1" w:rsidRPr="00E27BA1" w:rsidRDefault="00E27BA1" w:rsidP="00E27BA1">
      <w:pPr>
        <w:keepNext/>
        <w:tabs>
          <w:tab w:val="left" w:pos="144"/>
          <w:tab w:val="left" w:pos="187"/>
          <w:tab w:val="left" w:pos="540"/>
          <w:tab w:val="left" w:pos="907"/>
          <w:tab w:val="left" w:pos="1080"/>
        </w:tabs>
        <w:ind w:firstLine="187"/>
        <w:jc w:val="both"/>
        <w:outlineLvl w:val="3"/>
        <w:rPr>
          <w:b/>
          <w:kern w:val="2"/>
          <w:lang w:eastAsia="x-none"/>
        </w:rPr>
      </w:pPr>
      <w:r w:rsidRPr="00E27BA1">
        <w:rPr>
          <w:b/>
          <w:kern w:val="2"/>
          <w:lang w:eastAsia="x-none"/>
        </w:rPr>
        <w:t>Nursing Home Administrators, Board of Examiners</w:t>
      </w:r>
    </w:p>
    <w:p w14:paraId="3D03DA5F"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bCs/>
          <w:kern w:val="2"/>
        </w:rPr>
        <w:t>Certified nurses aid register, 106N, 494R</w:t>
      </w:r>
    </w:p>
    <w:p w14:paraId="57DD5251"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bCs/>
          <w:kern w:val="2"/>
        </w:rPr>
        <w:t>Complaints and hearing procedures, 106N, 494R</w:t>
      </w:r>
    </w:p>
    <w:p w14:paraId="60ABC52A" w14:textId="77777777" w:rsidR="00E27BA1" w:rsidRPr="00E27BA1" w:rsidRDefault="00E27BA1" w:rsidP="00E27BA1">
      <w:pPr>
        <w:keepNext/>
        <w:tabs>
          <w:tab w:val="left" w:pos="144"/>
          <w:tab w:val="left" w:pos="187"/>
          <w:tab w:val="left" w:pos="540"/>
          <w:tab w:val="left" w:pos="907"/>
          <w:tab w:val="left" w:pos="1080"/>
        </w:tabs>
        <w:ind w:firstLine="187"/>
        <w:jc w:val="both"/>
        <w:outlineLvl w:val="3"/>
        <w:rPr>
          <w:b/>
          <w:kern w:val="2"/>
          <w:lang w:eastAsia="x-none"/>
        </w:rPr>
      </w:pPr>
      <w:r w:rsidRPr="00E27BA1">
        <w:rPr>
          <w:b/>
          <w:kern w:val="2"/>
          <w:lang w:eastAsia="x-none"/>
        </w:rPr>
        <w:t>Pharmacy, Board of</w:t>
      </w:r>
    </w:p>
    <w:p w14:paraId="38B7D0FF"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Advertising, 823N</w:t>
      </w:r>
    </w:p>
    <w:p w14:paraId="7ED9A053"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Centralized prescription dispensing, 352R</w:t>
      </w:r>
    </w:p>
    <w:p w14:paraId="7DE87A3F"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Community pharmacy, 122N, 685R</w:t>
      </w:r>
    </w:p>
    <w:p w14:paraId="5AA6CAE1"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Controlled dangerous substances (CDS), 124N, 686R</w:t>
      </w:r>
    </w:p>
    <w:p w14:paraId="4BC20DA7"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Institutional pharmacy, 128N, 688R</w:t>
      </w:r>
    </w:p>
    <w:p w14:paraId="6E92996E"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Off-site services, 824N</w:t>
      </w:r>
    </w:p>
    <w:p w14:paraId="09150208"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Pharmacists, 826N</w:t>
      </w:r>
    </w:p>
    <w:p w14:paraId="05FBA422"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Pharmacy interns professional experience, 831N</w:t>
      </w:r>
    </w:p>
    <w:p w14:paraId="21D45ACF"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Prescription drug delivery, 353R</w:t>
      </w:r>
    </w:p>
    <w:p w14:paraId="6AAC825A"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Prescription Monitoring Program (PMP)</w:t>
      </w:r>
    </w:p>
    <w:p w14:paraId="771197A6" w14:textId="77777777" w:rsidR="00E27BA1" w:rsidRPr="00E27BA1" w:rsidRDefault="00E27BA1" w:rsidP="00E27BA1">
      <w:pPr>
        <w:tabs>
          <w:tab w:val="left" w:pos="720"/>
          <w:tab w:val="left" w:pos="979"/>
          <w:tab w:val="left" w:pos="1152"/>
        </w:tabs>
        <w:ind w:left="450"/>
        <w:jc w:val="both"/>
        <w:outlineLvl w:val="4"/>
        <w:rPr>
          <w:kern w:val="2"/>
        </w:rPr>
      </w:pPr>
      <w:r w:rsidRPr="00E27BA1">
        <w:rPr>
          <w:bCs/>
          <w:kern w:val="2"/>
        </w:rPr>
        <w:t>Record</w:t>
      </w:r>
      <w:r w:rsidRPr="00E27BA1">
        <w:rPr>
          <w:kern w:val="2"/>
        </w:rPr>
        <w:t xml:space="preserve"> retention, 354R</w:t>
      </w:r>
    </w:p>
    <w:p w14:paraId="78F3BD27"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kern w:val="2"/>
        </w:rPr>
        <w:t>Remote access by a pharmacy technician, 130N, 689R</w:t>
      </w:r>
    </w:p>
    <w:p w14:paraId="39AC7921" w14:textId="77777777" w:rsidR="00E27BA1" w:rsidRPr="00E27BA1" w:rsidRDefault="00E27BA1" w:rsidP="00E27BA1">
      <w:pPr>
        <w:keepNext/>
        <w:tabs>
          <w:tab w:val="left" w:pos="144"/>
          <w:tab w:val="left" w:pos="187"/>
          <w:tab w:val="left" w:pos="540"/>
          <w:tab w:val="left" w:pos="907"/>
          <w:tab w:val="left" w:pos="1080"/>
        </w:tabs>
        <w:ind w:firstLine="187"/>
        <w:jc w:val="both"/>
        <w:outlineLvl w:val="3"/>
        <w:rPr>
          <w:b/>
          <w:kern w:val="2"/>
          <w:lang w:eastAsia="x-none"/>
        </w:rPr>
      </w:pPr>
      <w:r w:rsidRPr="00E27BA1">
        <w:rPr>
          <w:b/>
          <w:kern w:val="2"/>
          <w:lang w:eastAsia="x-none"/>
        </w:rPr>
        <w:t>Practical Nurse Examiners, Board of</w:t>
      </w:r>
    </w:p>
    <w:p w14:paraId="28AFB97C"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Employment of practical nursing students, 225R</w:t>
      </w:r>
    </w:p>
    <w:p w14:paraId="786BA35C"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Unsuccessful candidates on the NCLEX-PN, 225R</w:t>
      </w:r>
    </w:p>
    <w:p w14:paraId="5466EE0B" w14:textId="77777777" w:rsidR="00E27BA1" w:rsidRPr="00E27BA1" w:rsidRDefault="00E27BA1" w:rsidP="00E27BA1">
      <w:pPr>
        <w:tabs>
          <w:tab w:val="left" w:pos="144"/>
          <w:tab w:val="left" w:pos="187"/>
          <w:tab w:val="left" w:pos="540"/>
          <w:tab w:val="left" w:pos="907"/>
          <w:tab w:val="left" w:pos="1080"/>
        </w:tabs>
        <w:ind w:firstLine="187"/>
        <w:jc w:val="both"/>
        <w:outlineLvl w:val="3"/>
        <w:rPr>
          <w:b/>
          <w:kern w:val="2"/>
          <w:lang w:eastAsia="x-none"/>
        </w:rPr>
      </w:pPr>
      <w:r w:rsidRPr="00E27BA1">
        <w:rPr>
          <w:b/>
          <w:kern w:val="2"/>
          <w:lang w:eastAsia="x-none"/>
        </w:rPr>
        <w:t>Public Health, Office of</w:t>
      </w:r>
    </w:p>
    <w:p w14:paraId="0BC6EBF3"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Day care centers and residential facilities, 228R</w:t>
      </w:r>
    </w:p>
    <w:p w14:paraId="6956757C"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Health unit fees, 135N, 498R</w:t>
      </w:r>
    </w:p>
    <w:p w14:paraId="34E5F655"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Marine and freshwater animal food products, 10ER, 981R</w:t>
      </w:r>
    </w:p>
    <w:p w14:paraId="7527DE03"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Notice of public hearing</w:t>
      </w:r>
    </w:p>
    <w:p w14:paraId="157D0FB4"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 xml:space="preserve">Substantive change to Notice of Intent </w:t>
      </w:r>
    </w:p>
    <w:p w14:paraId="79D0348B" w14:textId="77777777" w:rsidR="00E27BA1" w:rsidRPr="00E27BA1" w:rsidRDefault="00E27BA1" w:rsidP="00E27BA1">
      <w:pPr>
        <w:tabs>
          <w:tab w:val="left" w:pos="720"/>
          <w:tab w:val="left" w:pos="979"/>
          <w:tab w:val="left" w:pos="1152"/>
        </w:tabs>
        <w:ind w:left="450" w:firstLine="90"/>
        <w:jc w:val="both"/>
        <w:outlineLvl w:val="4"/>
        <w:rPr>
          <w:kern w:val="2"/>
        </w:rPr>
      </w:pPr>
      <w:r w:rsidRPr="00E27BA1">
        <w:rPr>
          <w:kern w:val="2"/>
        </w:rPr>
        <w:t>Marine and Fresh Water Animal Food Products, 450P</w:t>
      </w:r>
    </w:p>
    <w:p w14:paraId="437CB5A0" w14:textId="77777777" w:rsidR="00E27BA1" w:rsidRPr="00E27BA1" w:rsidRDefault="00E27BA1" w:rsidP="00E27BA1">
      <w:pPr>
        <w:tabs>
          <w:tab w:val="left" w:pos="720"/>
          <w:tab w:val="left" w:pos="979"/>
          <w:tab w:val="left" w:pos="1152"/>
        </w:tabs>
        <w:ind w:left="450" w:firstLine="90"/>
        <w:jc w:val="both"/>
        <w:outlineLvl w:val="4"/>
        <w:rPr>
          <w:kern w:val="2"/>
        </w:rPr>
      </w:pPr>
      <w:r w:rsidRPr="00E27BA1">
        <w:rPr>
          <w:kern w:val="2"/>
        </w:rPr>
        <w:t>Retail Food Establishments, 451P</w:t>
      </w:r>
    </w:p>
    <w:p w14:paraId="2250A227"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Plans and permits review fees, 53R</w:t>
      </w:r>
    </w:p>
    <w:p w14:paraId="0A6982A5"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Plans review fees</w:t>
      </w:r>
    </w:p>
    <w:p w14:paraId="0CC5AA91"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Medical marijuana retailers, 396N, 1190R</w:t>
      </w:r>
    </w:p>
    <w:p w14:paraId="162D401D"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Registration of foods, drugs, cosmetics, and prophylactic devices, 54R, 1251N</w:t>
      </w:r>
    </w:p>
    <w:p w14:paraId="61015E4B"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Consumable hemp, 1251N</w:t>
      </w:r>
    </w:p>
    <w:p w14:paraId="0C8B4136"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UV tanning facilities and equipment, 1251N</w:t>
      </w:r>
    </w:p>
    <w:p w14:paraId="55515F8D"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Regulation of medical marijuana, 59R</w:t>
      </w:r>
    </w:p>
    <w:p w14:paraId="2DCB8123"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Regulation reorganization, 706R</w:t>
      </w:r>
    </w:p>
    <w:p w14:paraId="7325D82E"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Retail food establishments, 10ER, 982R</w:t>
      </w:r>
    </w:p>
    <w:p w14:paraId="0DE34CF5"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Sickle Cell Disease Registry, 228R</w:t>
      </w:r>
    </w:p>
    <w:p w14:paraId="640C0A60"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Sign language interpreters, 722R</w:t>
      </w:r>
    </w:p>
    <w:p w14:paraId="3CF6E7A2" w14:textId="77777777" w:rsidR="00E27BA1" w:rsidRPr="00E27BA1" w:rsidRDefault="00E27BA1" w:rsidP="00E27BA1">
      <w:pPr>
        <w:tabs>
          <w:tab w:val="left" w:pos="144"/>
          <w:tab w:val="left" w:pos="187"/>
          <w:tab w:val="left" w:pos="540"/>
          <w:tab w:val="left" w:pos="907"/>
          <w:tab w:val="left" w:pos="1080"/>
        </w:tabs>
        <w:ind w:firstLine="187"/>
        <w:jc w:val="both"/>
        <w:outlineLvl w:val="3"/>
        <w:rPr>
          <w:b/>
          <w:kern w:val="2"/>
          <w:lang w:eastAsia="x-none"/>
        </w:rPr>
      </w:pPr>
      <w:r w:rsidRPr="00E27BA1">
        <w:rPr>
          <w:b/>
          <w:kern w:val="2"/>
          <w:lang w:eastAsia="x-none"/>
        </w:rPr>
        <w:t>Radiologic Technology Board of Examiners</w:t>
      </w:r>
    </w:p>
    <w:p w14:paraId="6720F4C3"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kern w:val="2"/>
        </w:rPr>
        <w:t>Radiologic technologists, 355R</w:t>
      </w:r>
    </w:p>
    <w:p w14:paraId="765ABE8B" w14:textId="77777777" w:rsidR="00E27BA1" w:rsidRPr="00E27BA1" w:rsidRDefault="00E27BA1" w:rsidP="00E27BA1">
      <w:pPr>
        <w:tabs>
          <w:tab w:val="left" w:pos="720"/>
          <w:tab w:val="left" w:pos="979"/>
          <w:tab w:val="left" w:pos="1152"/>
        </w:tabs>
        <w:ind w:left="450" w:hanging="90"/>
        <w:jc w:val="both"/>
        <w:outlineLvl w:val="4"/>
        <w:rPr>
          <w:kern w:val="2"/>
        </w:rPr>
      </w:pPr>
    </w:p>
    <w:p w14:paraId="124CD54F" w14:textId="77777777" w:rsidR="00E27BA1" w:rsidRPr="00E27BA1" w:rsidRDefault="00E27BA1" w:rsidP="00E27BA1">
      <w:pPr>
        <w:tabs>
          <w:tab w:val="left" w:pos="720"/>
          <w:tab w:val="left" w:pos="979"/>
          <w:tab w:val="left" w:pos="1152"/>
        </w:tabs>
        <w:ind w:left="450" w:hanging="90"/>
        <w:jc w:val="both"/>
        <w:outlineLvl w:val="4"/>
        <w:rPr>
          <w:kern w:val="2"/>
        </w:rPr>
      </w:pPr>
    </w:p>
    <w:p w14:paraId="289FE016" w14:textId="77777777" w:rsidR="00E27BA1" w:rsidRPr="00E27BA1" w:rsidRDefault="00E27BA1" w:rsidP="00E27BA1">
      <w:pPr>
        <w:tabs>
          <w:tab w:val="left" w:pos="720"/>
          <w:tab w:val="left" w:pos="979"/>
          <w:tab w:val="left" w:pos="1152"/>
        </w:tabs>
        <w:ind w:left="450" w:hanging="90"/>
        <w:jc w:val="both"/>
        <w:outlineLvl w:val="4"/>
        <w:rPr>
          <w:kern w:val="2"/>
        </w:rPr>
      </w:pPr>
    </w:p>
    <w:p w14:paraId="1864822A" w14:textId="77777777" w:rsidR="00E27BA1" w:rsidRPr="00E27BA1" w:rsidRDefault="00E27BA1" w:rsidP="00E27BA1">
      <w:pPr>
        <w:keepNext/>
        <w:jc w:val="center"/>
        <w:rPr>
          <w:b/>
          <w:kern w:val="28"/>
        </w:rPr>
      </w:pPr>
      <w:r w:rsidRPr="00E27BA1">
        <w:rPr>
          <w:b/>
          <w:kern w:val="28"/>
        </w:rPr>
        <w:br w:type="column"/>
      </w:r>
      <w:r w:rsidRPr="00E27BA1">
        <w:rPr>
          <w:b/>
          <w:kern w:val="28"/>
        </w:rPr>
        <w:t>INSURANCE</w:t>
      </w:r>
    </w:p>
    <w:p w14:paraId="62E23463" w14:textId="77777777" w:rsidR="00E27BA1" w:rsidRPr="00E27BA1" w:rsidRDefault="00E27BA1" w:rsidP="00E27BA1">
      <w:pPr>
        <w:keepNext/>
        <w:tabs>
          <w:tab w:val="left" w:pos="144"/>
          <w:tab w:val="left" w:pos="187"/>
          <w:tab w:val="left" w:pos="540"/>
          <w:tab w:val="left" w:pos="907"/>
          <w:tab w:val="left" w:pos="1080"/>
        </w:tabs>
        <w:ind w:firstLine="187"/>
        <w:jc w:val="both"/>
        <w:outlineLvl w:val="3"/>
        <w:rPr>
          <w:b/>
          <w:kern w:val="2"/>
          <w:lang w:eastAsia="x-none"/>
        </w:rPr>
      </w:pPr>
      <w:r w:rsidRPr="00E27BA1">
        <w:rPr>
          <w:b/>
          <w:kern w:val="2"/>
          <w:lang w:eastAsia="x-none"/>
        </w:rPr>
        <w:t>Commissioner, Office of</w:t>
      </w:r>
    </w:p>
    <w:p w14:paraId="1B009D79"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Emergency Rule 50—</w:t>
      </w:r>
      <w:r w:rsidRPr="00E27BA1">
        <w:t>Suspension of Certain Statutes Regarding Cancellations,</w:t>
      </w:r>
      <w:r w:rsidRPr="00E27BA1">
        <w:rPr>
          <w:kern w:val="2"/>
        </w:rPr>
        <w:t xml:space="preserve"> </w:t>
      </w:r>
      <w:r w:rsidRPr="00E27BA1">
        <w:t>Terminations, Non-Renewals and Nonreinstatements, Premium Payments, Claim Filings and Related</w:t>
      </w:r>
      <w:r w:rsidRPr="00E27BA1">
        <w:rPr>
          <w:kern w:val="2"/>
        </w:rPr>
        <w:t xml:space="preserve"> </w:t>
      </w:r>
      <w:r w:rsidRPr="00E27BA1">
        <w:t>Provisions Regarding Any and All Insurance Matters Affecting Insureds in Louisiana Caused by</w:t>
      </w:r>
      <w:r w:rsidRPr="00E27BA1">
        <w:rPr>
          <w:kern w:val="2"/>
        </w:rPr>
        <w:t xml:space="preserve"> Tropical Storm Arthur, 1104ER</w:t>
      </w:r>
    </w:p>
    <w:p w14:paraId="01A5E6D4"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Emergency Rule 51—Correction of Annual Health Insurance Portability and Accountability ACT Assessment Rate, 1322ER</w:t>
      </w:r>
    </w:p>
    <w:p w14:paraId="54950B83"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Notice of public hearing</w:t>
      </w:r>
    </w:p>
    <w:p w14:paraId="74E778C7" w14:textId="77777777" w:rsidR="00E27BA1" w:rsidRPr="00E27BA1" w:rsidRDefault="00E27BA1" w:rsidP="00E27BA1">
      <w:pPr>
        <w:tabs>
          <w:tab w:val="left" w:pos="720"/>
          <w:tab w:val="left" w:pos="979"/>
          <w:tab w:val="left" w:pos="1152"/>
        </w:tabs>
        <w:ind w:left="450"/>
        <w:jc w:val="both"/>
        <w:outlineLvl w:val="4"/>
        <w:rPr>
          <w:kern w:val="2"/>
        </w:rPr>
      </w:pPr>
      <w:r w:rsidRPr="00E27BA1">
        <w:t>Acquisition</w:t>
      </w:r>
      <w:r w:rsidRPr="00E27BA1">
        <w:rPr>
          <w:kern w:val="2"/>
        </w:rPr>
        <w:t xml:space="preserve"> of Louisiana Farm Bureau Mutual Insurance Company by Southern Farm Bureau Casualty Insurance Company, 324P</w:t>
      </w:r>
    </w:p>
    <w:p w14:paraId="6F116DF0"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Substantive changes to proposed Rule</w:t>
      </w:r>
    </w:p>
    <w:p w14:paraId="0AB395F0" w14:textId="77777777" w:rsidR="00E27BA1" w:rsidRPr="00E27BA1" w:rsidRDefault="00E27BA1" w:rsidP="00E27BA1">
      <w:pPr>
        <w:tabs>
          <w:tab w:val="left" w:pos="720"/>
          <w:tab w:val="left" w:pos="979"/>
          <w:tab w:val="left" w:pos="1152"/>
        </w:tabs>
        <w:ind w:left="630" w:hanging="90"/>
        <w:jc w:val="both"/>
        <w:outlineLvl w:val="4"/>
        <w:rPr>
          <w:kern w:val="2"/>
        </w:rPr>
      </w:pPr>
      <w:r w:rsidRPr="00E27BA1">
        <w:rPr>
          <w:kern w:val="2"/>
        </w:rPr>
        <w:t>Regulation 136—Fortify Homes Premium Discounts, 635P</w:t>
      </w:r>
    </w:p>
    <w:p w14:paraId="268BD482" w14:textId="77777777" w:rsidR="00E27BA1" w:rsidRPr="00E27BA1" w:rsidRDefault="00E27BA1" w:rsidP="00E27BA1">
      <w:pPr>
        <w:tabs>
          <w:tab w:val="left" w:pos="720"/>
          <w:tab w:val="left" w:pos="979"/>
          <w:tab w:val="left" w:pos="1152"/>
        </w:tabs>
        <w:ind w:left="630" w:hanging="90"/>
        <w:jc w:val="both"/>
        <w:outlineLvl w:val="4"/>
        <w:rPr>
          <w:kern w:val="2"/>
        </w:rPr>
      </w:pPr>
      <w:r w:rsidRPr="00E27BA1">
        <w:rPr>
          <w:kern w:val="2"/>
        </w:rPr>
        <w:t xml:space="preserve">Regulation 139—Captive Insurance Companies </w:t>
      </w:r>
      <w:r w:rsidRPr="00E27BA1">
        <w:rPr>
          <w:kern w:val="2"/>
        </w:rPr>
        <w:br/>
        <w:t>(LAC 37:XIII.Chapter 215), 1083P, 1455P</w:t>
      </w:r>
    </w:p>
    <w:p w14:paraId="5D643B2B"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Regulation 138—Premium Discount for Dashboard Cameras with Telematic Systems: Commercial Motor Vehicles, 1351R</w:t>
      </w:r>
    </w:p>
    <w:p w14:paraId="693EC672"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Regulation 139—</w:t>
      </w:r>
      <w:bookmarkStart w:id="778" w:name="_Hlk204150342"/>
      <w:r w:rsidRPr="00E27BA1">
        <w:rPr>
          <w:kern w:val="2"/>
        </w:rPr>
        <w:t>Captive Insurance Companies</w:t>
      </w:r>
      <w:bookmarkEnd w:id="778"/>
      <w:r w:rsidRPr="00E27BA1">
        <w:rPr>
          <w:kern w:val="2"/>
        </w:rPr>
        <w:t>, 836N</w:t>
      </w:r>
    </w:p>
    <w:p w14:paraId="284FFDD9" w14:textId="77777777" w:rsidR="00E27BA1" w:rsidRPr="00E27BA1" w:rsidRDefault="00E27BA1" w:rsidP="00E27BA1">
      <w:pPr>
        <w:tabs>
          <w:tab w:val="left" w:pos="720"/>
          <w:tab w:val="left" w:pos="979"/>
          <w:tab w:val="left" w:pos="1152"/>
        </w:tabs>
        <w:ind w:left="450" w:hanging="90"/>
        <w:jc w:val="both"/>
        <w:outlineLvl w:val="4"/>
        <w:rPr>
          <w:rFonts w:eastAsia="Calibri"/>
          <w:kern w:val="2"/>
        </w:rPr>
      </w:pPr>
      <w:r w:rsidRPr="00E27BA1">
        <w:rPr>
          <w:kern w:val="2"/>
        </w:rPr>
        <w:t>Rule</w:t>
      </w:r>
      <w:r w:rsidRPr="00E27BA1">
        <w:rPr>
          <w:rFonts w:eastAsia="Calibri"/>
          <w:kern w:val="2"/>
        </w:rPr>
        <w:t xml:space="preserve"> 13—Special Assessment; Creation of Dedicated Fund Account, 841N, 1352R</w:t>
      </w:r>
    </w:p>
    <w:p w14:paraId="1FCA4008" w14:textId="77777777" w:rsidR="00E27BA1" w:rsidRPr="00E27BA1" w:rsidRDefault="00E27BA1" w:rsidP="00E27BA1">
      <w:pPr>
        <w:keepNext/>
        <w:tabs>
          <w:tab w:val="left" w:pos="144"/>
          <w:tab w:val="left" w:pos="187"/>
          <w:tab w:val="left" w:pos="540"/>
          <w:tab w:val="left" w:pos="907"/>
          <w:tab w:val="left" w:pos="1080"/>
        </w:tabs>
        <w:ind w:firstLine="187"/>
        <w:jc w:val="both"/>
        <w:outlineLvl w:val="3"/>
        <w:rPr>
          <w:b/>
          <w:kern w:val="2"/>
          <w:lang w:eastAsia="x-none"/>
        </w:rPr>
      </w:pPr>
      <w:r w:rsidRPr="00E27BA1">
        <w:rPr>
          <w:b/>
          <w:kern w:val="2"/>
          <w:lang w:eastAsia="x-none"/>
        </w:rPr>
        <w:t>Health, Life, and Annuity, Office of</w:t>
      </w:r>
    </w:p>
    <w:p w14:paraId="2D073059"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bCs/>
          <w:kern w:val="2"/>
        </w:rPr>
        <w:t>Annual HIPAA assessment rate, 1084P</w:t>
      </w:r>
    </w:p>
    <w:p w14:paraId="07D69E14" w14:textId="77777777" w:rsidR="00E27BA1" w:rsidRPr="00E27BA1" w:rsidRDefault="00E27BA1" w:rsidP="00E27BA1">
      <w:pPr>
        <w:tabs>
          <w:tab w:val="left" w:pos="720"/>
          <w:tab w:val="left" w:pos="979"/>
          <w:tab w:val="left" w:pos="1152"/>
        </w:tabs>
        <w:ind w:left="450" w:hanging="90"/>
        <w:jc w:val="both"/>
        <w:outlineLvl w:val="4"/>
        <w:rPr>
          <w:kern w:val="2"/>
        </w:rPr>
      </w:pPr>
    </w:p>
    <w:p w14:paraId="4F7B0D47" w14:textId="77777777" w:rsidR="00E27BA1" w:rsidRPr="00E27BA1" w:rsidRDefault="00E27BA1" w:rsidP="00E27BA1">
      <w:pPr>
        <w:tabs>
          <w:tab w:val="left" w:pos="720"/>
          <w:tab w:val="left" w:pos="979"/>
          <w:tab w:val="left" w:pos="1152"/>
        </w:tabs>
        <w:ind w:left="450" w:hanging="90"/>
        <w:jc w:val="both"/>
        <w:outlineLvl w:val="4"/>
        <w:rPr>
          <w:kern w:val="2"/>
        </w:rPr>
      </w:pPr>
    </w:p>
    <w:p w14:paraId="3EB9367C" w14:textId="77777777" w:rsidR="00E27BA1" w:rsidRPr="00E27BA1" w:rsidRDefault="00E27BA1" w:rsidP="00E27BA1">
      <w:pPr>
        <w:tabs>
          <w:tab w:val="left" w:pos="720"/>
          <w:tab w:val="left" w:pos="979"/>
          <w:tab w:val="left" w:pos="1152"/>
        </w:tabs>
        <w:ind w:left="450" w:hanging="90"/>
        <w:jc w:val="both"/>
        <w:outlineLvl w:val="4"/>
        <w:rPr>
          <w:kern w:val="2"/>
        </w:rPr>
      </w:pPr>
    </w:p>
    <w:p w14:paraId="626BF6C8" w14:textId="77777777" w:rsidR="00E27BA1" w:rsidRPr="00E27BA1" w:rsidRDefault="00E27BA1" w:rsidP="00E27BA1">
      <w:pPr>
        <w:keepNext/>
        <w:jc w:val="center"/>
        <w:rPr>
          <w:b/>
          <w:kern w:val="28"/>
        </w:rPr>
      </w:pPr>
      <w:r w:rsidRPr="00E27BA1">
        <w:rPr>
          <w:b/>
          <w:kern w:val="28"/>
        </w:rPr>
        <w:t>JUSTICE</w:t>
      </w:r>
    </w:p>
    <w:p w14:paraId="62E73849"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Occupational Licensing Review Program</w:t>
      </w:r>
    </w:p>
    <w:p w14:paraId="5B673C5B" w14:textId="77777777" w:rsidR="00E27BA1" w:rsidRPr="00E27BA1" w:rsidRDefault="00E27BA1" w:rsidP="00E27BA1">
      <w:pPr>
        <w:tabs>
          <w:tab w:val="left" w:pos="720"/>
          <w:tab w:val="left" w:pos="979"/>
          <w:tab w:val="left" w:pos="1152"/>
        </w:tabs>
        <w:ind w:left="540" w:hanging="90"/>
        <w:jc w:val="both"/>
        <w:outlineLvl w:val="4"/>
        <w:rPr>
          <w:kern w:val="2"/>
        </w:rPr>
      </w:pPr>
      <w:r w:rsidRPr="00E27BA1">
        <w:rPr>
          <w:kern w:val="2"/>
        </w:rPr>
        <w:t>Accepting participants for FY 2026 - 2027</w:t>
      </w:r>
    </w:p>
    <w:p w14:paraId="22836838" w14:textId="77777777" w:rsidR="00E27BA1" w:rsidRPr="00E27BA1" w:rsidRDefault="00E27BA1" w:rsidP="00E27BA1">
      <w:pPr>
        <w:tabs>
          <w:tab w:val="left" w:pos="720"/>
          <w:tab w:val="left" w:pos="979"/>
          <w:tab w:val="left" w:pos="1152"/>
        </w:tabs>
        <w:ind w:left="540"/>
        <w:jc w:val="both"/>
        <w:outlineLvl w:val="4"/>
        <w:rPr>
          <w:kern w:val="2"/>
        </w:rPr>
      </w:pPr>
      <w:r w:rsidRPr="00E27BA1">
        <w:rPr>
          <w:kern w:val="2"/>
        </w:rPr>
        <w:t>Period of July 1, 2026 - June 30, 2027, 451P, 635P, 876P</w:t>
      </w:r>
    </w:p>
    <w:p w14:paraId="2641FB2C" w14:textId="77777777" w:rsidR="00E27BA1" w:rsidRPr="00E27BA1" w:rsidRDefault="00E27BA1" w:rsidP="00E27BA1">
      <w:pPr>
        <w:tabs>
          <w:tab w:val="left" w:pos="720"/>
          <w:tab w:val="left" w:pos="979"/>
          <w:tab w:val="left" w:pos="1152"/>
        </w:tabs>
        <w:ind w:left="450" w:hanging="90"/>
        <w:jc w:val="both"/>
        <w:outlineLvl w:val="4"/>
        <w:rPr>
          <w:kern w:val="2"/>
        </w:rPr>
      </w:pPr>
    </w:p>
    <w:p w14:paraId="4C4D7DC2" w14:textId="77777777" w:rsidR="00E27BA1" w:rsidRPr="00E27BA1" w:rsidRDefault="00E27BA1" w:rsidP="00E27BA1">
      <w:pPr>
        <w:tabs>
          <w:tab w:val="left" w:pos="720"/>
          <w:tab w:val="left" w:pos="979"/>
          <w:tab w:val="left" w:pos="1152"/>
        </w:tabs>
        <w:ind w:left="450" w:hanging="90"/>
        <w:jc w:val="both"/>
        <w:outlineLvl w:val="4"/>
        <w:rPr>
          <w:kern w:val="2"/>
        </w:rPr>
      </w:pPr>
    </w:p>
    <w:p w14:paraId="53DE4CD9" w14:textId="77777777" w:rsidR="00E27BA1" w:rsidRPr="00E27BA1" w:rsidRDefault="00E27BA1" w:rsidP="00E27BA1">
      <w:pPr>
        <w:tabs>
          <w:tab w:val="left" w:pos="720"/>
          <w:tab w:val="left" w:pos="979"/>
          <w:tab w:val="left" w:pos="1152"/>
        </w:tabs>
        <w:ind w:left="450" w:hanging="90"/>
        <w:jc w:val="both"/>
        <w:outlineLvl w:val="4"/>
        <w:rPr>
          <w:kern w:val="2"/>
        </w:rPr>
      </w:pPr>
    </w:p>
    <w:p w14:paraId="123704B7" w14:textId="77777777" w:rsidR="00E27BA1" w:rsidRPr="00E27BA1" w:rsidRDefault="00E27BA1" w:rsidP="00E27BA1">
      <w:pPr>
        <w:keepNext/>
        <w:jc w:val="center"/>
        <w:rPr>
          <w:b/>
          <w:kern w:val="28"/>
        </w:rPr>
      </w:pPr>
      <w:r w:rsidRPr="00E27BA1">
        <w:rPr>
          <w:b/>
          <w:kern w:val="28"/>
        </w:rPr>
        <w:t>LOUISIANA ECONOMIC DEVELOPMENT</w:t>
      </w:r>
    </w:p>
    <w:p w14:paraId="63BC98D3" w14:textId="77777777" w:rsidR="00E27BA1" w:rsidRPr="00E27BA1" w:rsidRDefault="00E27BA1" w:rsidP="00E27BA1">
      <w:pPr>
        <w:keepNext/>
        <w:tabs>
          <w:tab w:val="left" w:pos="144"/>
          <w:tab w:val="left" w:pos="187"/>
          <w:tab w:val="left" w:pos="540"/>
          <w:tab w:val="left" w:pos="907"/>
          <w:tab w:val="left" w:pos="1080"/>
        </w:tabs>
        <w:ind w:firstLine="187"/>
        <w:jc w:val="both"/>
        <w:outlineLvl w:val="3"/>
        <w:rPr>
          <w:b/>
          <w:kern w:val="2"/>
          <w:lang w:eastAsia="x-none"/>
        </w:rPr>
      </w:pPr>
      <w:r w:rsidRPr="00E27BA1">
        <w:rPr>
          <w:b/>
          <w:kern w:val="2"/>
          <w:lang w:eastAsia="x-none"/>
        </w:rPr>
        <w:t>Economic Development, Office of</w:t>
      </w:r>
    </w:p>
    <w:p w14:paraId="553FC745"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Collateral Support Program, 284N, 729R</w:t>
      </w:r>
    </w:p>
    <w:p w14:paraId="0ACC7C22"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Local Economic Development Support Fund, 1259N</w:t>
      </w:r>
    </w:p>
    <w:p w14:paraId="61C2E490"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Louisiana Biomedical Research and Development Park Program, 232R</w:t>
      </w:r>
    </w:p>
    <w:p w14:paraId="0CC75BB5"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Louisiana Industrial Training Program, 1260N</w:t>
      </w:r>
    </w:p>
    <w:p w14:paraId="5715D7BD"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Louisiana Project Equity Fund, 1256N</w:t>
      </w:r>
    </w:p>
    <w:p w14:paraId="7C025535"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Louisiana Seed Capital Program, 289N, 733R</w:t>
      </w:r>
    </w:p>
    <w:p w14:paraId="008BD382"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Louisiana University Research and Development Parks Program, 233R</w:t>
      </w:r>
    </w:p>
    <w:p w14:paraId="0F3DE272"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Micro Loan Program, 291N, 735R</w:t>
      </w:r>
    </w:p>
    <w:p w14:paraId="5424D614"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Motion Picture Production Tax Credit Program, 11ER, 300N</w:t>
      </w:r>
    </w:p>
    <w:p w14:paraId="2435981E"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Regional Initiatives Program, 1257N</w:t>
      </w:r>
    </w:p>
    <w:p w14:paraId="371986C6"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Restoration Tax Abatement Program, 398N, 982R</w:t>
      </w:r>
    </w:p>
    <w:p w14:paraId="69542588"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Site Investment and Infrastructure Improvement Fund, 234R</w:t>
      </w:r>
    </w:p>
    <w:p w14:paraId="5C30B6CF"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Small Business Loan Guaranty Program, 296N, 739R</w:t>
      </w:r>
    </w:p>
    <w:p w14:paraId="53E20C53" w14:textId="77777777" w:rsidR="00E27BA1" w:rsidRPr="00E27BA1" w:rsidRDefault="00E27BA1" w:rsidP="00E27BA1">
      <w:pPr>
        <w:keepNext/>
        <w:tabs>
          <w:tab w:val="left" w:pos="187"/>
          <w:tab w:val="left" w:pos="360"/>
          <w:tab w:val="left" w:pos="540"/>
          <w:tab w:val="left" w:pos="907"/>
          <w:tab w:val="left" w:pos="1080"/>
        </w:tabs>
        <w:ind w:left="360" w:hanging="90"/>
        <w:jc w:val="both"/>
        <w:outlineLvl w:val="3"/>
        <w:rPr>
          <w:b/>
          <w:bCs/>
          <w:color w:val="000000"/>
          <w:kern w:val="2"/>
          <w:lang w:val="x-none" w:eastAsia="x-none"/>
        </w:rPr>
      </w:pPr>
      <w:r w:rsidRPr="00E27BA1">
        <w:rPr>
          <w:b/>
          <w:bCs/>
          <w:color w:val="000000"/>
          <w:kern w:val="2"/>
          <w:lang w:val="x-none" w:eastAsia="x-none"/>
        </w:rPr>
        <w:br w:type="page"/>
      </w:r>
    </w:p>
    <w:p w14:paraId="21FF9FED" w14:textId="77777777" w:rsidR="00E27BA1" w:rsidRPr="00E27BA1" w:rsidRDefault="00E27BA1" w:rsidP="00E27BA1">
      <w:pPr>
        <w:keepNext/>
        <w:jc w:val="center"/>
        <w:rPr>
          <w:bCs/>
          <w:color w:val="000000"/>
          <w:kern w:val="28"/>
        </w:rPr>
      </w:pPr>
      <w:r w:rsidRPr="00E27BA1">
        <w:rPr>
          <w:b/>
          <w:kern w:val="28"/>
        </w:rPr>
        <w:lastRenderedPageBreak/>
        <w:t>LOUISIANA ECONOMIC DEVELOPMENT (continued)</w:t>
      </w:r>
    </w:p>
    <w:p w14:paraId="66A6FD6B" w14:textId="77777777" w:rsidR="00E27BA1" w:rsidRPr="00E27BA1" w:rsidRDefault="00E27BA1" w:rsidP="00E27BA1">
      <w:pPr>
        <w:keepNext/>
        <w:tabs>
          <w:tab w:val="left" w:pos="187"/>
          <w:tab w:val="left" w:pos="360"/>
          <w:tab w:val="left" w:pos="540"/>
          <w:tab w:val="left" w:pos="907"/>
          <w:tab w:val="left" w:pos="1080"/>
        </w:tabs>
        <w:ind w:left="360" w:hanging="90"/>
        <w:jc w:val="both"/>
        <w:outlineLvl w:val="3"/>
        <w:rPr>
          <w:b/>
          <w:kern w:val="2"/>
          <w:lang w:eastAsia="x-none"/>
        </w:rPr>
      </w:pPr>
      <w:r w:rsidRPr="00E27BA1">
        <w:rPr>
          <w:b/>
          <w:bCs/>
          <w:color w:val="000000"/>
          <w:kern w:val="2"/>
          <w:lang w:val="x-none" w:eastAsia="x-none"/>
        </w:rPr>
        <w:t>Louisiana</w:t>
      </w:r>
      <w:r w:rsidRPr="00E27BA1">
        <w:rPr>
          <w:b/>
          <w:kern w:val="2"/>
          <w:lang w:eastAsia="x-none"/>
        </w:rPr>
        <w:t xml:space="preserve"> Economic Development Corporation</w:t>
      </w:r>
    </w:p>
    <w:p w14:paraId="2F54E629"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Collateral Support Program, 284N, 729R</w:t>
      </w:r>
    </w:p>
    <w:p w14:paraId="670E8923"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Louisiana Project Equity Fund, 1256N</w:t>
      </w:r>
    </w:p>
    <w:p w14:paraId="33AFE02D"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Louisiana Seed Capital Program, 289N, 733R</w:t>
      </w:r>
    </w:p>
    <w:p w14:paraId="7D37FDBA"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Micro Loan Program, 291N, 735R</w:t>
      </w:r>
    </w:p>
    <w:p w14:paraId="680DD189"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Regional Initiatives Program, 1257N</w:t>
      </w:r>
    </w:p>
    <w:p w14:paraId="752C7678"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Small Business Loan Guaranty Program, 296N, 739R</w:t>
      </w:r>
    </w:p>
    <w:p w14:paraId="45C9C38B" w14:textId="77777777" w:rsidR="00E27BA1" w:rsidRPr="00E27BA1" w:rsidRDefault="00E27BA1" w:rsidP="00E27BA1">
      <w:pPr>
        <w:tabs>
          <w:tab w:val="left" w:pos="720"/>
          <w:tab w:val="left" w:pos="979"/>
          <w:tab w:val="left" w:pos="1152"/>
        </w:tabs>
        <w:ind w:left="450" w:hanging="90"/>
        <w:jc w:val="both"/>
        <w:outlineLvl w:val="4"/>
        <w:rPr>
          <w:kern w:val="2"/>
        </w:rPr>
      </w:pPr>
    </w:p>
    <w:p w14:paraId="685F7F57" w14:textId="77777777" w:rsidR="00E27BA1" w:rsidRPr="00E27BA1" w:rsidRDefault="00E27BA1" w:rsidP="00E27BA1">
      <w:pPr>
        <w:tabs>
          <w:tab w:val="left" w:pos="720"/>
          <w:tab w:val="left" w:pos="979"/>
          <w:tab w:val="left" w:pos="1152"/>
        </w:tabs>
        <w:ind w:left="450" w:hanging="90"/>
        <w:jc w:val="both"/>
        <w:outlineLvl w:val="4"/>
        <w:rPr>
          <w:kern w:val="2"/>
        </w:rPr>
      </w:pPr>
    </w:p>
    <w:p w14:paraId="32A51043" w14:textId="77777777" w:rsidR="00E27BA1" w:rsidRPr="00E27BA1" w:rsidRDefault="00E27BA1" w:rsidP="00E27BA1">
      <w:pPr>
        <w:tabs>
          <w:tab w:val="left" w:pos="720"/>
          <w:tab w:val="left" w:pos="979"/>
          <w:tab w:val="left" w:pos="1152"/>
        </w:tabs>
        <w:ind w:left="450" w:hanging="90"/>
        <w:jc w:val="both"/>
        <w:outlineLvl w:val="4"/>
        <w:rPr>
          <w:kern w:val="2"/>
        </w:rPr>
      </w:pPr>
    </w:p>
    <w:p w14:paraId="016DA426" w14:textId="77777777" w:rsidR="00E27BA1" w:rsidRPr="00E27BA1" w:rsidRDefault="00E27BA1" w:rsidP="00E27BA1">
      <w:pPr>
        <w:jc w:val="center"/>
        <w:rPr>
          <w:kern w:val="28"/>
        </w:rPr>
      </w:pPr>
      <w:r w:rsidRPr="00E27BA1">
        <w:rPr>
          <w:b/>
          <w:kern w:val="28"/>
        </w:rPr>
        <w:t>LOUISIANA WORKS</w:t>
      </w:r>
    </w:p>
    <w:p w14:paraId="663EF60E" w14:textId="77777777" w:rsidR="00E27BA1" w:rsidRPr="00E27BA1" w:rsidRDefault="00E27BA1" w:rsidP="00E27BA1">
      <w:pPr>
        <w:keepNext/>
        <w:tabs>
          <w:tab w:val="left" w:pos="187"/>
          <w:tab w:val="left" w:pos="360"/>
          <w:tab w:val="left" w:pos="540"/>
          <w:tab w:val="left" w:pos="907"/>
          <w:tab w:val="left" w:pos="1080"/>
        </w:tabs>
        <w:ind w:left="360" w:hanging="90"/>
        <w:jc w:val="both"/>
        <w:outlineLvl w:val="3"/>
        <w:rPr>
          <w:b/>
          <w:bCs/>
          <w:color w:val="000000"/>
          <w:kern w:val="2"/>
          <w:lang w:val="x-none" w:eastAsia="x-none"/>
        </w:rPr>
      </w:pPr>
      <w:r w:rsidRPr="00E27BA1">
        <w:rPr>
          <w:b/>
          <w:bCs/>
          <w:color w:val="000000"/>
          <w:kern w:val="2"/>
          <w:lang w:val="x-none" w:eastAsia="x-none"/>
        </w:rPr>
        <w:t>Rehabilitation Services</w:t>
      </w:r>
    </w:p>
    <w:p w14:paraId="18727665"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Rehabilitation Services, 402N</w:t>
      </w:r>
    </w:p>
    <w:p w14:paraId="7A34B091" w14:textId="77777777" w:rsidR="00E27BA1" w:rsidRPr="00E27BA1" w:rsidRDefault="00E27BA1" w:rsidP="00E27BA1">
      <w:pPr>
        <w:keepNext/>
        <w:tabs>
          <w:tab w:val="left" w:pos="187"/>
          <w:tab w:val="left" w:pos="360"/>
          <w:tab w:val="left" w:pos="540"/>
          <w:tab w:val="left" w:pos="907"/>
          <w:tab w:val="left" w:pos="1080"/>
        </w:tabs>
        <w:ind w:left="360" w:hanging="90"/>
        <w:jc w:val="both"/>
        <w:outlineLvl w:val="3"/>
        <w:rPr>
          <w:b/>
          <w:bCs/>
          <w:color w:val="000000"/>
          <w:kern w:val="2"/>
          <w:lang w:val="x-none" w:eastAsia="x-none"/>
        </w:rPr>
      </w:pPr>
      <w:r w:rsidRPr="00E27BA1">
        <w:rPr>
          <w:b/>
          <w:kern w:val="2"/>
          <w:lang w:eastAsia="x-none"/>
        </w:rPr>
        <w:t>Workers’</w:t>
      </w:r>
      <w:r w:rsidRPr="00E27BA1">
        <w:rPr>
          <w:b/>
          <w:bCs/>
          <w:color w:val="000000"/>
          <w:kern w:val="2"/>
          <w:lang w:val="x-none" w:eastAsia="x-none"/>
        </w:rPr>
        <w:t xml:space="preserve"> Compensation Administration, Office of</w:t>
      </w:r>
    </w:p>
    <w:p w14:paraId="5266AD80" w14:textId="77777777" w:rsidR="00E27BA1" w:rsidRPr="00E27BA1" w:rsidRDefault="00E27BA1" w:rsidP="00E27BA1">
      <w:pPr>
        <w:tabs>
          <w:tab w:val="left" w:pos="720"/>
          <w:tab w:val="left" w:pos="979"/>
          <w:tab w:val="left" w:pos="1152"/>
        </w:tabs>
        <w:ind w:left="450" w:hanging="90"/>
        <w:jc w:val="both"/>
        <w:outlineLvl w:val="4"/>
        <w:rPr>
          <w:color w:val="000000"/>
          <w:kern w:val="2"/>
        </w:rPr>
      </w:pPr>
      <w:r w:rsidRPr="00E27BA1">
        <w:rPr>
          <w:rFonts w:ascii="TimesNewRomanPSMT" w:hAnsi="TimesNewRomanPSMT" w:cs="TimesNewRomanPSMT"/>
          <w:kern w:val="2"/>
        </w:rPr>
        <w:t>Drug testing programs in job-related accident cases, 1353R</w:t>
      </w:r>
    </w:p>
    <w:p w14:paraId="481AE709" w14:textId="77777777" w:rsidR="00E27BA1" w:rsidRPr="00E27BA1" w:rsidRDefault="00E27BA1" w:rsidP="00E27BA1">
      <w:pPr>
        <w:tabs>
          <w:tab w:val="left" w:pos="720"/>
          <w:tab w:val="left" w:pos="979"/>
          <w:tab w:val="left" w:pos="1152"/>
        </w:tabs>
        <w:ind w:left="450" w:hanging="90"/>
        <w:jc w:val="both"/>
        <w:outlineLvl w:val="4"/>
        <w:rPr>
          <w:color w:val="000000"/>
          <w:kern w:val="2"/>
        </w:rPr>
      </w:pPr>
      <w:r w:rsidRPr="00E27BA1">
        <w:rPr>
          <w:color w:val="000000"/>
          <w:kern w:val="2"/>
        </w:rPr>
        <w:t>Finance and audit, 742R</w:t>
      </w:r>
    </w:p>
    <w:p w14:paraId="4B1E0E73" w14:textId="77777777" w:rsidR="00E27BA1" w:rsidRPr="00E27BA1" w:rsidRDefault="00E27BA1" w:rsidP="00E27BA1">
      <w:pPr>
        <w:tabs>
          <w:tab w:val="left" w:pos="720"/>
          <w:tab w:val="left" w:pos="979"/>
          <w:tab w:val="left" w:pos="1152"/>
        </w:tabs>
        <w:ind w:left="450" w:hanging="90"/>
        <w:jc w:val="both"/>
        <w:outlineLvl w:val="4"/>
        <w:rPr>
          <w:color w:val="000000"/>
          <w:kern w:val="2"/>
        </w:rPr>
      </w:pPr>
      <w:r w:rsidRPr="00E27BA1">
        <w:rPr>
          <w:color w:val="000000"/>
          <w:kern w:val="2"/>
        </w:rPr>
        <w:t>General administration, 499R, 501R</w:t>
      </w:r>
    </w:p>
    <w:p w14:paraId="5B1D24DF" w14:textId="77777777" w:rsidR="00E27BA1" w:rsidRPr="00E27BA1" w:rsidRDefault="00E27BA1" w:rsidP="00E27BA1">
      <w:pPr>
        <w:tabs>
          <w:tab w:val="left" w:pos="720"/>
          <w:tab w:val="left" w:pos="979"/>
          <w:tab w:val="left" w:pos="1152"/>
        </w:tabs>
        <w:ind w:left="450" w:hanging="90"/>
        <w:jc w:val="both"/>
        <w:outlineLvl w:val="4"/>
        <w:rPr>
          <w:color w:val="000000"/>
          <w:kern w:val="2"/>
        </w:rPr>
      </w:pPr>
      <w:r w:rsidRPr="00E27BA1">
        <w:rPr>
          <w:color w:val="000000"/>
          <w:kern w:val="2"/>
        </w:rPr>
        <w:t>Hearing rules, 506R</w:t>
      </w:r>
    </w:p>
    <w:p w14:paraId="081C69B7" w14:textId="77777777" w:rsidR="00E27BA1" w:rsidRPr="00E27BA1" w:rsidRDefault="00E27BA1" w:rsidP="00E27BA1">
      <w:pPr>
        <w:tabs>
          <w:tab w:val="left" w:pos="720"/>
          <w:tab w:val="left" w:pos="979"/>
          <w:tab w:val="left" w:pos="1152"/>
        </w:tabs>
        <w:ind w:left="450" w:hanging="90"/>
        <w:jc w:val="both"/>
        <w:outlineLvl w:val="4"/>
        <w:rPr>
          <w:color w:val="000000"/>
          <w:kern w:val="2"/>
        </w:rPr>
      </w:pPr>
      <w:r w:rsidRPr="00E27BA1">
        <w:rPr>
          <w:color w:val="000000"/>
          <w:kern w:val="2"/>
        </w:rPr>
        <w:t>Independent Medical Examination Form, 618N, 1355R</w:t>
      </w:r>
    </w:p>
    <w:p w14:paraId="451037C5" w14:textId="77777777" w:rsidR="00E27BA1" w:rsidRPr="00E27BA1" w:rsidRDefault="00E27BA1" w:rsidP="00E27BA1">
      <w:pPr>
        <w:tabs>
          <w:tab w:val="left" w:pos="720"/>
          <w:tab w:val="left" w:pos="979"/>
          <w:tab w:val="left" w:pos="1152"/>
        </w:tabs>
        <w:ind w:left="450" w:hanging="90"/>
        <w:jc w:val="both"/>
        <w:outlineLvl w:val="4"/>
        <w:rPr>
          <w:color w:val="000000"/>
          <w:kern w:val="2"/>
        </w:rPr>
      </w:pPr>
      <w:r w:rsidRPr="00E27BA1">
        <w:rPr>
          <w:color w:val="000000"/>
          <w:kern w:val="2"/>
        </w:rPr>
        <w:t>Medical treatment guidelines, 508R, 620N, 1357R</w:t>
      </w:r>
    </w:p>
    <w:p w14:paraId="1A385371"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Mileage reimbursement limits, 192P</w:t>
      </w:r>
    </w:p>
    <w:p w14:paraId="7DE5C57A" w14:textId="77777777" w:rsidR="00E27BA1" w:rsidRPr="00E27BA1" w:rsidRDefault="00E27BA1" w:rsidP="00E27BA1">
      <w:pPr>
        <w:tabs>
          <w:tab w:val="left" w:pos="720"/>
          <w:tab w:val="left" w:pos="979"/>
          <w:tab w:val="left" w:pos="1152"/>
        </w:tabs>
        <w:ind w:left="450" w:hanging="90"/>
        <w:jc w:val="both"/>
        <w:outlineLvl w:val="4"/>
        <w:rPr>
          <w:rFonts w:ascii="TimesNewRomanPSMT" w:hAnsi="TimesNewRomanPSMT" w:cs="TimesNewRomanPSMT"/>
          <w:kern w:val="2"/>
        </w:rPr>
      </w:pPr>
      <w:r w:rsidRPr="00E27BA1">
        <w:rPr>
          <w:kern w:val="2"/>
        </w:rPr>
        <w:t>Notice</w:t>
      </w:r>
      <w:r w:rsidRPr="00E27BA1">
        <w:rPr>
          <w:rFonts w:ascii="TimesNewRomanPSMT" w:hAnsi="TimesNewRomanPSMT" w:cs="TimesNewRomanPSMT"/>
          <w:kern w:val="2"/>
        </w:rPr>
        <w:t xml:space="preserve"> of public hearing</w:t>
      </w:r>
    </w:p>
    <w:p w14:paraId="72D5D8B2" w14:textId="77777777" w:rsidR="00E27BA1" w:rsidRPr="00E27BA1" w:rsidRDefault="00E27BA1" w:rsidP="00E27BA1">
      <w:pPr>
        <w:tabs>
          <w:tab w:val="left" w:pos="720"/>
          <w:tab w:val="left" w:pos="979"/>
          <w:tab w:val="left" w:pos="1152"/>
        </w:tabs>
        <w:ind w:left="450"/>
        <w:jc w:val="both"/>
        <w:outlineLvl w:val="4"/>
        <w:rPr>
          <w:rFonts w:ascii="TimesNewRomanPSMT" w:hAnsi="TimesNewRomanPSMT" w:cs="TimesNewRomanPSMT"/>
          <w:kern w:val="2"/>
        </w:rPr>
      </w:pPr>
      <w:r w:rsidRPr="00E27BA1">
        <w:rPr>
          <w:rFonts w:ascii="TimesNewRomanPSMT" w:hAnsi="TimesNewRomanPSMT" w:cs="TimesNewRomanPSMT"/>
          <w:kern w:val="2"/>
        </w:rPr>
        <w:t>Substantive Changes to Proposed Rule</w:t>
      </w:r>
    </w:p>
    <w:p w14:paraId="10E71CC7" w14:textId="77777777" w:rsidR="00E27BA1" w:rsidRPr="00E27BA1" w:rsidRDefault="00E27BA1" w:rsidP="00E27BA1">
      <w:pPr>
        <w:tabs>
          <w:tab w:val="left" w:pos="720"/>
          <w:tab w:val="left" w:pos="979"/>
          <w:tab w:val="left" w:pos="1152"/>
        </w:tabs>
        <w:ind w:left="630" w:hanging="90"/>
        <w:jc w:val="both"/>
        <w:outlineLvl w:val="4"/>
        <w:rPr>
          <w:rFonts w:ascii="TimesNewRomanPSMT" w:hAnsi="TimesNewRomanPSMT" w:cs="TimesNewRomanPSMT"/>
          <w:kern w:val="2"/>
        </w:rPr>
      </w:pPr>
      <w:r w:rsidRPr="00E27BA1">
        <w:rPr>
          <w:rFonts w:ascii="TimesNewRomanPSMT" w:hAnsi="TimesNewRomanPSMT" w:cs="TimesNewRomanPSMT"/>
          <w:kern w:val="2"/>
        </w:rPr>
        <w:t>Drug Testing Programs in Job-Related Accident Cases, 636P</w:t>
      </w:r>
    </w:p>
    <w:p w14:paraId="0D47B85E" w14:textId="77777777" w:rsidR="00E27BA1" w:rsidRPr="00E27BA1" w:rsidRDefault="00E27BA1" w:rsidP="00E27BA1">
      <w:pPr>
        <w:tabs>
          <w:tab w:val="left" w:pos="720"/>
          <w:tab w:val="left" w:pos="979"/>
          <w:tab w:val="left" w:pos="1152"/>
        </w:tabs>
        <w:ind w:left="450" w:hanging="90"/>
        <w:jc w:val="both"/>
        <w:outlineLvl w:val="4"/>
        <w:rPr>
          <w:rFonts w:ascii="TimesNewRomanPSMT" w:hAnsi="TimesNewRomanPSMT" w:cs="TimesNewRomanPSMT"/>
          <w:kern w:val="2"/>
        </w:rPr>
      </w:pPr>
      <w:r w:rsidRPr="00E27BA1">
        <w:rPr>
          <w:kern w:val="2"/>
        </w:rPr>
        <w:t>Rehabilitation</w:t>
      </w:r>
      <w:r w:rsidRPr="00E27BA1">
        <w:rPr>
          <w:rFonts w:ascii="TimesNewRomanPSMT" w:hAnsi="TimesNewRomanPSMT" w:cs="TimesNewRomanPSMT"/>
          <w:kern w:val="2"/>
        </w:rPr>
        <w:t xml:space="preserve"> services, 877P, 1368R</w:t>
      </w:r>
    </w:p>
    <w:p w14:paraId="137898DC"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Second Injury Board, 746R</w:t>
      </w:r>
    </w:p>
    <w:p w14:paraId="148CF7EE"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Weekly compensation benefits limits, 1456P</w:t>
      </w:r>
    </w:p>
    <w:p w14:paraId="7F102E4A" w14:textId="77777777" w:rsidR="00E27BA1" w:rsidRPr="00E27BA1" w:rsidRDefault="00E27BA1" w:rsidP="00E27BA1">
      <w:pPr>
        <w:tabs>
          <w:tab w:val="left" w:pos="720"/>
          <w:tab w:val="left" w:pos="979"/>
          <w:tab w:val="left" w:pos="1152"/>
        </w:tabs>
        <w:ind w:left="450" w:hanging="90"/>
        <w:jc w:val="both"/>
        <w:outlineLvl w:val="4"/>
        <w:rPr>
          <w:kern w:val="2"/>
        </w:rPr>
      </w:pPr>
    </w:p>
    <w:p w14:paraId="2ACCBC01" w14:textId="77777777" w:rsidR="00E27BA1" w:rsidRPr="00E27BA1" w:rsidRDefault="00E27BA1" w:rsidP="00E27BA1">
      <w:pPr>
        <w:tabs>
          <w:tab w:val="left" w:pos="720"/>
          <w:tab w:val="left" w:pos="979"/>
          <w:tab w:val="left" w:pos="1152"/>
        </w:tabs>
        <w:ind w:left="450" w:hanging="90"/>
        <w:jc w:val="both"/>
        <w:outlineLvl w:val="4"/>
        <w:rPr>
          <w:kern w:val="2"/>
        </w:rPr>
      </w:pPr>
    </w:p>
    <w:p w14:paraId="0B55343B" w14:textId="77777777" w:rsidR="00E27BA1" w:rsidRPr="00E27BA1" w:rsidRDefault="00E27BA1" w:rsidP="00E27BA1">
      <w:pPr>
        <w:tabs>
          <w:tab w:val="left" w:pos="720"/>
          <w:tab w:val="left" w:pos="979"/>
          <w:tab w:val="left" w:pos="1152"/>
        </w:tabs>
        <w:ind w:left="450" w:hanging="90"/>
        <w:jc w:val="both"/>
        <w:outlineLvl w:val="4"/>
        <w:rPr>
          <w:kern w:val="2"/>
        </w:rPr>
      </w:pPr>
    </w:p>
    <w:p w14:paraId="5EC161F2" w14:textId="77777777" w:rsidR="00E27BA1" w:rsidRPr="00E27BA1" w:rsidRDefault="00E27BA1" w:rsidP="00E27BA1">
      <w:pPr>
        <w:jc w:val="center"/>
        <w:rPr>
          <w:b/>
          <w:kern w:val="28"/>
        </w:rPr>
      </w:pPr>
      <w:r w:rsidRPr="00E27BA1">
        <w:rPr>
          <w:b/>
          <w:kern w:val="28"/>
        </w:rPr>
        <w:t>POLICY AND PROCEDURE MEMORANDA</w:t>
      </w:r>
    </w:p>
    <w:p w14:paraId="3BD768B1" w14:textId="77777777" w:rsidR="00E27BA1" w:rsidRPr="00E27BA1" w:rsidRDefault="00E27BA1" w:rsidP="00E27BA1">
      <w:pPr>
        <w:keepNext/>
        <w:tabs>
          <w:tab w:val="left" w:pos="144"/>
          <w:tab w:val="left" w:pos="187"/>
          <w:tab w:val="left" w:pos="540"/>
          <w:tab w:val="left" w:pos="907"/>
          <w:tab w:val="left" w:pos="1080"/>
        </w:tabs>
        <w:ind w:firstLine="187"/>
        <w:jc w:val="both"/>
        <w:outlineLvl w:val="3"/>
        <w:rPr>
          <w:b/>
          <w:kern w:val="2"/>
          <w:lang w:eastAsia="x-none"/>
        </w:rPr>
      </w:pPr>
      <w:r w:rsidRPr="00E27BA1">
        <w:rPr>
          <w:b/>
          <w:kern w:val="2"/>
          <w:lang w:eastAsia="x-none"/>
        </w:rPr>
        <w:t>Governor, Office of the</w:t>
      </w:r>
    </w:p>
    <w:p w14:paraId="51D817BB" w14:textId="77777777" w:rsidR="00E27BA1" w:rsidRPr="00E27BA1" w:rsidRDefault="00E27BA1" w:rsidP="00E27BA1">
      <w:pPr>
        <w:keepNext/>
        <w:tabs>
          <w:tab w:val="left" w:pos="187"/>
          <w:tab w:val="left" w:pos="360"/>
          <w:tab w:val="left" w:pos="540"/>
          <w:tab w:val="left" w:pos="907"/>
          <w:tab w:val="left" w:pos="1080"/>
        </w:tabs>
        <w:ind w:left="360" w:hanging="90"/>
        <w:jc w:val="both"/>
        <w:outlineLvl w:val="3"/>
        <w:rPr>
          <w:b/>
          <w:bCs/>
          <w:color w:val="000000"/>
          <w:kern w:val="2"/>
          <w:lang w:val="x-none" w:eastAsia="x-none"/>
        </w:rPr>
      </w:pPr>
      <w:r w:rsidRPr="00E27BA1">
        <w:rPr>
          <w:b/>
          <w:bCs/>
          <w:color w:val="000000"/>
          <w:kern w:val="2"/>
          <w:lang w:val="x-none" w:eastAsia="x-none"/>
        </w:rPr>
        <w:t>Administration, Division of</w:t>
      </w:r>
    </w:p>
    <w:p w14:paraId="6A133B12" w14:textId="77777777" w:rsidR="00E27BA1" w:rsidRPr="00E27BA1" w:rsidRDefault="00E27BA1" w:rsidP="00E27BA1">
      <w:pPr>
        <w:tabs>
          <w:tab w:val="left" w:pos="720"/>
          <w:tab w:val="left" w:pos="979"/>
          <w:tab w:val="left" w:pos="1152"/>
        </w:tabs>
        <w:ind w:left="450" w:hanging="90"/>
        <w:jc w:val="both"/>
        <w:outlineLvl w:val="4"/>
        <w:rPr>
          <w:spacing w:val="-2"/>
          <w:kern w:val="2"/>
        </w:rPr>
      </w:pPr>
      <w:r w:rsidRPr="00E27BA1">
        <w:rPr>
          <w:kern w:val="2"/>
        </w:rPr>
        <w:t>PPM</w:t>
      </w:r>
      <w:r w:rsidRPr="00E27BA1">
        <w:rPr>
          <w:spacing w:val="-5"/>
          <w:kern w:val="2"/>
        </w:rPr>
        <w:t xml:space="preserve"> </w:t>
      </w:r>
      <w:r w:rsidRPr="00E27BA1">
        <w:rPr>
          <w:kern w:val="2"/>
        </w:rPr>
        <w:t>64—Printing</w:t>
      </w:r>
      <w:r w:rsidRPr="00E27BA1">
        <w:rPr>
          <w:spacing w:val="-3"/>
          <w:kern w:val="2"/>
        </w:rPr>
        <w:t xml:space="preserve"> </w:t>
      </w:r>
      <w:r w:rsidRPr="00E27BA1">
        <w:rPr>
          <w:kern w:val="2"/>
        </w:rPr>
        <w:t>and</w:t>
      </w:r>
      <w:r w:rsidRPr="00E27BA1">
        <w:rPr>
          <w:spacing w:val="-5"/>
          <w:kern w:val="2"/>
        </w:rPr>
        <w:t xml:space="preserve"> </w:t>
      </w:r>
      <w:r w:rsidRPr="00E27BA1">
        <w:rPr>
          <w:kern w:val="2"/>
        </w:rPr>
        <w:t>Mailing</w:t>
      </w:r>
      <w:r w:rsidRPr="00E27BA1">
        <w:rPr>
          <w:spacing w:val="-4"/>
          <w:kern w:val="2"/>
        </w:rPr>
        <w:t xml:space="preserve"> </w:t>
      </w:r>
      <w:r w:rsidRPr="00E27BA1">
        <w:rPr>
          <w:spacing w:val="-2"/>
          <w:kern w:val="2"/>
        </w:rPr>
        <w:t>Procedures, 336PPM</w:t>
      </w:r>
    </w:p>
    <w:p w14:paraId="7ECE0F15"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spacing w:val="-2"/>
          <w:kern w:val="2"/>
        </w:rPr>
        <w:t>PPM 49</w:t>
      </w:r>
      <w:r w:rsidRPr="00E27BA1">
        <w:rPr>
          <w:kern w:val="2"/>
        </w:rPr>
        <w:t>—General Travel Regulations, 896PPM</w:t>
      </w:r>
    </w:p>
    <w:p w14:paraId="422587E6" w14:textId="77777777" w:rsidR="00E27BA1" w:rsidRPr="00E27BA1" w:rsidRDefault="00E27BA1" w:rsidP="00E27BA1">
      <w:pPr>
        <w:tabs>
          <w:tab w:val="left" w:pos="720"/>
          <w:tab w:val="left" w:pos="979"/>
          <w:tab w:val="left" w:pos="1152"/>
        </w:tabs>
        <w:ind w:left="450" w:hanging="90"/>
        <w:jc w:val="both"/>
        <w:outlineLvl w:val="4"/>
        <w:rPr>
          <w:kern w:val="2"/>
        </w:rPr>
      </w:pPr>
    </w:p>
    <w:p w14:paraId="34DB525B" w14:textId="77777777" w:rsidR="00E27BA1" w:rsidRPr="00E27BA1" w:rsidRDefault="00E27BA1" w:rsidP="00E27BA1">
      <w:pPr>
        <w:tabs>
          <w:tab w:val="left" w:pos="720"/>
          <w:tab w:val="left" w:pos="979"/>
          <w:tab w:val="left" w:pos="1152"/>
        </w:tabs>
        <w:ind w:left="450" w:hanging="90"/>
        <w:jc w:val="both"/>
        <w:outlineLvl w:val="4"/>
        <w:rPr>
          <w:kern w:val="2"/>
        </w:rPr>
      </w:pPr>
    </w:p>
    <w:p w14:paraId="5CF331B1" w14:textId="77777777" w:rsidR="00E27BA1" w:rsidRPr="00E27BA1" w:rsidRDefault="00E27BA1" w:rsidP="00E27BA1">
      <w:pPr>
        <w:tabs>
          <w:tab w:val="left" w:pos="720"/>
          <w:tab w:val="left" w:pos="979"/>
          <w:tab w:val="left" w:pos="1152"/>
        </w:tabs>
        <w:ind w:left="450" w:hanging="90"/>
        <w:jc w:val="both"/>
        <w:outlineLvl w:val="4"/>
        <w:rPr>
          <w:kern w:val="2"/>
        </w:rPr>
      </w:pPr>
    </w:p>
    <w:p w14:paraId="78C63BD3" w14:textId="77777777" w:rsidR="00E27BA1" w:rsidRPr="00E27BA1" w:rsidRDefault="00E27BA1" w:rsidP="00E27BA1">
      <w:pPr>
        <w:keepNext/>
        <w:jc w:val="center"/>
        <w:rPr>
          <w:b/>
          <w:kern w:val="28"/>
        </w:rPr>
      </w:pPr>
      <w:r w:rsidRPr="00E27BA1">
        <w:rPr>
          <w:b/>
          <w:kern w:val="28"/>
        </w:rPr>
        <w:t>PUBLIC SAFETY AND CORRECTIONS</w:t>
      </w:r>
    </w:p>
    <w:p w14:paraId="67F1F666" w14:textId="77777777" w:rsidR="00E27BA1" w:rsidRPr="00E27BA1" w:rsidRDefault="00E27BA1" w:rsidP="00E27BA1">
      <w:pPr>
        <w:keepNext/>
        <w:tabs>
          <w:tab w:val="left" w:pos="144"/>
          <w:tab w:val="left" w:pos="187"/>
          <w:tab w:val="left" w:pos="540"/>
          <w:tab w:val="left" w:pos="907"/>
          <w:tab w:val="left" w:pos="1080"/>
        </w:tabs>
        <w:ind w:left="360" w:hanging="173"/>
        <w:jc w:val="both"/>
        <w:outlineLvl w:val="3"/>
        <w:rPr>
          <w:b/>
          <w:kern w:val="2"/>
          <w:lang w:eastAsia="x-none"/>
        </w:rPr>
      </w:pPr>
      <w:r w:rsidRPr="00E27BA1">
        <w:rPr>
          <w:b/>
          <w:kern w:val="2"/>
          <w:lang w:eastAsia="x-none"/>
        </w:rPr>
        <w:t>Corrections Services</w:t>
      </w:r>
    </w:p>
    <w:p w14:paraId="4886A4DC"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bCs/>
          <w:kern w:val="2"/>
        </w:rPr>
        <w:t>Disciplinary rules and procedures for adult inmates, 1108ER, 1277N</w:t>
      </w:r>
    </w:p>
    <w:p w14:paraId="706F64C9" w14:textId="77777777" w:rsidR="00E27BA1" w:rsidRPr="00E27BA1" w:rsidRDefault="00E27BA1" w:rsidP="00E27BA1">
      <w:pPr>
        <w:keepNext/>
        <w:tabs>
          <w:tab w:val="left" w:pos="144"/>
          <w:tab w:val="left" w:pos="187"/>
          <w:tab w:val="left" w:pos="540"/>
          <w:tab w:val="left" w:pos="907"/>
          <w:tab w:val="left" w:pos="1080"/>
        </w:tabs>
        <w:ind w:left="360" w:hanging="173"/>
        <w:jc w:val="both"/>
        <w:outlineLvl w:val="3"/>
        <w:rPr>
          <w:b/>
          <w:kern w:val="2"/>
          <w:lang w:eastAsia="x-none"/>
        </w:rPr>
      </w:pPr>
      <w:r w:rsidRPr="00E27BA1">
        <w:rPr>
          <w:b/>
          <w:kern w:val="2"/>
          <w:lang w:eastAsia="x-none"/>
        </w:rPr>
        <w:t>Gaming Control Board</w:t>
      </w:r>
    </w:p>
    <w:p w14:paraId="7C7A5D31"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bCs/>
          <w:kern w:val="2"/>
        </w:rPr>
        <w:t>Gaming Control Board, 65R</w:t>
      </w:r>
    </w:p>
    <w:p w14:paraId="7D560979"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bCs/>
          <w:kern w:val="2"/>
        </w:rPr>
        <w:t>Self-exclusion, 1444N</w:t>
      </w:r>
    </w:p>
    <w:p w14:paraId="68B65DB7" w14:textId="77777777" w:rsidR="00E27BA1" w:rsidRPr="00E27BA1" w:rsidRDefault="00E27BA1" w:rsidP="00E27BA1">
      <w:pPr>
        <w:keepNext/>
        <w:tabs>
          <w:tab w:val="left" w:pos="144"/>
          <w:tab w:val="left" w:pos="187"/>
          <w:tab w:val="left" w:pos="540"/>
          <w:tab w:val="left" w:pos="907"/>
          <w:tab w:val="left" w:pos="1080"/>
        </w:tabs>
        <w:ind w:left="360" w:hanging="173"/>
        <w:jc w:val="both"/>
        <w:outlineLvl w:val="3"/>
        <w:rPr>
          <w:b/>
          <w:kern w:val="2"/>
          <w:lang w:eastAsia="x-none"/>
        </w:rPr>
      </w:pPr>
      <w:r w:rsidRPr="00E27BA1">
        <w:rPr>
          <w:b/>
          <w:kern w:val="2"/>
          <w:lang w:eastAsia="x-none"/>
        </w:rPr>
        <w:t>Motor Vehicles, Office of</w:t>
      </w:r>
    </w:p>
    <w:p w14:paraId="373631F0"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Application process and fees for private driving schools and instructors, 66R</w:t>
      </w:r>
    </w:p>
    <w:p w14:paraId="352692B7"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kern w:val="2"/>
        </w:rPr>
        <w:t>Electric and hybrid vehicle road usage fee, 243R</w:t>
      </w:r>
    </w:p>
    <w:p w14:paraId="23D737BF" w14:textId="77777777" w:rsidR="00E27BA1" w:rsidRPr="00E27BA1" w:rsidRDefault="00E27BA1" w:rsidP="00E27BA1">
      <w:pPr>
        <w:keepNext/>
        <w:tabs>
          <w:tab w:val="left" w:pos="144"/>
          <w:tab w:val="left" w:pos="187"/>
          <w:tab w:val="left" w:pos="540"/>
          <w:tab w:val="left" w:pos="907"/>
          <w:tab w:val="left" w:pos="1080"/>
        </w:tabs>
        <w:ind w:left="360" w:hanging="173"/>
        <w:jc w:val="both"/>
        <w:outlineLvl w:val="3"/>
        <w:rPr>
          <w:b/>
          <w:kern w:val="2"/>
          <w:lang w:eastAsia="x-none"/>
        </w:rPr>
      </w:pPr>
      <w:r w:rsidRPr="00E27BA1">
        <w:rPr>
          <w:b/>
          <w:kern w:val="2"/>
          <w:lang w:eastAsia="x-none"/>
        </w:rPr>
        <w:t>Liquefied Petroleum Gas Commission</w:t>
      </w:r>
    </w:p>
    <w:p w14:paraId="128255E2" w14:textId="77777777" w:rsidR="00E27BA1" w:rsidRPr="00E27BA1" w:rsidRDefault="00E27BA1" w:rsidP="00E27BA1">
      <w:pPr>
        <w:tabs>
          <w:tab w:val="left" w:pos="720"/>
          <w:tab w:val="left" w:pos="979"/>
          <w:tab w:val="left" w:pos="1152"/>
        </w:tabs>
        <w:ind w:left="450" w:hanging="90"/>
        <w:jc w:val="both"/>
        <w:outlineLvl w:val="4"/>
        <w:rPr>
          <w:rFonts w:eastAsia="Calibri"/>
          <w:kern w:val="2"/>
        </w:rPr>
      </w:pPr>
      <w:r w:rsidRPr="00E27BA1">
        <w:rPr>
          <w:rFonts w:eastAsia="Calibri"/>
          <w:kern w:val="2"/>
        </w:rPr>
        <w:t>Liquefied petroleum gas</w:t>
      </w:r>
    </w:p>
    <w:p w14:paraId="2D257B1F" w14:textId="77777777" w:rsidR="00E27BA1" w:rsidRPr="00E27BA1" w:rsidRDefault="00E27BA1" w:rsidP="00E27BA1">
      <w:pPr>
        <w:tabs>
          <w:tab w:val="left" w:pos="720"/>
          <w:tab w:val="left" w:pos="979"/>
          <w:tab w:val="left" w:pos="1152"/>
        </w:tabs>
        <w:ind w:left="450"/>
        <w:jc w:val="both"/>
        <w:outlineLvl w:val="4"/>
        <w:rPr>
          <w:bCs/>
          <w:kern w:val="2"/>
        </w:rPr>
      </w:pPr>
      <w:r w:rsidRPr="00E27BA1">
        <w:rPr>
          <w:kern w:val="2"/>
        </w:rPr>
        <w:t>Applications and permits, 843N, 1387R</w:t>
      </w:r>
    </w:p>
    <w:p w14:paraId="11F11AB3" w14:textId="77777777" w:rsidR="00E27BA1" w:rsidRPr="00E27BA1" w:rsidRDefault="00E27BA1" w:rsidP="00E27BA1">
      <w:pPr>
        <w:keepNext/>
        <w:tabs>
          <w:tab w:val="left" w:pos="144"/>
          <w:tab w:val="left" w:pos="187"/>
          <w:tab w:val="left" w:pos="540"/>
          <w:tab w:val="left" w:pos="907"/>
          <w:tab w:val="left" w:pos="1080"/>
        </w:tabs>
        <w:ind w:left="360" w:hanging="173"/>
        <w:jc w:val="both"/>
        <w:outlineLvl w:val="3"/>
        <w:rPr>
          <w:b/>
          <w:kern w:val="2"/>
          <w:lang w:eastAsia="x-none"/>
        </w:rPr>
      </w:pPr>
      <w:r w:rsidRPr="00E27BA1">
        <w:rPr>
          <w:b/>
          <w:kern w:val="2"/>
          <w:lang w:eastAsia="x-none"/>
        </w:rPr>
        <w:t>Private Security Examiners, Board of</w:t>
      </w:r>
    </w:p>
    <w:p w14:paraId="6999EE9C"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bCs/>
          <w:kern w:val="2"/>
        </w:rPr>
        <w:t>Private security examiners, 237R, 1261N, 1261N, 1440N</w:t>
      </w:r>
    </w:p>
    <w:p w14:paraId="5163CF9B" w14:textId="77777777" w:rsidR="00E27BA1" w:rsidRPr="00E27BA1" w:rsidRDefault="00E27BA1" w:rsidP="00E27BA1">
      <w:pPr>
        <w:keepNext/>
        <w:tabs>
          <w:tab w:val="left" w:pos="144"/>
          <w:tab w:val="left" w:pos="187"/>
          <w:tab w:val="left" w:pos="540"/>
          <w:tab w:val="left" w:pos="907"/>
          <w:tab w:val="left" w:pos="1080"/>
        </w:tabs>
        <w:ind w:left="360" w:hanging="173"/>
        <w:jc w:val="both"/>
        <w:outlineLvl w:val="3"/>
        <w:rPr>
          <w:b/>
          <w:kern w:val="2"/>
          <w:lang w:eastAsia="x-none"/>
        </w:rPr>
      </w:pPr>
      <w:r w:rsidRPr="00E27BA1">
        <w:rPr>
          <w:b/>
          <w:kern w:val="2"/>
          <w:lang w:eastAsia="x-none"/>
        </w:rPr>
        <w:t>State Fire Marshal, Office of</w:t>
      </w:r>
    </w:p>
    <w:p w14:paraId="7D204D97"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kern w:val="2"/>
        </w:rPr>
        <w:t>Buildings</w:t>
      </w:r>
      <w:r w:rsidRPr="00E27BA1">
        <w:rPr>
          <w:bCs/>
          <w:kern w:val="2"/>
        </w:rPr>
        <w:t xml:space="preserve">, 844N, 1388R </w:t>
      </w:r>
    </w:p>
    <w:p w14:paraId="5B4D835A"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Fire protection, 1446N</w:t>
      </w:r>
    </w:p>
    <w:p w14:paraId="47B50A4F"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kern w:val="2"/>
        </w:rPr>
        <w:t>Flammable</w:t>
      </w:r>
      <w:r w:rsidRPr="00E27BA1">
        <w:rPr>
          <w:bCs/>
          <w:kern w:val="2"/>
        </w:rPr>
        <w:t xml:space="preserve"> and combustible liquids, 847N, 1389R</w:t>
      </w:r>
    </w:p>
    <w:p w14:paraId="075940C9" w14:textId="7D128039" w:rsidR="00E27BA1" w:rsidRPr="00E27BA1" w:rsidRDefault="00E27BA1" w:rsidP="00E27BA1">
      <w:pPr>
        <w:tabs>
          <w:tab w:val="left" w:pos="720"/>
          <w:tab w:val="left" w:pos="979"/>
          <w:tab w:val="left" w:pos="1152"/>
        </w:tabs>
        <w:ind w:left="450" w:hanging="90"/>
        <w:jc w:val="both"/>
        <w:outlineLvl w:val="4"/>
        <w:rPr>
          <w:kern w:val="2"/>
        </w:rPr>
      </w:pPr>
      <w:r>
        <w:rPr>
          <w:kern w:val="2"/>
        </w:rPr>
        <w:br w:type="column"/>
      </w:r>
      <w:r w:rsidRPr="00E27BA1">
        <w:rPr>
          <w:kern w:val="2"/>
        </w:rPr>
        <w:t>Notice of public hearing</w:t>
      </w:r>
    </w:p>
    <w:p w14:paraId="06170875" w14:textId="77777777" w:rsidR="00E27BA1" w:rsidRPr="00E27BA1" w:rsidRDefault="00E27BA1" w:rsidP="00E27BA1">
      <w:pPr>
        <w:tabs>
          <w:tab w:val="left" w:pos="720"/>
          <w:tab w:val="left" w:pos="979"/>
          <w:tab w:val="left" w:pos="1152"/>
        </w:tabs>
        <w:ind w:left="450"/>
        <w:jc w:val="both"/>
        <w:outlineLvl w:val="4"/>
        <w:rPr>
          <w:bCs/>
          <w:kern w:val="2"/>
        </w:rPr>
      </w:pPr>
      <w:r w:rsidRPr="00E27BA1">
        <w:rPr>
          <w:kern w:val="2"/>
        </w:rPr>
        <w:t>Substantive Changes to Notice of Intent—Conveyance Device Systems and Equipment, 1084P</w:t>
      </w:r>
    </w:p>
    <w:p w14:paraId="3CAC3524"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kern w:val="2"/>
        </w:rPr>
        <w:t>Preliminary</w:t>
      </w:r>
      <w:r w:rsidRPr="00E27BA1">
        <w:rPr>
          <w:bCs/>
          <w:kern w:val="2"/>
        </w:rPr>
        <w:t xml:space="preserve"> provisions, 848N, 1390R</w:t>
      </w:r>
    </w:p>
    <w:p w14:paraId="357F683E" w14:textId="77777777" w:rsidR="00E27BA1" w:rsidRPr="00E27BA1" w:rsidRDefault="00E27BA1" w:rsidP="00E27BA1">
      <w:pPr>
        <w:keepNext/>
        <w:tabs>
          <w:tab w:val="left" w:pos="144"/>
          <w:tab w:val="left" w:pos="187"/>
          <w:tab w:val="left" w:pos="540"/>
          <w:tab w:val="left" w:pos="907"/>
          <w:tab w:val="left" w:pos="1080"/>
        </w:tabs>
        <w:ind w:left="360" w:hanging="173"/>
        <w:jc w:val="both"/>
        <w:outlineLvl w:val="3"/>
        <w:rPr>
          <w:b/>
          <w:kern w:val="2"/>
          <w:lang w:eastAsia="x-none"/>
        </w:rPr>
      </w:pPr>
      <w:r w:rsidRPr="00E27BA1">
        <w:rPr>
          <w:b/>
          <w:kern w:val="2"/>
          <w:lang w:eastAsia="x-none"/>
        </w:rPr>
        <w:t>State Police, Office of</w:t>
      </w:r>
    </w:p>
    <w:p w14:paraId="73CED4E8"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Breath and blood alcohol analysis methods and techniques, 1278N</w:t>
      </w:r>
    </w:p>
    <w:p w14:paraId="60CAC5EF" w14:textId="77777777" w:rsidR="00E27BA1" w:rsidRPr="00E27BA1" w:rsidRDefault="00E27BA1" w:rsidP="00E27BA1">
      <w:pPr>
        <w:tabs>
          <w:tab w:val="left" w:pos="720"/>
          <w:tab w:val="left" w:pos="979"/>
          <w:tab w:val="left" w:pos="1152"/>
        </w:tabs>
        <w:ind w:left="450" w:hanging="90"/>
        <w:jc w:val="both"/>
        <w:outlineLvl w:val="4"/>
        <w:rPr>
          <w:b/>
          <w:kern w:val="2"/>
        </w:rPr>
      </w:pPr>
      <w:r w:rsidRPr="00E27BA1">
        <w:rPr>
          <w:kern w:val="2"/>
        </w:rPr>
        <w:t>Costs of photographs and videos pertaining to accident reports, 1447N</w:t>
      </w:r>
    </w:p>
    <w:p w14:paraId="5E185330" w14:textId="77777777" w:rsidR="00E27BA1" w:rsidRPr="00E27BA1" w:rsidRDefault="00E27BA1" w:rsidP="00E27BA1">
      <w:pPr>
        <w:keepNext/>
        <w:tabs>
          <w:tab w:val="left" w:pos="144"/>
          <w:tab w:val="left" w:pos="187"/>
          <w:tab w:val="left" w:pos="540"/>
          <w:tab w:val="left" w:pos="907"/>
          <w:tab w:val="left" w:pos="1080"/>
        </w:tabs>
        <w:ind w:left="450" w:hanging="180"/>
        <w:jc w:val="both"/>
        <w:outlineLvl w:val="3"/>
        <w:rPr>
          <w:b/>
          <w:kern w:val="2"/>
          <w:lang w:eastAsia="x-none"/>
        </w:rPr>
      </w:pPr>
      <w:r w:rsidRPr="00E27BA1">
        <w:rPr>
          <w:b/>
          <w:kern w:val="2"/>
          <w:lang w:eastAsia="x-none"/>
        </w:rPr>
        <w:t>Bureau of Criminal Identification and Information</w:t>
      </w:r>
    </w:p>
    <w:p w14:paraId="663C51D2"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Criminal history background checks on licensed ambulance personnel and nonlicensed persons, 66R</w:t>
      </w:r>
    </w:p>
    <w:p w14:paraId="331BC905"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Issuance of concealed handgun permits, 68R</w:t>
      </w:r>
    </w:p>
    <w:p w14:paraId="4BFB9597"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sz w:val="16"/>
          <w:szCs w:val="16"/>
          <w:lang w:val="x-none" w:eastAsia="x-none"/>
        </w:rPr>
      </w:pPr>
    </w:p>
    <w:p w14:paraId="0DA6945B"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sz w:val="16"/>
          <w:szCs w:val="16"/>
          <w:lang w:val="x-none" w:eastAsia="x-none"/>
        </w:rPr>
      </w:pPr>
    </w:p>
    <w:p w14:paraId="4A961A02"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sz w:val="16"/>
          <w:szCs w:val="16"/>
          <w:lang w:val="x-none" w:eastAsia="x-none"/>
        </w:rPr>
      </w:pPr>
    </w:p>
    <w:p w14:paraId="7B70AC58" w14:textId="77777777" w:rsidR="00E27BA1" w:rsidRPr="00E27BA1" w:rsidRDefault="00E27BA1" w:rsidP="00E27BA1">
      <w:pPr>
        <w:keepNext/>
        <w:jc w:val="center"/>
        <w:rPr>
          <w:b/>
          <w:kern w:val="28"/>
        </w:rPr>
      </w:pPr>
      <w:r w:rsidRPr="00E27BA1">
        <w:rPr>
          <w:b/>
          <w:kern w:val="28"/>
        </w:rPr>
        <w:t>REVENUE</w:t>
      </w:r>
    </w:p>
    <w:p w14:paraId="2C90A235" w14:textId="77777777" w:rsidR="00E27BA1" w:rsidRPr="00E27BA1" w:rsidRDefault="00E27BA1" w:rsidP="00E27BA1">
      <w:pPr>
        <w:keepNext/>
        <w:tabs>
          <w:tab w:val="left" w:pos="144"/>
          <w:tab w:val="left" w:pos="187"/>
          <w:tab w:val="left" w:pos="540"/>
          <w:tab w:val="left" w:pos="907"/>
          <w:tab w:val="left" w:pos="1080"/>
        </w:tabs>
        <w:ind w:left="360" w:hanging="173"/>
        <w:jc w:val="both"/>
        <w:outlineLvl w:val="3"/>
        <w:rPr>
          <w:b/>
          <w:bCs/>
          <w:kern w:val="2"/>
          <w:lang w:val="x-none" w:eastAsia="x-none"/>
        </w:rPr>
      </w:pPr>
      <w:r w:rsidRPr="00E27BA1">
        <w:rPr>
          <w:b/>
          <w:bCs/>
          <w:kern w:val="2"/>
          <w:lang w:val="x-none" w:eastAsia="x-none"/>
        </w:rPr>
        <w:t>Tax Policy and Planning Division</w:t>
      </w:r>
    </w:p>
    <w:p w14:paraId="43AB9702" w14:textId="77777777" w:rsidR="00E27BA1" w:rsidRPr="00E27BA1" w:rsidRDefault="00E27BA1" w:rsidP="00E27BA1">
      <w:pPr>
        <w:tabs>
          <w:tab w:val="left" w:pos="720"/>
          <w:tab w:val="left" w:pos="979"/>
          <w:tab w:val="left" w:pos="1152"/>
        </w:tabs>
        <w:ind w:left="450" w:hanging="90"/>
        <w:jc w:val="both"/>
        <w:outlineLvl w:val="4"/>
        <w:rPr>
          <w:rFonts w:eastAsia="Calibri"/>
          <w:kern w:val="2"/>
        </w:rPr>
      </w:pPr>
      <w:r w:rsidRPr="00E27BA1">
        <w:rPr>
          <w:rFonts w:eastAsia="Calibri"/>
          <w:kern w:val="2"/>
        </w:rPr>
        <w:t>Donations to qualifying Foster Care Charitable Organization Credit, 357R</w:t>
      </w:r>
    </w:p>
    <w:p w14:paraId="28CCF3B5" w14:textId="77777777" w:rsidR="00E27BA1" w:rsidRPr="00E27BA1" w:rsidRDefault="00E27BA1" w:rsidP="00E27BA1">
      <w:pPr>
        <w:tabs>
          <w:tab w:val="left" w:pos="720"/>
          <w:tab w:val="left" w:pos="979"/>
          <w:tab w:val="left" w:pos="1152"/>
        </w:tabs>
        <w:ind w:left="450" w:hanging="90"/>
        <w:jc w:val="both"/>
        <w:outlineLvl w:val="4"/>
        <w:rPr>
          <w:rFonts w:eastAsia="Calibri"/>
          <w:kern w:val="2"/>
        </w:rPr>
      </w:pPr>
      <w:r w:rsidRPr="00E27BA1">
        <w:rPr>
          <w:rFonts w:eastAsia="Calibri"/>
          <w:kern w:val="2"/>
        </w:rPr>
        <w:t>Election of pass-through entities, 306N, 748R</w:t>
      </w:r>
    </w:p>
    <w:p w14:paraId="59AE2146"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rFonts w:eastAsia="Calibri"/>
          <w:kern w:val="2"/>
        </w:rPr>
        <w:t>Income</w:t>
      </w:r>
      <w:r w:rsidRPr="00E27BA1">
        <w:rPr>
          <w:kern w:val="2"/>
        </w:rPr>
        <w:t xml:space="preserve"> tax withholding tables, 13ER, 308N, 422N, 749R</w:t>
      </w:r>
    </w:p>
    <w:p w14:paraId="083F4EF4"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Louisiana Fortified Roof Tax Credit Program and construction code retrofitting deduction, 1280N</w:t>
      </w:r>
    </w:p>
    <w:p w14:paraId="7FC495EB"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Mandatory electronic filing and payment requirements, 70R</w:t>
      </w:r>
    </w:p>
    <w:p w14:paraId="33B849D0"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Mobile workforce exemption, 357R</w:t>
      </w:r>
    </w:p>
    <w:p w14:paraId="3FF48AB4"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Notice of public hearing</w:t>
      </w:r>
    </w:p>
    <w:p w14:paraId="2379E293"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Substantive changes to proposed Rule</w:t>
      </w:r>
    </w:p>
    <w:p w14:paraId="15F5EA4F" w14:textId="77777777" w:rsidR="00E27BA1" w:rsidRPr="00E27BA1" w:rsidRDefault="00E27BA1" w:rsidP="00E27BA1">
      <w:pPr>
        <w:tabs>
          <w:tab w:val="left" w:pos="720"/>
          <w:tab w:val="left" w:pos="979"/>
          <w:tab w:val="left" w:pos="1152"/>
        </w:tabs>
        <w:ind w:left="630" w:hanging="90"/>
        <w:jc w:val="both"/>
        <w:outlineLvl w:val="4"/>
        <w:rPr>
          <w:kern w:val="2"/>
        </w:rPr>
      </w:pPr>
      <w:r w:rsidRPr="00E27BA1">
        <w:rPr>
          <w:kern w:val="2"/>
        </w:rPr>
        <w:t>Exemptions for Digital Products, Computer Software, Prewritten Computer Software Access Services and Information Services, 637P, 1297P</w:t>
      </w:r>
    </w:p>
    <w:p w14:paraId="162AA86D"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Partial sales and use tax exemption on boats, 358R</w:t>
      </w:r>
    </w:p>
    <w:p w14:paraId="7D8C1B43"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Payment of sales and use taxes by persons constructing, renovating, or altering immovable property, 1281N</w:t>
      </w:r>
    </w:p>
    <w:p w14:paraId="02FEC5FD"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Amendment of public hearing, 1456P</w:t>
      </w:r>
    </w:p>
    <w:p w14:paraId="02FE3D13"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Petition for rulemaking, 244R</w:t>
      </w:r>
    </w:p>
    <w:p w14:paraId="6E79C44A" w14:textId="77777777" w:rsidR="00E27BA1" w:rsidRPr="00E27BA1" w:rsidRDefault="00E27BA1" w:rsidP="00E27BA1">
      <w:pPr>
        <w:tabs>
          <w:tab w:val="left" w:pos="720"/>
          <w:tab w:val="left" w:pos="979"/>
          <w:tab w:val="left" w:pos="1152"/>
        </w:tabs>
        <w:ind w:left="450" w:hanging="90"/>
        <w:jc w:val="both"/>
        <w:outlineLvl w:val="4"/>
        <w:rPr>
          <w:kern w:val="2"/>
        </w:rPr>
      </w:pPr>
      <w:bookmarkStart w:id="779" w:name="_Hlk234312581"/>
      <w:r w:rsidRPr="00E27BA1">
        <w:rPr>
          <w:kern w:val="2"/>
        </w:rPr>
        <w:t>Qualifying purchases for public construction projects by contractors and subcontractors</w:t>
      </w:r>
      <w:bookmarkEnd w:id="779"/>
      <w:r w:rsidRPr="00E27BA1">
        <w:rPr>
          <w:kern w:val="2"/>
        </w:rPr>
        <w:t>, 1283N</w:t>
      </w:r>
    </w:p>
    <w:p w14:paraId="506C392C"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Repeal of obsolete sales and use tax exemptions, exclusions, refunds, and holidays, 850N, 1391R</w:t>
      </w:r>
    </w:p>
    <w:p w14:paraId="62DA2DB7"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Repeal of obsolete tax exemptions, deductions, credits and miscellaneous provisions, 359R</w:t>
      </w:r>
    </w:p>
    <w:p w14:paraId="6718B26D"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Sales tax on vending machine sales, 245R</w:t>
      </w:r>
    </w:p>
    <w:p w14:paraId="3981DD7C"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Work-based learning tax credit-eligible apprentice, 245R</w:t>
      </w:r>
    </w:p>
    <w:p w14:paraId="461AA860"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p>
    <w:p w14:paraId="07BA4BE9"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p>
    <w:p w14:paraId="10FEE5BD"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p>
    <w:p w14:paraId="1DC05110" w14:textId="77777777" w:rsidR="00E27BA1" w:rsidRPr="00E27BA1" w:rsidRDefault="00E27BA1" w:rsidP="00E27BA1">
      <w:pPr>
        <w:keepNext/>
        <w:jc w:val="center"/>
        <w:rPr>
          <w:b/>
          <w:kern w:val="28"/>
        </w:rPr>
      </w:pPr>
      <w:r w:rsidRPr="00E27BA1">
        <w:rPr>
          <w:b/>
          <w:kern w:val="28"/>
        </w:rPr>
        <w:t>SABINE RIVER AUTHORITY</w:t>
      </w:r>
    </w:p>
    <w:p w14:paraId="75F29EA3" w14:textId="77777777" w:rsidR="00E27BA1" w:rsidRPr="00E27BA1" w:rsidRDefault="00E27BA1" w:rsidP="00E27BA1">
      <w:pPr>
        <w:keepNext/>
        <w:tabs>
          <w:tab w:val="left" w:pos="144"/>
          <w:tab w:val="left" w:pos="187"/>
          <w:tab w:val="left" w:pos="540"/>
          <w:tab w:val="left" w:pos="907"/>
          <w:tab w:val="left" w:pos="1080"/>
        </w:tabs>
        <w:ind w:left="360" w:hanging="173"/>
        <w:jc w:val="both"/>
        <w:outlineLvl w:val="3"/>
        <w:rPr>
          <w:b/>
          <w:bCs/>
          <w:kern w:val="2"/>
          <w:lang w:eastAsia="x-none"/>
        </w:rPr>
      </w:pPr>
      <w:r w:rsidRPr="00E27BA1">
        <w:rPr>
          <w:b/>
          <w:bCs/>
          <w:kern w:val="2"/>
          <w:lang w:eastAsia="x-none"/>
        </w:rPr>
        <w:t>Sabine River Compact Administration</w:t>
      </w:r>
    </w:p>
    <w:p w14:paraId="77BCCC85"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Notice of public meeting, 638P</w:t>
      </w:r>
    </w:p>
    <w:p w14:paraId="20FF0D85"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p>
    <w:p w14:paraId="73B65CE3"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p>
    <w:p w14:paraId="36166BCC"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p>
    <w:p w14:paraId="15324A5A" w14:textId="77777777" w:rsidR="00E27BA1" w:rsidRPr="00E27BA1" w:rsidRDefault="00E27BA1" w:rsidP="00E27BA1">
      <w:pPr>
        <w:keepNext/>
        <w:jc w:val="center"/>
        <w:rPr>
          <w:b/>
          <w:kern w:val="28"/>
        </w:rPr>
      </w:pPr>
      <w:r w:rsidRPr="00E27BA1">
        <w:rPr>
          <w:b/>
          <w:kern w:val="28"/>
        </w:rPr>
        <w:t>TRANSPORTATION AND DEVELOPMENT</w:t>
      </w:r>
    </w:p>
    <w:p w14:paraId="455B1EFC" w14:textId="77777777" w:rsidR="00E27BA1" w:rsidRPr="00E27BA1" w:rsidRDefault="00E27BA1" w:rsidP="00E27BA1">
      <w:pPr>
        <w:keepNext/>
        <w:tabs>
          <w:tab w:val="left" w:pos="144"/>
          <w:tab w:val="left" w:pos="187"/>
          <w:tab w:val="left" w:pos="540"/>
          <w:tab w:val="left" w:pos="907"/>
          <w:tab w:val="left" w:pos="1080"/>
        </w:tabs>
        <w:ind w:left="360" w:hanging="173"/>
        <w:jc w:val="both"/>
        <w:outlineLvl w:val="3"/>
        <w:rPr>
          <w:b/>
          <w:bCs/>
          <w:kern w:val="2"/>
          <w:lang w:eastAsia="x-none"/>
        </w:rPr>
      </w:pPr>
      <w:r w:rsidRPr="00E27BA1">
        <w:rPr>
          <w:b/>
          <w:bCs/>
          <w:kern w:val="2"/>
          <w:lang w:eastAsia="x-none"/>
        </w:rPr>
        <w:t>Multimodal Commerce, Office of</w:t>
      </w:r>
    </w:p>
    <w:p w14:paraId="53C07D8A"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Safety requirements for railroad grade crossings, 1285N</w:t>
      </w:r>
    </w:p>
    <w:p w14:paraId="1A9D08BA"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Speed restrictions for railroad traffic, 75R</w:t>
      </w:r>
    </w:p>
    <w:p w14:paraId="15648923"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State safety oversight for rail fixed guideway public transportation systems, 360R</w:t>
      </w:r>
    </w:p>
    <w:p w14:paraId="4CEDB4B8"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Vertiport Development Program, 852N</w:t>
      </w:r>
    </w:p>
    <w:p w14:paraId="563AC8BD" w14:textId="77777777" w:rsidR="00E27BA1" w:rsidRPr="00E27BA1" w:rsidRDefault="00E27BA1" w:rsidP="00E27BA1">
      <w:pPr>
        <w:keepNext/>
        <w:tabs>
          <w:tab w:val="left" w:pos="144"/>
          <w:tab w:val="left" w:pos="187"/>
          <w:tab w:val="left" w:pos="540"/>
          <w:tab w:val="left" w:pos="907"/>
          <w:tab w:val="left" w:pos="1080"/>
        </w:tabs>
        <w:ind w:left="360" w:hanging="173"/>
        <w:jc w:val="both"/>
        <w:outlineLvl w:val="3"/>
        <w:rPr>
          <w:b/>
          <w:bCs/>
          <w:kern w:val="2"/>
          <w:lang w:eastAsia="x-none"/>
        </w:rPr>
      </w:pPr>
      <w:r w:rsidRPr="00E27BA1">
        <w:rPr>
          <w:b/>
          <w:bCs/>
          <w:kern w:val="2"/>
          <w:lang w:eastAsia="x-none"/>
        </w:rPr>
        <w:t>Professional Engineering and Land Surveying Board</w:t>
      </w:r>
    </w:p>
    <w:p w14:paraId="2833E8F5"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Engineering and land surveying, 1288N</w:t>
      </w:r>
    </w:p>
    <w:p w14:paraId="6A7CC0DD" w14:textId="77777777" w:rsidR="00E27BA1" w:rsidRPr="00E27BA1" w:rsidRDefault="00E27BA1" w:rsidP="00E27BA1">
      <w:pPr>
        <w:keepNext/>
        <w:jc w:val="center"/>
        <w:rPr>
          <w:b/>
          <w:kern w:val="28"/>
        </w:rPr>
      </w:pPr>
      <w:r w:rsidRPr="00E27BA1">
        <w:rPr>
          <w:b/>
          <w:kern w:val="28"/>
        </w:rPr>
        <w:lastRenderedPageBreak/>
        <w:t>TRANSPORTATION AND DEVELOPMENT (continued)</w:t>
      </w:r>
    </w:p>
    <w:p w14:paraId="4EFFD186" w14:textId="77777777" w:rsidR="00E27BA1" w:rsidRPr="00E27BA1" w:rsidRDefault="00E27BA1" w:rsidP="00E27BA1">
      <w:pPr>
        <w:keepNext/>
        <w:tabs>
          <w:tab w:val="left" w:pos="144"/>
          <w:tab w:val="left" w:pos="187"/>
          <w:tab w:val="left" w:pos="540"/>
          <w:tab w:val="left" w:pos="907"/>
          <w:tab w:val="left" w:pos="1080"/>
        </w:tabs>
        <w:ind w:left="360" w:hanging="173"/>
        <w:jc w:val="both"/>
        <w:outlineLvl w:val="3"/>
        <w:rPr>
          <w:b/>
          <w:bCs/>
          <w:kern w:val="2"/>
          <w:lang w:eastAsia="x-none"/>
        </w:rPr>
      </w:pPr>
      <w:r w:rsidRPr="00E27BA1">
        <w:rPr>
          <w:b/>
          <w:bCs/>
          <w:kern w:val="2"/>
          <w:lang w:eastAsia="x-none"/>
        </w:rPr>
        <w:t>Project Delivery, Office of</w:t>
      </w:r>
    </w:p>
    <w:p w14:paraId="4715E975"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Contracts, leases, and agreements, 859N</w:t>
      </w:r>
    </w:p>
    <w:p w14:paraId="2EA9F6EF"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DOTD Wireless Telecommunications Permit, 862N</w:t>
      </w:r>
    </w:p>
    <w:p w14:paraId="497308F6"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Fiber Optic Permit rules, 862N</w:t>
      </w:r>
    </w:p>
    <w:p w14:paraId="5D2BB2E9"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Louisiana Transportation Research Center (LTRC), 76R</w:t>
      </w:r>
    </w:p>
    <w:p w14:paraId="707B83E9"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Permits for rural water districts, 77R</w:t>
      </w:r>
    </w:p>
    <w:p w14:paraId="4D8077BB"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Utility operator fees, 77R</w:t>
      </w:r>
    </w:p>
    <w:p w14:paraId="547E24F6"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p>
    <w:p w14:paraId="065CDE04"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p>
    <w:p w14:paraId="33BE0177"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p>
    <w:p w14:paraId="1B4B0D0C" w14:textId="77777777" w:rsidR="00E27BA1" w:rsidRPr="00E27BA1" w:rsidRDefault="00E27BA1" w:rsidP="00E27BA1">
      <w:pPr>
        <w:keepNext/>
        <w:jc w:val="center"/>
        <w:rPr>
          <w:b/>
          <w:kern w:val="28"/>
        </w:rPr>
      </w:pPr>
      <w:r w:rsidRPr="00E27BA1">
        <w:rPr>
          <w:b/>
          <w:kern w:val="28"/>
        </w:rPr>
        <w:t>TREASURY</w:t>
      </w:r>
    </w:p>
    <w:p w14:paraId="29403E88" w14:textId="77777777" w:rsidR="00E27BA1" w:rsidRPr="00E27BA1" w:rsidRDefault="00E27BA1" w:rsidP="00E27BA1">
      <w:pPr>
        <w:keepNext/>
        <w:tabs>
          <w:tab w:val="left" w:pos="144"/>
          <w:tab w:val="left" w:pos="187"/>
          <w:tab w:val="left" w:pos="540"/>
          <w:tab w:val="left" w:pos="907"/>
          <w:tab w:val="left" w:pos="1080"/>
        </w:tabs>
        <w:ind w:left="360" w:hanging="173"/>
        <w:jc w:val="both"/>
        <w:outlineLvl w:val="3"/>
        <w:rPr>
          <w:b/>
          <w:bCs/>
          <w:kern w:val="2"/>
          <w:lang w:eastAsia="x-none"/>
        </w:rPr>
      </w:pPr>
      <w:r w:rsidRPr="00E27BA1">
        <w:rPr>
          <w:b/>
          <w:bCs/>
          <w:kern w:val="2"/>
          <w:lang w:eastAsia="x-none"/>
        </w:rPr>
        <w:t>Municipal Police Employees’ Retirement System, Board of Trustees of the</w:t>
      </w:r>
    </w:p>
    <w:p w14:paraId="20ABB196"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Internal Revenue Code provisions, 137N, 511R</w:t>
      </w:r>
    </w:p>
    <w:p w14:paraId="75C89A96"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Revised statutes clarifications for employers, 137N, 511R</w:t>
      </w:r>
    </w:p>
    <w:p w14:paraId="2BDF5731" w14:textId="77777777" w:rsidR="00E27BA1" w:rsidRPr="00E27BA1" w:rsidRDefault="00E27BA1" w:rsidP="00E27BA1">
      <w:pPr>
        <w:keepNext/>
        <w:tabs>
          <w:tab w:val="left" w:pos="144"/>
          <w:tab w:val="left" w:pos="187"/>
          <w:tab w:val="left" w:pos="540"/>
          <w:tab w:val="left" w:pos="907"/>
          <w:tab w:val="left" w:pos="1080"/>
        </w:tabs>
        <w:ind w:left="360" w:hanging="173"/>
        <w:jc w:val="both"/>
        <w:outlineLvl w:val="3"/>
        <w:rPr>
          <w:b/>
          <w:bCs/>
          <w:kern w:val="2"/>
          <w:lang w:val="x-none" w:eastAsia="x-none"/>
        </w:rPr>
      </w:pPr>
      <w:r w:rsidRPr="00E27BA1">
        <w:rPr>
          <w:b/>
          <w:bCs/>
          <w:kern w:val="2"/>
          <w:lang w:val="x-none" w:eastAsia="x-none"/>
        </w:rPr>
        <w:t>Teachers’ Retirement System of Louisiana, Board of Trustees of the</w:t>
      </w:r>
    </w:p>
    <w:p w14:paraId="3220BF74"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Open meetings via electronic means, 370R</w:t>
      </w:r>
    </w:p>
    <w:p w14:paraId="2D5D9803" w14:textId="77777777" w:rsidR="00E27BA1" w:rsidRPr="00E27BA1" w:rsidRDefault="00E27BA1" w:rsidP="00E27BA1">
      <w:pPr>
        <w:keepNext/>
        <w:jc w:val="center"/>
        <w:rPr>
          <w:b/>
          <w:kern w:val="28"/>
        </w:rPr>
      </w:pPr>
    </w:p>
    <w:p w14:paraId="7A9D80E1" w14:textId="77777777" w:rsidR="00E27BA1" w:rsidRPr="00E27BA1" w:rsidRDefault="00E27BA1" w:rsidP="00E27BA1">
      <w:pPr>
        <w:keepNext/>
        <w:jc w:val="center"/>
        <w:rPr>
          <w:b/>
          <w:kern w:val="28"/>
        </w:rPr>
      </w:pPr>
    </w:p>
    <w:p w14:paraId="0766371F" w14:textId="77777777" w:rsidR="00E27BA1" w:rsidRPr="00E27BA1" w:rsidRDefault="00E27BA1" w:rsidP="00E27BA1">
      <w:pPr>
        <w:keepNext/>
        <w:jc w:val="center"/>
        <w:rPr>
          <w:b/>
          <w:kern w:val="28"/>
        </w:rPr>
      </w:pPr>
    </w:p>
    <w:p w14:paraId="775D4BA4" w14:textId="77777777" w:rsidR="00E27BA1" w:rsidRPr="00E27BA1" w:rsidRDefault="00E27BA1" w:rsidP="00E27BA1">
      <w:pPr>
        <w:keepNext/>
        <w:jc w:val="center"/>
        <w:rPr>
          <w:b/>
          <w:kern w:val="28"/>
        </w:rPr>
      </w:pPr>
      <w:r w:rsidRPr="00E27BA1">
        <w:rPr>
          <w:b/>
          <w:kern w:val="28"/>
        </w:rPr>
        <w:t>WILDLIFE AND FISHERIES</w:t>
      </w:r>
    </w:p>
    <w:p w14:paraId="512BD94C" w14:textId="77777777" w:rsidR="00E27BA1" w:rsidRPr="00E27BA1" w:rsidRDefault="00E27BA1" w:rsidP="00E27BA1">
      <w:pPr>
        <w:keepNext/>
        <w:tabs>
          <w:tab w:val="left" w:pos="144"/>
          <w:tab w:val="left" w:pos="187"/>
          <w:tab w:val="left" w:pos="540"/>
          <w:tab w:val="left" w:pos="907"/>
          <w:tab w:val="left" w:pos="1080"/>
        </w:tabs>
        <w:ind w:left="360" w:hanging="173"/>
        <w:jc w:val="both"/>
        <w:outlineLvl w:val="3"/>
        <w:rPr>
          <w:b/>
          <w:bCs/>
          <w:kern w:val="2"/>
          <w:lang w:val="x-none" w:eastAsia="x-none"/>
        </w:rPr>
      </w:pPr>
      <w:r w:rsidRPr="00E27BA1">
        <w:rPr>
          <w:b/>
          <w:kern w:val="2"/>
          <w:lang w:eastAsia="x-none"/>
        </w:rPr>
        <w:t>Wildlife</w:t>
      </w:r>
      <w:r w:rsidRPr="00E27BA1">
        <w:rPr>
          <w:b/>
          <w:bCs/>
          <w:kern w:val="2"/>
          <w:lang w:val="x-none" w:eastAsia="x-none"/>
        </w:rPr>
        <w:t xml:space="preserve"> and Fisheries Commission</w:t>
      </w:r>
    </w:p>
    <w:p w14:paraId="1A3C293B"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Abandoned and salvaged recreational vessel</w:t>
      </w:r>
    </w:p>
    <w:p w14:paraId="11067023"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Registration and titling, 758R</w:t>
      </w:r>
    </w:p>
    <w:p w14:paraId="3F08AEEE"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Administration of the natural and scenic rivers and historic and scenic rivers, 985R, 1190R</w:t>
      </w:r>
    </w:p>
    <w:p w14:paraId="4B2BAD7D"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Alligator</w:t>
      </w:r>
    </w:p>
    <w:p w14:paraId="65AB63C2"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Recreational hunting season, 868N, 1392R</w:t>
      </w:r>
    </w:p>
    <w:p w14:paraId="7B1EF106"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Amberjack</w:t>
      </w:r>
    </w:p>
    <w:p w14:paraId="6D11746E"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2026 commercial season modification, 1323ER</w:t>
      </w:r>
    </w:p>
    <w:p w14:paraId="51AC8689"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Bass</w:t>
      </w:r>
    </w:p>
    <w:p w14:paraId="62B2293B"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Saline-Larto Complex</w:t>
      </w:r>
    </w:p>
    <w:p w14:paraId="67E4B91D" w14:textId="77777777" w:rsidR="00E27BA1" w:rsidRPr="00E27BA1" w:rsidRDefault="00E27BA1" w:rsidP="00E27BA1">
      <w:pPr>
        <w:tabs>
          <w:tab w:val="left" w:pos="720"/>
          <w:tab w:val="left" w:pos="979"/>
          <w:tab w:val="left" w:pos="1152"/>
        </w:tabs>
        <w:ind w:left="630" w:hanging="90"/>
        <w:jc w:val="both"/>
        <w:outlineLvl w:val="4"/>
        <w:rPr>
          <w:kern w:val="2"/>
        </w:rPr>
      </w:pPr>
      <w:r w:rsidRPr="00E27BA1">
        <w:rPr>
          <w:kern w:val="2"/>
        </w:rPr>
        <w:t>Black bass and crappie regulations, 632N</w:t>
      </w:r>
    </w:p>
    <w:p w14:paraId="4C9E70F7"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Bear</w:t>
      </w:r>
    </w:p>
    <w:p w14:paraId="75608EFD"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Hunting areas, 432N, 990R</w:t>
      </w:r>
    </w:p>
    <w:p w14:paraId="145A8942"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Rules and bag limits, 432N, 990R</w:t>
      </w:r>
    </w:p>
    <w:p w14:paraId="70505A80"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Seasons, 432N, 990R</w:t>
      </w:r>
    </w:p>
    <w:p w14:paraId="55ACE32D"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Chronic wasting disease control areas, 208ER, 476ER, 662ER</w:t>
      </w:r>
    </w:p>
    <w:p w14:paraId="649406CB" w14:textId="77777777" w:rsidR="00E27BA1" w:rsidRPr="00E27BA1" w:rsidRDefault="00E27BA1" w:rsidP="00E27BA1">
      <w:pPr>
        <w:tabs>
          <w:tab w:val="left" w:pos="720"/>
          <w:tab w:val="left" w:pos="979"/>
          <w:tab w:val="left" w:pos="1152"/>
        </w:tabs>
        <w:ind w:left="540" w:hanging="90"/>
        <w:jc w:val="both"/>
        <w:outlineLvl w:val="4"/>
        <w:rPr>
          <w:kern w:val="2"/>
        </w:rPr>
      </w:pPr>
      <w:r w:rsidRPr="00E27BA1">
        <w:rPr>
          <w:kern w:val="2"/>
        </w:rPr>
        <w:t>Management zones, 926ER</w:t>
      </w:r>
    </w:p>
    <w:p w14:paraId="1DD58499"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Conservation Incentive Program, 1448N</w:t>
      </w:r>
    </w:p>
    <w:p w14:paraId="234C95CF"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Derelict Crab Trap Removal Program, 1451N</w:t>
      </w:r>
    </w:p>
    <w:p w14:paraId="4C1BF0D4"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Filleted saltwater fish</w:t>
      </w:r>
    </w:p>
    <w:p w14:paraId="66F2CB8E" w14:textId="77777777" w:rsidR="00E27BA1" w:rsidRPr="00E27BA1" w:rsidRDefault="00E27BA1" w:rsidP="00E27BA1">
      <w:pPr>
        <w:tabs>
          <w:tab w:val="left" w:pos="720"/>
          <w:tab w:val="left" w:pos="979"/>
          <w:tab w:val="left" w:pos="1152"/>
        </w:tabs>
        <w:ind w:left="540" w:hanging="90"/>
        <w:jc w:val="both"/>
        <w:outlineLvl w:val="4"/>
        <w:rPr>
          <w:kern w:val="2"/>
        </w:rPr>
      </w:pPr>
      <w:r w:rsidRPr="00E27BA1">
        <w:rPr>
          <w:kern w:val="2"/>
        </w:rPr>
        <w:t>Size regulations, 317N, 759R</w:t>
      </w:r>
    </w:p>
    <w:p w14:paraId="0B77FEED"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 xml:space="preserve">Gag grouper </w:t>
      </w:r>
    </w:p>
    <w:p w14:paraId="157B72A3" w14:textId="77777777" w:rsidR="00E27BA1" w:rsidRPr="00E27BA1" w:rsidRDefault="00E27BA1" w:rsidP="00E27BA1">
      <w:pPr>
        <w:tabs>
          <w:tab w:val="left" w:pos="720"/>
          <w:tab w:val="left" w:pos="979"/>
          <w:tab w:val="left" w:pos="1152"/>
        </w:tabs>
        <w:ind w:left="540" w:hanging="90"/>
        <w:jc w:val="both"/>
        <w:outlineLvl w:val="4"/>
        <w:rPr>
          <w:kern w:val="2"/>
        </w:rPr>
      </w:pPr>
      <w:r w:rsidRPr="00E27BA1">
        <w:rPr>
          <w:kern w:val="2"/>
        </w:rPr>
        <w:t>2026 recreational season modification, 925ER</w:t>
      </w:r>
    </w:p>
    <w:p w14:paraId="3BE994F5"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Hunter Education Program certification policy, 371R</w:t>
      </w:r>
    </w:p>
    <w:p w14:paraId="0B044842"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Hunting regulations for the 2026-2028 seasons, 141N, 992R</w:t>
      </w:r>
    </w:p>
    <w:p w14:paraId="3E54C9DE"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Menhaden season, 372R</w:t>
      </w:r>
    </w:p>
    <w:p w14:paraId="55D124D6"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Notice of public hearing</w:t>
      </w:r>
    </w:p>
    <w:p w14:paraId="537F01C1"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Substantive changes to proposed Rule</w:t>
      </w:r>
    </w:p>
    <w:p w14:paraId="4A73250D" w14:textId="77777777" w:rsidR="00E27BA1" w:rsidRPr="00E27BA1" w:rsidRDefault="00E27BA1" w:rsidP="00E27BA1">
      <w:pPr>
        <w:tabs>
          <w:tab w:val="left" w:pos="720"/>
          <w:tab w:val="left" w:pos="979"/>
          <w:tab w:val="left" w:pos="1152"/>
        </w:tabs>
        <w:ind w:left="630" w:hanging="90"/>
        <w:jc w:val="both"/>
        <w:outlineLvl w:val="4"/>
        <w:rPr>
          <w:kern w:val="2"/>
        </w:rPr>
      </w:pPr>
      <w:r w:rsidRPr="00E27BA1">
        <w:rPr>
          <w:kern w:val="2"/>
        </w:rPr>
        <w:t>2026-2028 Hunting Regulations and Seasons, 451P</w:t>
      </w:r>
    </w:p>
    <w:p w14:paraId="3E6138B1" w14:textId="77777777" w:rsidR="00E27BA1" w:rsidRPr="00E27BA1" w:rsidRDefault="00E27BA1" w:rsidP="00E27BA1">
      <w:pPr>
        <w:tabs>
          <w:tab w:val="left" w:pos="720"/>
          <w:tab w:val="left" w:pos="979"/>
          <w:tab w:val="left" w:pos="1152"/>
        </w:tabs>
        <w:ind w:left="630" w:hanging="90"/>
        <w:jc w:val="both"/>
        <w:outlineLvl w:val="4"/>
        <w:rPr>
          <w:kern w:val="2"/>
        </w:rPr>
      </w:pPr>
      <w:r w:rsidRPr="00E27BA1">
        <w:rPr>
          <w:kern w:val="2"/>
        </w:rPr>
        <w:t>Administration of the Natural and Scenic Rivers and Historic and Scenic Rivers, 325P</w:t>
      </w:r>
    </w:p>
    <w:p w14:paraId="32C8B764"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Oyster</w:t>
      </w:r>
    </w:p>
    <w:p w14:paraId="5930500B" w14:textId="77777777" w:rsidR="00E27BA1" w:rsidRPr="00E27BA1" w:rsidRDefault="00E27BA1" w:rsidP="00E27BA1">
      <w:pPr>
        <w:tabs>
          <w:tab w:val="left" w:pos="720"/>
          <w:tab w:val="left" w:pos="979"/>
          <w:tab w:val="left" w:pos="1152"/>
        </w:tabs>
        <w:ind w:left="540" w:hanging="90"/>
        <w:jc w:val="both"/>
        <w:outlineLvl w:val="4"/>
        <w:rPr>
          <w:kern w:val="2"/>
        </w:rPr>
      </w:pPr>
      <w:r w:rsidRPr="00E27BA1">
        <w:rPr>
          <w:kern w:val="2"/>
        </w:rPr>
        <w:t>Closure of portions of public oyster seed grounds east of the Mississippi River, 23ER</w:t>
      </w:r>
    </w:p>
    <w:p w14:paraId="2D7B923C" w14:textId="77777777" w:rsidR="00E27BA1" w:rsidRPr="00E27BA1" w:rsidRDefault="00E27BA1" w:rsidP="00E27BA1">
      <w:pPr>
        <w:tabs>
          <w:tab w:val="left" w:pos="720"/>
          <w:tab w:val="left" w:pos="979"/>
          <w:tab w:val="left" w:pos="1152"/>
        </w:tabs>
        <w:ind w:left="540" w:hanging="90"/>
        <w:jc w:val="both"/>
        <w:outlineLvl w:val="4"/>
        <w:rPr>
          <w:kern w:val="2"/>
        </w:rPr>
      </w:pPr>
      <w:r w:rsidRPr="00E27BA1">
        <w:rPr>
          <w:kern w:val="2"/>
        </w:rPr>
        <w:t>Closure of public oyster seed grounds east of the Mississippi River, 345ER</w:t>
      </w:r>
    </w:p>
    <w:p w14:paraId="78A5D246" w14:textId="77777777" w:rsidR="00E27BA1" w:rsidRPr="00E27BA1" w:rsidRDefault="00E27BA1" w:rsidP="00E27BA1">
      <w:pPr>
        <w:tabs>
          <w:tab w:val="left" w:pos="720"/>
          <w:tab w:val="left" w:pos="979"/>
          <w:tab w:val="left" w:pos="1152"/>
        </w:tabs>
        <w:ind w:left="540" w:hanging="90"/>
        <w:jc w:val="both"/>
        <w:outlineLvl w:val="4"/>
        <w:rPr>
          <w:b/>
          <w:bCs/>
          <w:kern w:val="2"/>
        </w:rPr>
      </w:pPr>
      <w:r w:rsidRPr="00E27BA1">
        <w:rPr>
          <w:kern w:val="2"/>
        </w:rPr>
        <w:t>Reopening of 2026-2026 season in the Sister Lake Public Oyster Seed Reservation to the harvest of market size oysters, 345ER</w:t>
      </w:r>
    </w:p>
    <w:p w14:paraId="0C80B667"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Red snapper</w:t>
      </w:r>
    </w:p>
    <w:p w14:paraId="40E24158" w14:textId="77777777" w:rsidR="00E27BA1" w:rsidRPr="00E27BA1" w:rsidRDefault="00E27BA1" w:rsidP="00E27BA1">
      <w:pPr>
        <w:tabs>
          <w:tab w:val="left" w:pos="720"/>
          <w:tab w:val="left" w:pos="979"/>
          <w:tab w:val="left" w:pos="1152"/>
        </w:tabs>
        <w:ind w:left="540" w:hanging="90"/>
        <w:jc w:val="both"/>
        <w:outlineLvl w:val="4"/>
        <w:rPr>
          <w:kern w:val="2"/>
        </w:rPr>
      </w:pPr>
      <w:r w:rsidRPr="00E27BA1">
        <w:rPr>
          <w:kern w:val="2"/>
        </w:rPr>
        <w:t>2026 private recreational and state charter season. 345ER</w:t>
      </w:r>
    </w:p>
    <w:p w14:paraId="42F1A216" w14:textId="77777777" w:rsidR="00E27BA1" w:rsidRPr="00E27BA1" w:rsidRDefault="00E27BA1" w:rsidP="00E27BA1">
      <w:pPr>
        <w:tabs>
          <w:tab w:val="left" w:pos="720"/>
          <w:tab w:val="left" w:pos="979"/>
          <w:tab w:val="left" w:pos="1152"/>
        </w:tabs>
        <w:ind w:left="540" w:hanging="90"/>
        <w:jc w:val="both"/>
        <w:outlineLvl w:val="4"/>
        <w:rPr>
          <w:kern w:val="2"/>
        </w:rPr>
      </w:pPr>
      <w:r w:rsidRPr="00E27BA1">
        <w:rPr>
          <w:kern w:val="2"/>
        </w:rPr>
        <w:t>2026 recreational bag limit modification, 925ER, 1115ER</w:t>
      </w:r>
    </w:p>
    <w:p w14:paraId="4AE40D05" w14:textId="77777777" w:rsidR="00E27BA1" w:rsidRPr="00E27BA1" w:rsidRDefault="00E27BA1" w:rsidP="00E27BA1">
      <w:pPr>
        <w:tabs>
          <w:tab w:val="left" w:pos="720"/>
          <w:tab w:val="left" w:pos="979"/>
          <w:tab w:val="left" w:pos="1152"/>
        </w:tabs>
        <w:ind w:left="540" w:hanging="90"/>
        <w:jc w:val="both"/>
        <w:outlineLvl w:val="4"/>
        <w:rPr>
          <w:kern w:val="2"/>
        </w:rPr>
      </w:pPr>
      <w:r w:rsidRPr="00E27BA1">
        <w:rPr>
          <w:kern w:val="2"/>
        </w:rPr>
        <w:t>2026 recreational season modification and closure, 1324ER</w:t>
      </w:r>
    </w:p>
    <w:p w14:paraId="29D4494B"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Shrimp</w:t>
      </w:r>
    </w:p>
    <w:p w14:paraId="500C78DE" w14:textId="77777777" w:rsidR="00E27BA1" w:rsidRPr="00E27BA1" w:rsidRDefault="00E27BA1" w:rsidP="00E27BA1">
      <w:pPr>
        <w:tabs>
          <w:tab w:val="left" w:pos="720"/>
          <w:tab w:val="left" w:pos="979"/>
          <w:tab w:val="left" w:pos="1152"/>
        </w:tabs>
        <w:ind w:left="540" w:hanging="90"/>
        <w:jc w:val="both"/>
        <w:outlineLvl w:val="4"/>
        <w:rPr>
          <w:kern w:val="2"/>
        </w:rPr>
      </w:pPr>
      <w:r w:rsidRPr="00E27BA1">
        <w:rPr>
          <w:kern w:val="2"/>
        </w:rPr>
        <w:t>Opening of 2026 spring inshore season, 663ER, 1324ER</w:t>
      </w:r>
    </w:p>
    <w:p w14:paraId="0985C673" w14:textId="77777777" w:rsidR="00E27BA1" w:rsidRPr="00E27BA1" w:rsidRDefault="00E27BA1" w:rsidP="00E27BA1">
      <w:pPr>
        <w:tabs>
          <w:tab w:val="left" w:pos="720"/>
          <w:tab w:val="left" w:pos="979"/>
          <w:tab w:val="left" w:pos="1152"/>
        </w:tabs>
        <w:ind w:left="540" w:hanging="90"/>
        <w:jc w:val="both"/>
        <w:outlineLvl w:val="4"/>
        <w:rPr>
          <w:kern w:val="2"/>
        </w:rPr>
      </w:pPr>
      <w:r w:rsidRPr="00E27BA1">
        <w:rPr>
          <w:kern w:val="2"/>
        </w:rPr>
        <w:t>Reopening of season in remaining state outside waters, 476ER</w:t>
      </w:r>
    </w:p>
    <w:p w14:paraId="6C1AEF89" w14:textId="77777777" w:rsidR="00E27BA1" w:rsidRPr="00E27BA1" w:rsidRDefault="00E27BA1" w:rsidP="00E27BA1">
      <w:pPr>
        <w:tabs>
          <w:tab w:val="left" w:pos="720"/>
          <w:tab w:val="left" w:pos="979"/>
          <w:tab w:val="left" w:pos="1152"/>
        </w:tabs>
        <w:ind w:left="540" w:hanging="90"/>
        <w:jc w:val="both"/>
        <w:outlineLvl w:val="4"/>
        <w:rPr>
          <w:kern w:val="2"/>
        </w:rPr>
      </w:pPr>
      <w:r w:rsidRPr="00E27BA1">
        <w:rPr>
          <w:kern w:val="2"/>
        </w:rPr>
        <w:t>Season closure in portions of state inside waters, 23ER</w:t>
      </w:r>
    </w:p>
    <w:p w14:paraId="606438BA" w14:textId="77777777" w:rsidR="00E27BA1" w:rsidRPr="00E27BA1" w:rsidRDefault="00E27BA1" w:rsidP="00E27BA1">
      <w:pPr>
        <w:tabs>
          <w:tab w:val="left" w:pos="720"/>
          <w:tab w:val="left" w:pos="979"/>
          <w:tab w:val="left" w:pos="1152"/>
        </w:tabs>
        <w:ind w:left="540" w:hanging="90"/>
        <w:jc w:val="both"/>
        <w:outlineLvl w:val="4"/>
        <w:rPr>
          <w:kern w:val="2"/>
        </w:rPr>
      </w:pPr>
      <w:r w:rsidRPr="00E27BA1">
        <w:rPr>
          <w:kern w:val="2"/>
        </w:rPr>
        <w:t>Season closure in portions of state outside waters, 208ER</w:t>
      </w:r>
    </w:p>
    <w:p w14:paraId="7FE12F61" w14:textId="77777777" w:rsidR="00E27BA1" w:rsidRPr="00E27BA1" w:rsidRDefault="00E27BA1" w:rsidP="00E27BA1">
      <w:pPr>
        <w:tabs>
          <w:tab w:val="left" w:pos="720"/>
          <w:tab w:val="left" w:pos="979"/>
          <w:tab w:val="left" w:pos="1152"/>
        </w:tabs>
        <w:ind w:left="540" w:hanging="90"/>
        <w:jc w:val="both"/>
        <w:outlineLvl w:val="4"/>
        <w:rPr>
          <w:kern w:val="2"/>
        </w:rPr>
      </w:pPr>
      <w:r w:rsidRPr="00E27BA1">
        <w:rPr>
          <w:kern w:val="2"/>
        </w:rPr>
        <w:t>Season closure of state inside waters, 1115ER</w:t>
      </w:r>
    </w:p>
    <w:p w14:paraId="7CE38715" w14:textId="77777777" w:rsidR="00E27BA1" w:rsidRPr="00E27BA1" w:rsidRDefault="00E27BA1" w:rsidP="00E27BA1">
      <w:pPr>
        <w:tabs>
          <w:tab w:val="left" w:pos="720"/>
          <w:tab w:val="left" w:pos="979"/>
          <w:tab w:val="left" w:pos="1152"/>
        </w:tabs>
        <w:ind w:left="540"/>
        <w:jc w:val="both"/>
        <w:outlineLvl w:val="4"/>
        <w:rPr>
          <w:kern w:val="2"/>
        </w:rPr>
      </w:pPr>
      <w:r w:rsidRPr="00E27BA1">
        <w:rPr>
          <w:kern w:val="2"/>
        </w:rPr>
        <w:t>Portions of Zone 1 state inside waters, 209ER</w:t>
      </w:r>
    </w:p>
    <w:p w14:paraId="3FC231BB" w14:textId="77777777" w:rsidR="00E27BA1" w:rsidRPr="00E27BA1" w:rsidRDefault="00E27BA1" w:rsidP="00E27BA1">
      <w:pPr>
        <w:tabs>
          <w:tab w:val="left" w:pos="720"/>
          <w:tab w:val="left" w:pos="979"/>
          <w:tab w:val="left" w:pos="1152"/>
        </w:tabs>
        <w:ind w:left="540" w:hanging="90"/>
        <w:jc w:val="both"/>
        <w:outlineLvl w:val="4"/>
        <w:rPr>
          <w:kern w:val="2"/>
        </w:rPr>
      </w:pPr>
      <w:r w:rsidRPr="00E27BA1">
        <w:rPr>
          <w:kern w:val="2"/>
        </w:rPr>
        <w:t>Special white shrimp season in a portion of Zone 2 state inside waters, 664ER</w:t>
      </w:r>
    </w:p>
    <w:p w14:paraId="17FAAB94"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Special bait dealer’s permit, 373R</w:t>
      </w:r>
    </w:p>
    <w:p w14:paraId="0694FBAD"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Waterfowl</w:t>
      </w:r>
    </w:p>
    <w:p w14:paraId="1C87C416" w14:textId="77777777" w:rsidR="00E27BA1" w:rsidRPr="00E27BA1" w:rsidRDefault="00E27BA1" w:rsidP="00E27BA1">
      <w:pPr>
        <w:tabs>
          <w:tab w:val="left" w:pos="720"/>
          <w:tab w:val="left" w:pos="979"/>
          <w:tab w:val="left" w:pos="1152"/>
        </w:tabs>
        <w:ind w:left="540" w:hanging="90"/>
        <w:jc w:val="both"/>
        <w:outlineLvl w:val="4"/>
        <w:rPr>
          <w:kern w:val="2"/>
        </w:rPr>
      </w:pPr>
      <w:r w:rsidRPr="00E27BA1">
        <w:rPr>
          <w:kern w:val="2"/>
        </w:rPr>
        <w:t>2026-2027 falconry season, 926ER</w:t>
      </w:r>
    </w:p>
    <w:p w14:paraId="1F7A483A" w14:textId="77777777" w:rsidR="00E27BA1" w:rsidRPr="00E27BA1" w:rsidRDefault="00E27BA1" w:rsidP="00E27BA1">
      <w:pPr>
        <w:tabs>
          <w:tab w:val="left" w:pos="720"/>
          <w:tab w:val="left" w:pos="979"/>
          <w:tab w:val="left" w:pos="1152"/>
        </w:tabs>
        <w:ind w:left="450" w:hanging="90"/>
        <w:jc w:val="both"/>
        <w:outlineLvl w:val="4"/>
        <w:rPr>
          <w:kern w:val="2"/>
        </w:rPr>
        <w:sectPr w:rsidR="00E27BA1" w:rsidRPr="00E27BA1" w:rsidSect="00E27BA1">
          <w:footerReference w:type="even" r:id="rId27"/>
          <w:type w:val="continuous"/>
          <w:pgSz w:w="12240" w:h="15840" w:code="1"/>
          <w:pgMar w:top="720" w:right="864" w:bottom="317" w:left="864" w:header="576" w:footer="432" w:gutter="0"/>
          <w:pgNumType w:start="1458"/>
          <w:cols w:num="2" w:space="720"/>
          <w:noEndnote/>
        </w:sectPr>
      </w:pPr>
      <w:r w:rsidRPr="00E27BA1">
        <w:rPr>
          <w:kern w:val="2"/>
        </w:rPr>
        <w:t>Wildlife Rehabilitation Program, 1034R</w:t>
      </w:r>
    </w:p>
    <w:p w14:paraId="31319072" w14:textId="77777777" w:rsidR="00E27BA1" w:rsidRPr="00E27BA1" w:rsidRDefault="00E27BA1" w:rsidP="00E27BA1">
      <w:pPr>
        <w:tabs>
          <w:tab w:val="left" w:pos="720"/>
          <w:tab w:val="left" w:pos="979"/>
          <w:tab w:val="left" w:pos="1152"/>
        </w:tabs>
        <w:ind w:firstLine="360"/>
        <w:jc w:val="both"/>
        <w:outlineLvl w:val="4"/>
        <w:rPr>
          <w:kern w:val="2"/>
        </w:rPr>
      </w:pPr>
    </w:p>
    <w:p w14:paraId="1281545E" w14:textId="77777777" w:rsidR="00E27BA1" w:rsidRDefault="00E27BA1" w:rsidP="00E27BA1"/>
    <w:sectPr w:rsidR="00E27BA1" w:rsidSect="00E27BA1">
      <w:type w:val="continuous"/>
      <w:pgSz w:w="12240" w:h="15840" w:code="1"/>
      <w:pgMar w:top="720" w:right="864" w:bottom="317" w:left="864" w:header="576" w:footer="432" w:gutter="0"/>
      <w:pgNumType w:start="882"/>
      <w:cols w:num="2"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491807" w14:textId="77777777" w:rsidR="006E087C" w:rsidRDefault="006E087C">
      <w:r>
        <w:separator/>
      </w:r>
    </w:p>
  </w:endnote>
  <w:endnote w:type="continuationSeparator" w:id="0">
    <w:p w14:paraId="6879D489" w14:textId="77777777" w:rsidR="006E087C" w:rsidRDefault="006E08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New Century Schlbk">
    <w:altName w:val="Century Schoolbook"/>
    <w:panose1 w:val="00000000000000000000"/>
    <w:charset w:val="4D"/>
    <w:family w:val="auto"/>
    <w:notTrueType/>
    <w:pitch w:val="default"/>
    <w:sig w:usb0="03000000"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72F4F" w14:textId="6BA3C42E" w:rsidR="00943207" w:rsidRDefault="00943207" w:rsidP="005E26A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1306</w:t>
    </w:r>
    <w:r>
      <w:rPr>
        <w:rStyle w:val="PageNumber"/>
      </w:rPr>
      <w:fldChar w:fldCharType="end"/>
    </w:r>
  </w:p>
  <w:p w14:paraId="2C663695" w14:textId="03A88DB1" w:rsidR="00943207" w:rsidRPr="00943207" w:rsidRDefault="00943207" w:rsidP="00943207">
    <w:pPr>
      <w:pStyle w:val="FooterEven"/>
    </w:pPr>
    <w:r>
      <w:t>Louisiana Register   Vol. 52, No. 8   August 20, 2026</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11FB7" w14:textId="77777777" w:rsidR="00FC5566" w:rsidRDefault="00FC5566" w:rsidP="00DD216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1456</w:t>
    </w:r>
    <w:r>
      <w:rPr>
        <w:rStyle w:val="PageNumber"/>
      </w:rPr>
      <w:fldChar w:fldCharType="end"/>
    </w:r>
  </w:p>
  <w:p w14:paraId="4B4A5ACA" w14:textId="77777777" w:rsidR="00FC5566" w:rsidRPr="008F3592" w:rsidRDefault="00FC5566" w:rsidP="008F3592">
    <w:pPr>
      <w:pStyle w:val="FooterEven"/>
    </w:pPr>
    <w:r>
      <w:t>Louisiana Register   Vol. 52, No. 8   August 20, 2026</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B0A29" w14:textId="77777777" w:rsidR="00FC5566" w:rsidRDefault="00FC5566" w:rsidP="00DD216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0616C49" w14:textId="77777777" w:rsidR="00FC5566" w:rsidRPr="008F3592" w:rsidRDefault="00FC5566" w:rsidP="008F3592">
    <w:pPr>
      <w:pStyle w:val="FooterOdd"/>
    </w:pPr>
    <w:r>
      <w:tab/>
      <w:t>Louisiana Register   Vol. 52, No. 8   August 20, 2026</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E5040" w14:textId="3D3D5E70" w:rsidR="00E27BA1" w:rsidRDefault="00E27BA1" w:rsidP="004E7F2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1458</w:t>
    </w:r>
    <w:r>
      <w:rPr>
        <w:rStyle w:val="PageNumber"/>
      </w:rPr>
      <w:fldChar w:fldCharType="end"/>
    </w:r>
  </w:p>
  <w:p w14:paraId="1CA96046" w14:textId="77777777" w:rsidR="00E27BA1" w:rsidRPr="00403BE6" w:rsidRDefault="00E27BA1" w:rsidP="00403BE6">
    <w:pPr>
      <w:pStyle w:val="FooterEven"/>
    </w:pPr>
    <w:r>
      <w:t>Louisiana Register   Vol. 52, No. 8   August 20, 2026</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8B6D3" w14:textId="77777777" w:rsidR="00E27BA1" w:rsidRDefault="00E27BA1" w:rsidP="004E7F2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7BA803D" w14:textId="77777777" w:rsidR="00E27BA1" w:rsidRPr="00403BE6" w:rsidRDefault="00E27BA1" w:rsidP="00403BE6">
    <w:pPr>
      <w:pStyle w:val="FooterOdd"/>
    </w:pPr>
    <w:r>
      <w:tab/>
      <w:t>Louisiana Register   Vol. 52, No. 8   August 20, 2026</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F79C1" w14:textId="0D5F154E" w:rsidR="00E27BA1" w:rsidRDefault="00E27BA1" w:rsidP="00117630">
    <w:pPr>
      <w:pStyle w:val="Footer"/>
      <w:tabs>
        <w:tab w:val="clear" w:pos="4320"/>
        <w:tab w:val="clear" w:pos="8640"/>
        <w:tab w:val="center" w:pos="5256"/>
      </w:tabs>
    </w:pPr>
    <w:r>
      <w:rPr>
        <w:rFonts w:ascii="Arial" w:hAnsi="Arial" w:cs="Arial"/>
        <w:i/>
        <w:iCs/>
        <w:sz w:val="16"/>
      </w:rPr>
      <w:t xml:space="preserve">Louisiana </w:t>
    </w:r>
    <w:proofErr w:type="gramStart"/>
    <w:r>
      <w:rPr>
        <w:rFonts w:ascii="Arial" w:hAnsi="Arial" w:cs="Arial"/>
        <w:i/>
        <w:iCs/>
        <w:sz w:val="16"/>
      </w:rPr>
      <w:t>Register  Vol.</w:t>
    </w:r>
    <w:proofErr w:type="gramEnd"/>
    <w:r>
      <w:rPr>
        <w:rFonts w:ascii="Arial" w:hAnsi="Arial" w:cs="Arial"/>
        <w:i/>
        <w:iCs/>
        <w:sz w:val="16"/>
      </w:rPr>
      <w:t xml:space="preserve"> </w:t>
    </w:r>
    <w:proofErr w:type="gramStart"/>
    <w:r>
      <w:rPr>
        <w:rFonts w:ascii="Arial" w:hAnsi="Arial" w:cs="Arial"/>
        <w:i/>
        <w:iCs/>
        <w:sz w:val="16"/>
      </w:rPr>
      <w:t>52,  No.</w:t>
    </w:r>
    <w:proofErr w:type="gramEnd"/>
    <w:r>
      <w:rPr>
        <w:rFonts w:ascii="Arial" w:hAnsi="Arial" w:cs="Arial"/>
        <w:i/>
        <w:iCs/>
        <w:sz w:val="16"/>
      </w:rPr>
      <w:t xml:space="preserve"> </w:t>
    </w:r>
    <w:proofErr w:type="gramStart"/>
    <w:r w:rsidR="00D63D32">
      <w:rPr>
        <w:rFonts w:ascii="Arial" w:hAnsi="Arial" w:cs="Arial"/>
        <w:i/>
        <w:iCs/>
        <w:sz w:val="16"/>
      </w:rPr>
      <w:t>8</w:t>
    </w:r>
    <w:r>
      <w:rPr>
        <w:rFonts w:ascii="Arial" w:hAnsi="Arial" w:cs="Arial"/>
        <w:i/>
        <w:iCs/>
        <w:sz w:val="16"/>
      </w:rPr>
      <w:t xml:space="preserve">  </w:t>
    </w:r>
    <w:r w:rsidR="00D63D32">
      <w:rPr>
        <w:rFonts w:ascii="Arial" w:hAnsi="Arial" w:cs="Arial"/>
        <w:i/>
        <w:iCs/>
        <w:sz w:val="16"/>
      </w:rPr>
      <w:t>August</w:t>
    </w:r>
    <w:proofErr w:type="gramEnd"/>
    <w:r>
      <w:rPr>
        <w:rFonts w:ascii="Arial" w:hAnsi="Arial" w:cs="Arial"/>
        <w:i/>
        <w:iCs/>
        <w:sz w:val="16"/>
      </w:rPr>
      <w:t xml:space="preserve"> 20, </w:t>
    </w:r>
    <w:proofErr w:type="gramStart"/>
    <w:r>
      <w:rPr>
        <w:rFonts w:ascii="Arial" w:hAnsi="Arial" w:cs="Arial"/>
        <w:i/>
        <w:iCs/>
        <w:sz w:val="16"/>
      </w:rPr>
      <w:t>2026</w:t>
    </w:r>
    <w:proofErr w:type="gramEnd"/>
    <w:r>
      <w:rPr>
        <w:rFonts w:ascii="Arial" w:hAnsi="Arial" w:cs="Arial"/>
        <w:i/>
        <w:iCs/>
        <w:sz w:val="16"/>
      </w:rPr>
      <w:tab/>
    </w:r>
    <w:r>
      <w:fldChar w:fldCharType="begin"/>
    </w:r>
    <w:r>
      <w:instrText xml:space="preserve"> PAGE   \* MERGEFORMAT </w:instrText>
    </w:r>
    <w:r>
      <w:fldChar w:fldCharType="separate"/>
    </w:r>
    <w:r>
      <w:rPr>
        <w:noProof/>
      </w:rPr>
      <w:t>1534</w:t>
    </w:r>
    <w:r>
      <w:rPr>
        <w:noProof/>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F08E5" w14:textId="77777777" w:rsidR="00E27BA1" w:rsidRPr="00117630" w:rsidRDefault="00E27BA1" w:rsidP="00117630">
    <w:pPr>
      <w:pStyle w:val="Footer"/>
      <w:tabs>
        <w:tab w:val="center" w:pos="5256"/>
        <w:tab w:val="left" w:pos="6390"/>
      </w:tabs>
      <w:rPr>
        <w:rFonts w:ascii="Arial" w:hAnsi="Arial" w:cs="Arial"/>
        <w:i/>
        <w:iCs/>
        <w:sz w:val="16"/>
      </w:rPr>
    </w:pPr>
    <w:r>
      <w:tab/>
    </w:r>
    <w:r>
      <w:tab/>
    </w:r>
    <w:r>
      <w:fldChar w:fldCharType="begin"/>
    </w:r>
    <w:r>
      <w:instrText xml:space="preserve"> PAGE   \* MERGEFORMAT </w:instrText>
    </w:r>
    <w:r>
      <w:fldChar w:fldCharType="separate"/>
    </w:r>
    <w:r>
      <w:rPr>
        <w:noProof/>
      </w:rPr>
      <w:t>1541</w:t>
    </w:r>
    <w:r>
      <w:rPr>
        <w:noProof/>
      </w:rPr>
      <w:fldChar w:fldCharType="end"/>
    </w:r>
    <w:r>
      <w:rPr>
        <w:noProof/>
      </w:rPr>
      <w:tab/>
    </w:r>
    <w:r>
      <w:rPr>
        <w:noProof/>
      </w:rPr>
      <w:tab/>
    </w:r>
    <w:r w:rsidRPr="003B042C">
      <w:rPr>
        <w:rFonts w:ascii="Arial" w:hAnsi="Arial" w:cs="Arial"/>
        <w:i/>
        <w:iCs/>
        <w:sz w:val="16"/>
      </w:rPr>
      <w:t>Louisiana Register  Vol. 5</w:t>
    </w:r>
    <w:r>
      <w:rPr>
        <w:rFonts w:ascii="Arial" w:hAnsi="Arial" w:cs="Arial"/>
        <w:i/>
        <w:iCs/>
        <w:sz w:val="16"/>
      </w:rPr>
      <w:t>2</w:t>
    </w:r>
    <w:r w:rsidRPr="003B042C">
      <w:rPr>
        <w:rFonts w:ascii="Arial" w:hAnsi="Arial" w:cs="Arial"/>
        <w:i/>
        <w:iCs/>
        <w:sz w:val="16"/>
      </w:rPr>
      <w:t>,  No.</w:t>
    </w:r>
    <w:r>
      <w:rPr>
        <w:rFonts w:ascii="Arial" w:hAnsi="Arial" w:cs="Arial"/>
        <w:i/>
        <w:iCs/>
        <w:sz w:val="16"/>
      </w:rPr>
      <w:t xml:space="preserve"> 8</w:t>
    </w:r>
    <w:r w:rsidRPr="003B042C">
      <w:rPr>
        <w:rFonts w:ascii="Arial" w:hAnsi="Arial" w:cs="Arial"/>
        <w:i/>
        <w:iCs/>
        <w:sz w:val="16"/>
      </w:rPr>
      <w:t xml:space="preserve">  </w:t>
    </w:r>
    <w:r>
      <w:rPr>
        <w:rFonts w:ascii="Arial" w:hAnsi="Arial" w:cs="Arial"/>
        <w:i/>
        <w:iCs/>
        <w:sz w:val="16"/>
      </w:rPr>
      <w:t xml:space="preserve">August </w:t>
    </w:r>
    <w:r w:rsidRPr="003B042C">
      <w:rPr>
        <w:rFonts w:ascii="Arial" w:hAnsi="Arial" w:cs="Arial"/>
        <w:i/>
        <w:iCs/>
        <w:sz w:val="16"/>
      </w:rPr>
      <w:t>20, 202</w:t>
    </w:r>
    <w:r>
      <w:rPr>
        <w:rFonts w:ascii="Arial" w:hAnsi="Arial" w:cs="Arial"/>
        <w:i/>
        <w:iCs/>
        <w:sz w:val="16"/>
      </w:rPr>
      <w:t>6</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C9DC3" w14:textId="77777777" w:rsidR="00E27BA1" w:rsidRDefault="00E27BA1" w:rsidP="002D798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1540</w:t>
    </w:r>
    <w:r>
      <w:rPr>
        <w:rStyle w:val="PageNumber"/>
      </w:rPr>
      <w:fldChar w:fldCharType="end"/>
    </w:r>
  </w:p>
  <w:p w14:paraId="0FECE8BB" w14:textId="77777777" w:rsidR="00E27BA1" w:rsidRDefault="00E27BA1" w:rsidP="00C14883">
    <w:pPr>
      <w:pStyle w:val="Footer"/>
      <w:tabs>
        <w:tab w:val="clear" w:pos="4320"/>
        <w:tab w:val="clear" w:pos="8640"/>
        <w:tab w:val="center" w:pos="5256"/>
      </w:tabs>
      <w:rPr>
        <w:rFonts w:ascii="Arial" w:hAnsi="Arial" w:cs="Arial"/>
        <w:i/>
        <w:iCs/>
        <w:sz w:val="16"/>
      </w:rPr>
    </w:pPr>
    <w:r>
      <w:rPr>
        <w:rFonts w:ascii="Arial" w:hAnsi="Arial" w:cs="Arial"/>
        <w:i/>
        <w:iCs/>
        <w:sz w:val="16"/>
      </w:rPr>
      <w:t>Louisiana Register  Vol. 52,  No. 8  August 20, 2026</w:t>
    </w:r>
    <w:r>
      <w:rPr>
        <w:rFonts w:ascii="Arial" w:hAnsi="Arial" w:cs="Arial"/>
        <w:i/>
        <w:iCs/>
        <w:sz w:val="16"/>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ED778" w14:textId="1C3D02DE" w:rsidR="00943207" w:rsidRDefault="00943207" w:rsidP="005E26A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C35D5B9" w14:textId="01C057CC" w:rsidR="00943207" w:rsidRPr="00943207" w:rsidRDefault="006219DE" w:rsidP="00943207">
    <w:pPr>
      <w:pStyle w:val="FooterOdd"/>
    </w:pPr>
    <w:r>
      <w:tab/>
    </w:r>
    <w:r w:rsidR="00943207">
      <w:t>Louisiana Register   Vol. 52, No. 8   August 20,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0163B" w14:textId="77777777" w:rsidR="008E0186" w:rsidRDefault="008E0186" w:rsidP="005E26A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1306</w:t>
    </w:r>
    <w:r>
      <w:rPr>
        <w:rStyle w:val="PageNumber"/>
      </w:rPr>
      <w:fldChar w:fldCharType="end"/>
    </w:r>
  </w:p>
  <w:p w14:paraId="28F1BCB0" w14:textId="77777777" w:rsidR="008E0186" w:rsidRPr="00943207" w:rsidRDefault="008E0186" w:rsidP="00943207">
    <w:pPr>
      <w:pStyle w:val="FooterEven"/>
    </w:pPr>
    <w:r>
      <w:t>Louisiana Register   Vol. 52, No. 8   August 20, 2026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E9D41" w14:textId="77777777" w:rsidR="00FC5566" w:rsidRDefault="00FC5566" w:rsidP="005E26A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1320</w:t>
    </w:r>
    <w:r>
      <w:rPr>
        <w:rStyle w:val="PageNumber"/>
      </w:rPr>
      <w:fldChar w:fldCharType="end"/>
    </w:r>
  </w:p>
  <w:p w14:paraId="46A3AD1D" w14:textId="77777777" w:rsidR="00FC5566" w:rsidRPr="000C6F51" w:rsidRDefault="00FC5566" w:rsidP="000C6F51">
    <w:pPr>
      <w:pStyle w:val="FooterEven"/>
    </w:pPr>
    <w:r>
      <w:t>Louisiana Register   Vol. 52, No. 8   August 20, 2026</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B1379" w14:textId="77777777" w:rsidR="00FC5566" w:rsidRDefault="00FC5566" w:rsidP="005E26A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9B6F022" w14:textId="77777777" w:rsidR="00FC5566" w:rsidRPr="000C6F51" w:rsidRDefault="00FC5566" w:rsidP="000C6F51">
    <w:pPr>
      <w:pStyle w:val="FooterOdd"/>
    </w:pPr>
    <w:r>
      <w:tab/>
      <w:t>Louisiana Register   Vol. 52, No. 8   August 20, 2026</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2A607" w14:textId="77777777" w:rsidR="00FC5566" w:rsidRDefault="00FC5566" w:rsidP="00DD216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1326</w:t>
    </w:r>
    <w:r>
      <w:rPr>
        <w:rStyle w:val="PageNumber"/>
      </w:rPr>
      <w:fldChar w:fldCharType="end"/>
    </w:r>
  </w:p>
  <w:p w14:paraId="58D850DB" w14:textId="77777777" w:rsidR="00FC5566" w:rsidRPr="00025B24" w:rsidRDefault="00FC5566" w:rsidP="00025B24">
    <w:pPr>
      <w:pStyle w:val="FooterEven"/>
    </w:pPr>
    <w:r>
      <w:t>Louisiana Register   Vol. 52, No. 8   August 20, 2026</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53645" w14:textId="77777777" w:rsidR="00FC5566" w:rsidRDefault="00FC5566" w:rsidP="00DD216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55FDEA4" w14:textId="77777777" w:rsidR="00FC5566" w:rsidRPr="00025B24" w:rsidRDefault="00FC5566" w:rsidP="00025B24">
    <w:pPr>
      <w:pStyle w:val="FooterOdd"/>
    </w:pPr>
    <w:r>
      <w:tab/>
      <w:t>Louisiana Register   Vol. 52, No. 8   August 20, 2026</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CF557" w14:textId="77777777" w:rsidR="00FC5566" w:rsidRDefault="00FC5566" w:rsidP="00DD216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1398</w:t>
    </w:r>
    <w:r>
      <w:rPr>
        <w:rStyle w:val="PageNumber"/>
      </w:rPr>
      <w:fldChar w:fldCharType="end"/>
    </w:r>
  </w:p>
  <w:p w14:paraId="574CC9EB" w14:textId="77777777" w:rsidR="00FC5566" w:rsidRPr="00DA640B" w:rsidRDefault="00FC5566" w:rsidP="00DA640B">
    <w:pPr>
      <w:pStyle w:val="FooterEven"/>
    </w:pPr>
    <w:r>
      <w:t>Louisiana Register   Vol. 52, No. 8   August 20, 2026</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BA716" w14:textId="77777777" w:rsidR="00FC5566" w:rsidRDefault="00FC5566" w:rsidP="00DD216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F95DA0C" w14:textId="77777777" w:rsidR="00FC5566" w:rsidRPr="00DA640B" w:rsidRDefault="00FC5566" w:rsidP="00DA640B">
    <w:pPr>
      <w:pStyle w:val="FooterOdd"/>
    </w:pPr>
    <w:r>
      <w:tab/>
      <w:t>Louisiana Register   Vol. 52, No. 8   August 20,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B68B6A" w14:textId="77777777" w:rsidR="006E087C" w:rsidRDefault="006E087C">
      <w:r>
        <w:separator/>
      </w:r>
    </w:p>
  </w:footnote>
  <w:footnote w:type="continuationSeparator" w:id="0">
    <w:p w14:paraId="257EF85F" w14:textId="77777777" w:rsidR="006E087C" w:rsidRDefault="006E08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703BF"/>
    <w:multiLevelType w:val="hybridMultilevel"/>
    <w:tmpl w:val="EBB2BA0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28784E"/>
    <w:multiLevelType w:val="hybridMultilevel"/>
    <w:tmpl w:val="806AF4C0"/>
    <w:lvl w:ilvl="0" w:tplc="AA2AA446">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6E52E50"/>
    <w:multiLevelType w:val="hybridMultilevel"/>
    <w:tmpl w:val="CC58E14E"/>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3" w15:restartNumberingAfterBreak="0">
    <w:nsid w:val="12087A6B"/>
    <w:multiLevelType w:val="multilevel"/>
    <w:tmpl w:val="64380E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141D3FA6"/>
    <w:multiLevelType w:val="hybridMultilevel"/>
    <w:tmpl w:val="392CD652"/>
    <w:lvl w:ilvl="0" w:tplc="681C81A0">
      <w:start w:val="1"/>
      <w:numFmt w:val="upperLetter"/>
      <w:lvlText w:val="%1."/>
      <w:lvlJc w:val="left"/>
      <w:pPr>
        <w:ind w:left="547" w:hanging="360"/>
      </w:pPr>
      <w:rPr>
        <w:rFonts w:hint="default"/>
      </w:rPr>
    </w:lvl>
    <w:lvl w:ilvl="1" w:tplc="04090019" w:tentative="1">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5" w15:restartNumberingAfterBreak="0">
    <w:nsid w:val="1A835145"/>
    <w:multiLevelType w:val="hybridMultilevel"/>
    <w:tmpl w:val="36CA628C"/>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6" w15:restartNumberingAfterBreak="0">
    <w:nsid w:val="1ABE302B"/>
    <w:multiLevelType w:val="hybridMultilevel"/>
    <w:tmpl w:val="CE6EE1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D44E26"/>
    <w:multiLevelType w:val="hybridMultilevel"/>
    <w:tmpl w:val="37D682A2"/>
    <w:lvl w:ilvl="0" w:tplc="9F4EEE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FD554A4"/>
    <w:multiLevelType w:val="hybridMultilevel"/>
    <w:tmpl w:val="250EEC3C"/>
    <w:lvl w:ilvl="0" w:tplc="04090001">
      <w:start w:val="1"/>
      <w:numFmt w:val="bullet"/>
      <w:lvlText w:val=""/>
      <w:lvlJc w:val="left"/>
      <w:pPr>
        <w:ind w:left="1289" w:hanging="360"/>
      </w:pPr>
      <w:rPr>
        <w:rFonts w:ascii="Symbol" w:hAnsi="Symbol" w:hint="default"/>
      </w:rPr>
    </w:lvl>
    <w:lvl w:ilvl="1" w:tplc="04090003" w:tentative="1">
      <w:start w:val="1"/>
      <w:numFmt w:val="bullet"/>
      <w:lvlText w:val="o"/>
      <w:lvlJc w:val="left"/>
      <w:pPr>
        <w:ind w:left="2009" w:hanging="360"/>
      </w:pPr>
      <w:rPr>
        <w:rFonts w:ascii="Courier New" w:hAnsi="Courier New" w:cs="Courier New" w:hint="default"/>
      </w:rPr>
    </w:lvl>
    <w:lvl w:ilvl="2" w:tplc="04090005" w:tentative="1">
      <w:start w:val="1"/>
      <w:numFmt w:val="bullet"/>
      <w:lvlText w:val=""/>
      <w:lvlJc w:val="left"/>
      <w:pPr>
        <w:ind w:left="2729" w:hanging="360"/>
      </w:pPr>
      <w:rPr>
        <w:rFonts w:ascii="Wingdings" w:hAnsi="Wingdings" w:hint="default"/>
      </w:rPr>
    </w:lvl>
    <w:lvl w:ilvl="3" w:tplc="04090001" w:tentative="1">
      <w:start w:val="1"/>
      <w:numFmt w:val="bullet"/>
      <w:lvlText w:val=""/>
      <w:lvlJc w:val="left"/>
      <w:pPr>
        <w:ind w:left="3449" w:hanging="360"/>
      </w:pPr>
      <w:rPr>
        <w:rFonts w:ascii="Symbol" w:hAnsi="Symbol" w:hint="default"/>
      </w:rPr>
    </w:lvl>
    <w:lvl w:ilvl="4" w:tplc="04090003" w:tentative="1">
      <w:start w:val="1"/>
      <w:numFmt w:val="bullet"/>
      <w:lvlText w:val="o"/>
      <w:lvlJc w:val="left"/>
      <w:pPr>
        <w:ind w:left="4169" w:hanging="360"/>
      </w:pPr>
      <w:rPr>
        <w:rFonts w:ascii="Courier New" w:hAnsi="Courier New" w:cs="Courier New" w:hint="default"/>
      </w:rPr>
    </w:lvl>
    <w:lvl w:ilvl="5" w:tplc="04090005" w:tentative="1">
      <w:start w:val="1"/>
      <w:numFmt w:val="bullet"/>
      <w:lvlText w:val=""/>
      <w:lvlJc w:val="left"/>
      <w:pPr>
        <w:ind w:left="4889" w:hanging="360"/>
      </w:pPr>
      <w:rPr>
        <w:rFonts w:ascii="Wingdings" w:hAnsi="Wingdings" w:hint="default"/>
      </w:rPr>
    </w:lvl>
    <w:lvl w:ilvl="6" w:tplc="04090001" w:tentative="1">
      <w:start w:val="1"/>
      <w:numFmt w:val="bullet"/>
      <w:lvlText w:val=""/>
      <w:lvlJc w:val="left"/>
      <w:pPr>
        <w:ind w:left="5609" w:hanging="360"/>
      </w:pPr>
      <w:rPr>
        <w:rFonts w:ascii="Symbol" w:hAnsi="Symbol" w:hint="default"/>
      </w:rPr>
    </w:lvl>
    <w:lvl w:ilvl="7" w:tplc="04090003" w:tentative="1">
      <w:start w:val="1"/>
      <w:numFmt w:val="bullet"/>
      <w:lvlText w:val="o"/>
      <w:lvlJc w:val="left"/>
      <w:pPr>
        <w:ind w:left="6329" w:hanging="360"/>
      </w:pPr>
      <w:rPr>
        <w:rFonts w:ascii="Courier New" w:hAnsi="Courier New" w:cs="Courier New" w:hint="default"/>
      </w:rPr>
    </w:lvl>
    <w:lvl w:ilvl="8" w:tplc="04090005" w:tentative="1">
      <w:start w:val="1"/>
      <w:numFmt w:val="bullet"/>
      <w:lvlText w:val=""/>
      <w:lvlJc w:val="left"/>
      <w:pPr>
        <w:ind w:left="7049" w:hanging="360"/>
      </w:pPr>
      <w:rPr>
        <w:rFonts w:ascii="Wingdings" w:hAnsi="Wingdings" w:hint="default"/>
      </w:rPr>
    </w:lvl>
  </w:abstractNum>
  <w:abstractNum w:abstractNumId="9" w15:restartNumberingAfterBreak="0">
    <w:nsid w:val="1FDA2188"/>
    <w:multiLevelType w:val="hybridMultilevel"/>
    <w:tmpl w:val="C4FA294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E47860"/>
    <w:multiLevelType w:val="hybridMultilevel"/>
    <w:tmpl w:val="029A3C04"/>
    <w:lvl w:ilvl="0" w:tplc="FAE6F9C0">
      <w:start w:val="1"/>
      <w:numFmt w:val="upp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1" w15:restartNumberingAfterBreak="0">
    <w:nsid w:val="270820C2"/>
    <w:multiLevelType w:val="hybridMultilevel"/>
    <w:tmpl w:val="2DBE37BA"/>
    <w:lvl w:ilvl="0" w:tplc="30BAD782">
      <w:start w:val="1"/>
      <w:numFmt w:val="upperLetter"/>
      <w:lvlText w:val="%1."/>
      <w:lvlJc w:val="left"/>
      <w:pPr>
        <w:ind w:left="547" w:hanging="360"/>
      </w:pPr>
      <w:rPr>
        <w:rFonts w:hint="default"/>
      </w:rPr>
    </w:lvl>
    <w:lvl w:ilvl="1" w:tplc="04090019" w:tentative="1">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12" w15:restartNumberingAfterBreak="0">
    <w:nsid w:val="2B1A4461"/>
    <w:multiLevelType w:val="hybridMultilevel"/>
    <w:tmpl w:val="0EBA446C"/>
    <w:lvl w:ilvl="0" w:tplc="2A8224E0">
      <w:start w:val="1"/>
      <w:numFmt w:val="upperLetter"/>
      <w:lvlText w:val="%1."/>
      <w:lvlJc w:val="left"/>
      <w:pPr>
        <w:ind w:left="547" w:hanging="360"/>
      </w:pPr>
      <w:rPr>
        <w:rFonts w:hint="default"/>
      </w:rPr>
    </w:lvl>
    <w:lvl w:ilvl="1" w:tplc="04090019" w:tentative="1">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13" w15:restartNumberingAfterBreak="0">
    <w:nsid w:val="2F631E71"/>
    <w:multiLevelType w:val="hybridMultilevel"/>
    <w:tmpl w:val="56FC86B2"/>
    <w:lvl w:ilvl="0" w:tplc="F0A8E65E">
      <w:start w:val="1"/>
      <w:numFmt w:val="lowerLetter"/>
      <w:lvlText w:val="%1."/>
      <w:lvlJc w:val="left"/>
      <w:pPr>
        <w:ind w:left="319" w:hanging="212"/>
      </w:pPr>
      <w:rPr>
        <w:rFonts w:ascii="Calibri" w:eastAsia="Times New Roman" w:hAnsi="Calibri" w:cs="Calibri" w:hint="default"/>
        <w:b w:val="0"/>
        <w:bCs w:val="0"/>
        <w:i w:val="0"/>
        <w:iCs w:val="0"/>
        <w:spacing w:val="0"/>
        <w:w w:val="100"/>
        <w:sz w:val="16"/>
        <w:szCs w:val="16"/>
        <w:lang w:val="en-US" w:eastAsia="en-US" w:bidi="ar-SA"/>
      </w:rPr>
    </w:lvl>
    <w:lvl w:ilvl="1" w:tplc="E2928F0C">
      <w:numFmt w:val="bullet"/>
      <w:lvlText w:val="•"/>
      <w:lvlJc w:val="left"/>
      <w:pPr>
        <w:ind w:left="977" w:hanging="212"/>
      </w:pPr>
      <w:rPr>
        <w:rFonts w:hint="default"/>
        <w:lang w:val="en-US" w:eastAsia="en-US" w:bidi="ar-SA"/>
      </w:rPr>
    </w:lvl>
    <w:lvl w:ilvl="2" w:tplc="35AC6A0E">
      <w:numFmt w:val="bullet"/>
      <w:lvlText w:val="•"/>
      <w:lvlJc w:val="left"/>
      <w:pPr>
        <w:ind w:left="1634" w:hanging="212"/>
      </w:pPr>
      <w:rPr>
        <w:rFonts w:hint="default"/>
        <w:lang w:val="en-US" w:eastAsia="en-US" w:bidi="ar-SA"/>
      </w:rPr>
    </w:lvl>
    <w:lvl w:ilvl="3" w:tplc="03960044">
      <w:numFmt w:val="bullet"/>
      <w:lvlText w:val="•"/>
      <w:lvlJc w:val="left"/>
      <w:pPr>
        <w:ind w:left="2291" w:hanging="212"/>
      </w:pPr>
      <w:rPr>
        <w:rFonts w:hint="default"/>
        <w:lang w:val="en-US" w:eastAsia="en-US" w:bidi="ar-SA"/>
      </w:rPr>
    </w:lvl>
    <w:lvl w:ilvl="4" w:tplc="9BE669DA">
      <w:numFmt w:val="bullet"/>
      <w:lvlText w:val="•"/>
      <w:lvlJc w:val="left"/>
      <w:pPr>
        <w:ind w:left="2948" w:hanging="212"/>
      </w:pPr>
      <w:rPr>
        <w:rFonts w:hint="default"/>
        <w:lang w:val="en-US" w:eastAsia="en-US" w:bidi="ar-SA"/>
      </w:rPr>
    </w:lvl>
    <w:lvl w:ilvl="5" w:tplc="49F80328">
      <w:numFmt w:val="bullet"/>
      <w:lvlText w:val="•"/>
      <w:lvlJc w:val="left"/>
      <w:pPr>
        <w:ind w:left="3606" w:hanging="212"/>
      </w:pPr>
      <w:rPr>
        <w:rFonts w:hint="default"/>
        <w:lang w:val="en-US" w:eastAsia="en-US" w:bidi="ar-SA"/>
      </w:rPr>
    </w:lvl>
    <w:lvl w:ilvl="6" w:tplc="8E2CB48E">
      <w:numFmt w:val="bullet"/>
      <w:lvlText w:val="•"/>
      <w:lvlJc w:val="left"/>
      <w:pPr>
        <w:ind w:left="4263" w:hanging="212"/>
      </w:pPr>
      <w:rPr>
        <w:rFonts w:hint="default"/>
        <w:lang w:val="en-US" w:eastAsia="en-US" w:bidi="ar-SA"/>
      </w:rPr>
    </w:lvl>
    <w:lvl w:ilvl="7" w:tplc="1B445B0E">
      <w:numFmt w:val="bullet"/>
      <w:lvlText w:val="•"/>
      <w:lvlJc w:val="left"/>
      <w:pPr>
        <w:ind w:left="4920" w:hanging="212"/>
      </w:pPr>
      <w:rPr>
        <w:rFonts w:hint="default"/>
        <w:lang w:val="en-US" w:eastAsia="en-US" w:bidi="ar-SA"/>
      </w:rPr>
    </w:lvl>
    <w:lvl w:ilvl="8" w:tplc="AFD6393C">
      <w:numFmt w:val="bullet"/>
      <w:lvlText w:val="•"/>
      <w:lvlJc w:val="left"/>
      <w:pPr>
        <w:ind w:left="5577" w:hanging="212"/>
      </w:pPr>
      <w:rPr>
        <w:rFonts w:hint="default"/>
        <w:lang w:val="en-US" w:eastAsia="en-US" w:bidi="ar-SA"/>
      </w:rPr>
    </w:lvl>
  </w:abstractNum>
  <w:abstractNum w:abstractNumId="14" w15:restartNumberingAfterBreak="0">
    <w:nsid w:val="310C59EB"/>
    <w:multiLevelType w:val="hybridMultilevel"/>
    <w:tmpl w:val="B7F0F4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2385A52"/>
    <w:multiLevelType w:val="hybridMultilevel"/>
    <w:tmpl w:val="F8209DF0"/>
    <w:lvl w:ilvl="0" w:tplc="6030939A">
      <w:start w:val="1"/>
      <w:numFmt w:val="upperLetter"/>
      <w:lvlText w:val="%1."/>
      <w:lvlJc w:val="left"/>
      <w:pPr>
        <w:ind w:left="547" w:hanging="360"/>
      </w:pPr>
      <w:rPr>
        <w:rFonts w:hint="default"/>
      </w:rPr>
    </w:lvl>
    <w:lvl w:ilvl="1" w:tplc="04090019" w:tentative="1">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16" w15:restartNumberingAfterBreak="0">
    <w:nsid w:val="3713244F"/>
    <w:multiLevelType w:val="hybridMultilevel"/>
    <w:tmpl w:val="18EC8444"/>
    <w:lvl w:ilvl="0" w:tplc="BCF0EF82">
      <w:start w:val="1"/>
      <w:numFmt w:val="upperLetter"/>
      <w:lvlText w:val="%1."/>
      <w:lvlJc w:val="left"/>
      <w:pPr>
        <w:ind w:left="547" w:hanging="360"/>
      </w:pPr>
      <w:rPr>
        <w:rFonts w:hint="default"/>
        <w:b w:val="0"/>
      </w:rPr>
    </w:lvl>
    <w:lvl w:ilvl="1" w:tplc="04090019" w:tentative="1">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17" w15:restartNumberingAfterBreak="0">
    <w:nsid w:val="400A7565"/>
    <w:multiLevelType w:val="hybridMultilevel"/>
    <w:tmpl w:val="4934E6F4"/>
    <w:lvl w:ilvl="0" w:tplc="FCC4962A">
      <w:start w:val="1"/>
      <w:numFmt w:val="lowerLetter"/>
      <w:lvlText w:val="%1."/>
      <w:lvlJc w:val="lef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8" w15:restartNumberingAfterBreak="0">
    <w:nsid w:val="42FA385C"/>
    <w:multiLevelType w:val="hybridMultilevel"/>
    <w:tmpl w:val="3CA62718"/>
    <w:lvl w:ilvl="0" w:tplc="3A52C0C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37360AD"/>
    <w:multiLevelType w:val="hybridMultilevel"/>
    <w:tmpl w:val="0360F2F8"/>
    <w:lvl w:ilvl="0" w:tplc="CF8CC932">
      <w:start w:val="1"/>
      <w:numFmt w:val="upperLetter"/>
      <w:lvlText w:val="%1."/>
      <w:lvlJc w:val="left"/>
      <w:pPr>
        <w:ind w:left="547" w:hanging="360"/>
      </w:pPr>
      <w:rPr>
        <w:rFonts w:hint="default"/>
      </w:rPr>
    </w:lvl>
    <w:lvl w:ilvl="1" w:tplc="04090019" w:tentative="1">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20" w15:restartNumberingAfterBreak="0">
    <w:nsid w:val="49021717"/>
    <w:multiLevelType w:val="hybridMultilevel"/>
    <w:tmpl w:val="532A085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C325B17"/>
    <w:multiLevelType w:val="hybridMultilevel"/>
    <w:tmpl w:val="D6A627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32E641C"/>
    <w:multiLevelType w:val="hybridMultilevel"/>
    <w:tmpl w:val="E4147392"/>
    <w:lvl w:ilvl="0" w:tplc="281E94B6">
      <w:start w:val="1"/>
      <w:numFmt w:val="upperLetter"/>
      <w:lvlText w:val="%1."/>
      <w:lvlJc w:val="left"/>
      <w:pPr>
        <w:ind w:left="450" w:hanging="360"/>
      </w:pPr>
      <w:rPr>
        <w:rFonts w:hint="default"/>
        <w:b w: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3" w15:restartNumberingAfterBreak="0">
    <w:nsid w:val="549E09F9"/>
    <w:multiLevelType w:val="hybridMultilevel"/>
    <w:tmpl w:val="B27E29DE"/>
    <w:lvl w:ilvl="0" w:tplc="70FAA9C2">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4DB1133"/>
    <w:multiLevelType w:val="hybridMultilevel"/>
    <w:tmpl w:val="EF621158"/>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64306C0"/>
    <w:multiLevelType w:val="multilevel"/>
    <w:tmpl w:val="339C63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6272F25"/>
    <w:multiLevelType w:val="hybridMultilevel"/>
    <w:tmpl w:val="1592D86A"/>
    <w:lvl w:ilvl="0" w:tplc="F4121800">
      <w:start w:val="1"/>
      <w:numFmt w:val="upp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7" w15:restartNumberingAfterBreak="0">
    <w:nsid w:val="689C0838"/>
    <w:multiLevelType w:val="hybridMultilevel"/>
    <w:tmpl w:val="876CD5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274252E"/>
    <w:multiLevelType w:val="hybridMultilevel"/>
    <w:tmpl w:val="359E39B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72DA6899"/>
    <w:multiLevelType w:val="hybridMultilevel"/>
    <w:tmpl w:val="9EE8B47C"/>
    <w:lvl w:ilvl="0" w:tplc="F70C455E">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B4434C0"/>
    <w:multiLevelType w:val="hybridMultilevel"/>
    <w:tmpl w:val="C168360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CC26FF4"/>
    <w:multiLevelType w:val="hybridMultilevel"/>
    <w:tmpl w:val="6ADC0FD0"/>
    <w:lvl w:ilvl="0" w:tplc="FAE6F9C0">
      <w:start w:val="1"/>
      <w:numFmt w:val="upperLetter"/>
      <w:lvlText w:val="%1."/>
      <w:lvlJc w:val="left"/>
      <w:pPr>
        <w:ind w:left="1059" w:hanging="360"/>
      </w:pPr>
      <w:rPr>
        <w:rFonts w:hint="default"/>
      </w:rPr>
    </w:lvl>
    <w:lvl w:ilvl="1" w:tplc="04090019" w:tentative="1">
      <w:start w:val="1"/>
      <w:numFmt w:val="lowerLetter"/>
      <w:lvlText w:val="%2."/>
      <w:lvlJc w:val="left"/>
      <w:pPr>
        <w:ind w:left="1779" w:hanging="360"/>
      </w:pPr>
    </w:lvl>
    <w:lvl w:ilvl="2" w:tplc="0409001B" w:tentative="1">
      <w:start w:val="1"/>
      <w:numFmt w:val="lowerRoman"/>
      <w:lvlText w:val="%3."/>
      <w:lvlJc w:val="right"/>
      <w:pPr>
        <w:ind w:left="2499" w:hanging="180"/>
      </w:pPr>
    </w:lvl>
    <w:lvl w:ilvl="3" w:tplc="0409000F" w:tentative="1">
      <w:start w:val="1"/>
      <w:numFmt w:val="decimal"/>
      <w:lvlText w:val="%4."/>
      <w:lvlJc w:val="left"/>
      <w:pPr>
        <w:ind w:left="3219" w:hanging="360"/>
      </w:pPr>
    </w:lvl>
    <w:lvl w:ilvl="4" w:tplc="04090019" w:tentative="1">
      <w:start w:val="1"/>
      <w:numFmt w:val="lowerLetter"/>
      <w:lvlText w:val="%5."/>
      <w:lvlJc w:val="left"/>
      <w:pPr>
        <w:ind w:left="3939" w:hanging="360"/>
      </w:pPr>
    </w:lvl>
    <w:lvl w:ilvl="5" w:tplc="0409001B" w:tentative="1">
      <w:start w:val="1"/>
      <w:numFmt w:val="lowerRoman"/>
      <w:lvlText w:val="%6."/>
      <w:lvlJc w:val="right"/>
      <w:pPr>
        <w:ind w:left="4659" w:hanging="180"/>
      </w:pPr>
    </w:lvl>
    <w:lvl w:ilvl="6" w:tplc="0409000F" w:tentative="1">
      <w:start w:val="1"/>
      <w:numFmt w:val="decimal"/>
      <w:lvlText w:val="%7."/>
      <w:lvlJc w:val="left"/>
      <w:pPr>
        <w:ind w:left="5379" w:hanging="360"/>
      </w:pPr>
    </w:lvl>
    <w:lvl w:ilvl="7" w:tplc="04090019" w:tentative="1">
      <w:start w:val="1"/>
      <w:numFmt w:val="lowerLetter"/>
      <w:lvlText w:val="%8."/>
      <w:lvlJc w:val="left"/>
      <w:pPr>
        <w:ind w:left="6099" w:hanging="360"/>
      </w:pPr>
    </w:lvl>
    <w:lvl w:ilvl="8" w:tplc="0409001B" w:tentative="1">
      <w:start w:val="1"/>
      <w:numFmt w:val="lowerRoman"/>
      <w:lvlText w:val="%9."/>
      <w:lvlJc w:val="right"/>
      <w:pPr>
        <w:ind w:left="6819" w:hanging="180"/>
      </w:pPr>
    </w:lvl>
  </w:abstractNum>
  <w:abstractNum w:abstractNumId="32" w15:restartNumberingAfterBreak="0">
    <w:nsid w:val="7D3C2FE4"/>
    <w:multiLevelType w:val="hybridMultilevel"/>
    <w:tmpl w:val="7A128CA4"/>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79466486">
    <w:abstractNumId w:val="8"/>
  </w:num>
  <w:num w:numId="2" w16cid:durableId="1232501315">
    <w:abstractNumId w:val="26"/>
  </w:num>
  <w:num w:numId="3" w16cid:durableId="1844857662">
    <w:abstractNumId w:val="7"/>
  </w:num>
  <w:num w:numId="4" w16cid:durableId="859658682">
    <w:abstractNumId w:val="29"/>
  </w:num>
  <w:num w:numId="5" w16cid:durableId="262691345">
    <w:abstractNumId w:val="23"/>
  </w:num>
  <w:num w:numId="6" w16cid:durableId="1689260052">
    <w:abstractNumId w:val="16"/>
  </w:num>
  <w:num w:numId="7" w16cid:durableId="11599988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83479264">
    <w:abstractNumId w:val="22"/>
  </w:num>
  <w:num w:numId="9" w16cid:durableId="1064912192">
    <w:abstractNumId w:val="17"/>
  </w:num>
  <w:num w:numId="10" w16cid:durableId="301814615">
    <w:abstractNumId w:val="28"/>
  </w:num>
  <w:num w:numId="11" w16cid:durableId="1879125297">
    <w:abstractNumId w:val="0"/>
  </w:num>
  <w:num w:numId="12" w16cid:durableId="34812310">
    <w:abstractNumId w:val="30"/>
  </w:num>
  <w:num w:numId="13" w16cid:durableId="968361409">
    <w:abstractNumId w:val="14"/>
  </w:num>
  <w:num w:numId="14" w16cid:durableId="1471940928">
    <w:abstractNumId w:val="20"/>
  </w:num>
  <w:num w:numId="15" w16cid:durableId="550775437">
    <w:abstractNumId w:val="21"/>
  </w:num>
  <w:num w:numId="16" w16cid:durableId="2009215012">
    <w:abstractNumId w:val="10"/>
  </w:num>
  <w:num w:numId="17" w16cid:durableId="1792282176">
    <w:abstractNumId w:val="19"/>
  </w:num>
  <w:num w:numId="18" w16cid:durableId="250510060">
    <w:abstractNumId w:val="12"/>
  </w:num>
  <w:num w:numId="19" w16cid:durableId="1644460067">
    <w:abstractNumId w:val="27"/>
  </w:num>
  <w:num w:numId="20" w16cid:durableId="668220570">
    <w:abstractNumId w:val="1"/>
  </w:num>
  <w:num w:numId="21" w16cid:durableId="1037000948">
    <w:abstractNumId w:val="9"/>
  </w:num>
  <w:num w:numId="22" w16cid:durableId="1540776166">
    <w:abstractNumId w:val="4"/>
  </w:num>
  <w:num w:numId="23" w16cid:durableId="1702977866">
    <w:abstractNumId w:val="31"/>
  </w:num>
  <w:num w:numId="24" w16cid:durableId="1381973521">
    <w:abstractNumId w:val="11"/>
  </w:num>
  <w:num w:numId="25" w16cid:durableId="1912697233">
    <w:abstractNumId w:val="15"/>
  </w:num>
  <w:num w:numId="26" w16cid:durableId="1526824535">
    <w:abstractNumId w:val="6"/>
  </w:num>
  <w:num w:numId="27" w16cid:durableId="1751348199">
    <w:abstractNumId w:val="32"/>
  </w:num>
  <w:num w:numId="28" w16cid:durableId="1546912533">
    <w:abstractNumId w:val="13"/>
  </w:num>
  <w:num w:numId="29" w16cid:durableId="1359039053">
    <w:abstractNumId w:val="18"/>
  </w:num>
  <w:num w:numId="30" w16cid:durableId="584874740">
    <w:abstractNumId w:val="25"/>
  </w:num>
  <w:num w:numId="31" w16cid:durableId="1062606969">
    <w:abstractNumId w:val="2"/>
  </w:num>
  <w:num w:numId="32" w16cid:durableId="372269146">
    <w:abstractNumId w:val="5"/>
  </w:num>
  <w:num w:numId="33" w16cid:durableId="214134067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mirrorMargins/>
  <w:activeWritingStyle w:appName="MSWord" w:lang="en-US" w:vendorID="8" w:dllVersion="513" w:checkStyle="1"/>
  <w:proofState w:spelling="clean" w:grammar="clean"/>
  <w:attachedTemplate r:id="rId1"/>
  <w:documentProtection w:edit="readOnly" w:enforcement="1" w:cryptProviderType="rsaAES" w:cryptAlgorithmClass="hash" w:cryptAlgorithmType="typeAny" w:cryptAlgorithmSid="14" w:cryptSpinCount="100000" w:hash="Nxm+GbvEj7fpBCWg5ypfOj7QpLAbkOxvrH1zrEO3Oes8rbEc3Krq9Xp3/gZhi27r6GUm0yayEghMOUTEzFNkJA==" w:salt="6y2iSmxmGF2vxZBoQyUPrg=="/>
  <w:defaultTabStop w:val="72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hosenDepartment" w:val="Chosen Department"/>
    <w:docVar w:name="ChosenSubDepartment" w:val="Chosen SubDepartment"/>
    <w:docVar w:name="CreationDate" w:val="4/18/99 11:13:16 PM"/>
    <w:docVar w:name="Dept(0)" w:val="Agriculture and Forestry, Department of%%%(none)@@@Department of Agriculture and Forestry"/>
    <w:docVar w:name="Dept(1)" w:val="Civil Service, Department of%%%(none)@@@Department of Civil Service"/>
    <w:docVar w:name="Dept(10)" w:val="Justice, Department of%%%(none)@@@Department of Justice"/>
    <w:docVar w:name="Dept(100)" w:val="State, Department of%%%Division of Archives, Records Management and History@@@Department of the State"/>
    <w:docVar w:name="Dept(101)" w:val="Division of Administration%%%Office of State Purchasing@@@Office of the Governor  Division of Administration"/>
    <w:docVar w:name="Dept(102)" w:val="Agriculture and Forestry, Department of%%%Office of the Commissioner@@@Department of Agriculture and Forestry"/>
    <w:docVar w:name="Dept(103)" w:val="Governor, Office of the%%%Board of Certified Public Accountants of Louisiana@@@Office of the Governor"/>
    <w:docVar w:name="Dept(104)" w:val="River Port Pilot Commissioners%%%Board of River Port Pilot Commissioners@@@Office of the Governor"/>
    <w:docVar w:name="Dept(105)" w:val="River Port Pilot Commissioners%%%Board of River Port Pilot Commissioners@@@Office of the Governor"/>
    <w:docVar w:name="Dept(106)" w:val="River Port Pilot Commissioners and Examiners%%%Board of River Port Pilot Commissioners@@@Office of the Governor"/>
    <w:docVar w:name="Dept(107)" w:val="Division of Administration%%%Office of State Travel@@@Office of the Governor  Division of Administration"/>
    <w:docVar w:name="Dept(108)" w:val="Bar Pilots%%%(none)@@@Board of River Port Pilot Commissioners"/>
    <w:docVar w:name="Dept(109)" w:val="Health and Hospitals, Department of%%%Board of Electrolysis Examiners@@@Department of Health and Hospitals"/>
    <w:docVar w:name="Dept(11)" w:val="Governor, Office of%%%Division of Administration@@@Office of the Governor"/>
    <w:docVar w:name="Dept(110)" w:val="Health and Hospitals, Department of%%%Board of Certified Social Work Examiners@@@Department of Health and Hospitals"/>
    <w:docVar w:name="Dept(111)" w:val="Health and Hospitals, Department of%%%Board of Pharmacy@@@Department of Health and Hospitals"/>
    <w:docVar w:name="Dept(112)" w:val="Environmental Quality, Department of%%%Office of Environmental Assessment    Environmental  Planning Division@@@Department of Environmental Quality"/>
    <w:docVar w:name="Dept(113)" w:val="Bar Pilots%%%Board of Examiners of Bar Pilots for the Port of New Orleans@@@Associated Branch Pilots"/>
    <w:docVar w:name="Dept(114)" w:val="Agriculture and Forestry, Department of%%%Office of Forestry@@@Department of Agriculture and Forestry"/>
    <w:docVar w:name="Dept(115)" w:val="LSU Health Sciences Center%%%Health Care Services Division@@@LSU Health Sciences Center"/>
    <w:docVar w:name="Dept(116)" w:val="Revenue, Department of%%%Office of Charitable Gaming@@@Department of Revenue"/>
    <w:docVar w:name="Dept(117)" w:val="Division of Administration%%%Racing Commission@@@Office of the Governor  Division of Administration"/>
    <w:docVar w:name="Dept(118)" w:val="Agriculture and Forestry, Department of%%%Horticulture Commission@@@Department of Agriculture and Forestry"/>
    <w:docVar w:name="Dept(119)" w:val="Health and Hospitals, Department of%%%Board of Examiners for Sanitarians@@@Department of Health and Hospitals"/>
    <w:docVar w:name="Dept(12)" w:val="Health and Hospitals, Department of%%%Board of Veterinary Medicine@@@Department of Health and Hospitals"/>
    <w:docVar w:name="Dept(120)" w:val="Health and Hospitals, Department of%%%Board of Dentistry@@@Department of Health and Hospitals"/>
    <w:docVar w:name="Dept(121)" w:val="Governor, Office of the%%%Commission on Law Enforcement and Administration of Criminal Justice@@@Office of the Governor"/>
    <w:docVar w:name="Dept(122)" w:val="Transportation and Development, Department of%%%Office of Weights and Measures@@@Department of Transportation and Development"/>
    <w:docVar w:name="Dept(123)" w:val="Governor, Office of the%%%Racing Commisison@@@Office of the Govenor  Division of Administration"/>
    <w:docVar w:name="Dept(124)" w:val="Treasury, Department of%%%Board of Trustees of the Louisiana State Employees' Retirement System@@@Department of Treasury"/>
    <w:docVar w:name="Dept(125)" w:val="Regents%%%Office of Student Financial Assistance@@@Board of Regents"/>
    <w:docVar w:name="Dept(126)" w:val="Workforce Commission%%%Office of Workers' Compensation@@@Workforce Commission"/>
    <w:docVar w:name="Dept(127)" w:val="Governor, Office of the%%%Boxing and Wrestling Commission@@@Office of the Governor"/>
    <w:docVar w:name="Dept(128)" w:val="Children and Family Services%%%Licensing Section@@@Department of Children and Family Services"/>
    <w:docVar w:name="Dept(129)" w:val="Governor, Office of the%%%Patient's Compensation Fund Oversight Board@@@Office of the Governor"/>
    <w:docVar w:name="Dept(13)" w:val="Agriculture and Forestry, Department of%%%Office of Animal Health Services@@@Department of Agriculture and Forestry"/>
    <w:docVar w:name="Dept(130)" w:val="State, Department of%%%(none)@@@Department of State"/>
    <w:docVar w:name="Dept(131)" w:val="Workforce Commission%%%Rehabilitation Services@@@Workforce Commission"/>
    <w:docVar w:name="Dept(132)" w:val="Children and Family Services%%%Economic Stability Section@@@Children and Family Services"/>
    <w:docVar w:name="Dept(133)" w:val="Health and Hospitals, Department of%%%Board of Optometry Examiners@@@Health and Hospitals, Department of"/>
    <w:docVar w:name="Dept(134)" w:val="Environmental Quality, Department of%%%Legal Affairs and Criminal Investigations Division@@@Department of Environmental Quality"/>
    <w:docVar w:name="Dept(135)" w:val="Health and Hospitals, Department of%%%(none)@@@Behavior Analyst Board"/>
    <w:docVar w:name="Dept(136)" w:val="Governor, Office of the%%%Office of Financial Institutions@@@Governor, Office of the"/>
    <w:docVar w:name="Dept(137)" w:val="Governor, Office of the%%%Division of Administration/Office of State Uniform Payroll@@@Governor, Office of the"/>
    <w:docVar w:name="Dept(138)" w:val="Culture and Recreation, Department of%%%Office of State Parks@@@Culture and Recreation, Department of"/>
    <w:docVar w:name="Dept(139)" w:val="Health and Hospitals, Department of%%%Health Standards Section@@@Health and Hospitals, Department of"/>
    <w:docVar w:name="Dept(14)" w:val="Natural Resources, Department of%%%Office of Conservation@@@Department of Natural Resources"/>
    <w:docVar w:name="Dept(140)" w:val="Governor, Office of the%%%Capital Area Groundwater Conservation Commission@@@Governor, Office of the"/>
    <w:docVar w:name="Dept(141)" w:val="Department of Public Safety and Corrections %%%State Police/Emergency Services Unit@@@Department of Public Safety and Corrections "/>
    <w:docVar w:name="Dept(142)" w:val="Agriculture and Forestry, Department of%%%Office of Animal Health and Food Safety@@@Agriculture and Forestry, Department of"/>
    <w:docVar w:name="Dept(143)" w:val="Department of Health%%%Board of Medical Examiners@@@Department of Health"/>
    <w:docVar w:name="Dept(144)" w:val="Agriculture and Forestry, Department of%%%Board of Veterinary Medicine@@@Agriculture and Forestry, Department of"/>
    <w:docVar w:name="Dept(145)" w:val="Children and Family Services%%%Family Support/Economic Stability@@@Children and Family Services"/>
    <w:docVar w:name="Dept(146)" w:val="Governor, Office of the%%%Division of Administration Tax Commission@@@Governor, Office of the"/>
    <w:docVar w:name="Dept(147)" w:val="Coastal Protection and Restoration Authority%%%(none)@@@Coastal Protection and Restoration Authority"/>
    <w:docVar w:name="Dept(148)" w:val="Revenue, Department of%%%Tax Policy and Planning Division@@@Revenue, Department of"/>
    <w:docVar w:name="Dept(149)" w:val="Department of Revenue%%%(none)@@@Department of Revenue"/>
    <w:docVar w:name="Dept(15)" w:val="Civil Service, Department of%%%Board of Ethics@@@Department of Civil Service"/>
    <w:docVar w:name="Dept(150)" w:val="Department of Public Safety and Corrections %%%Louisiana State Police/Emergency Services Unit@@@Department of Public Safety and Corrections "/>
    <w:docVar w:name="Dept(151)" w:val="Department of Public Safety and Corrections %%%Office of State Police@@@Department of Public Safety and Corrections "/>
    <w:docVar w:name="Dept(152)" w:val="Department of Health%%%Board of Pharmacy@@@Department of Health"/>
    <w:docVar w:name="Dept(153)" w:val="Transportation and Development, Department of%%%Professional Engineering and Land Surveying Board@@@Transportation and Development, Department of"/>
    <w:docVar w:name="Dept(154)" w:val="Department of Health%%%Board of Examiners of Psychologists@@@Department of Health"/>
    <w:docVar w:name="Dept(155)" w:val="Department of Health%%%Bureau of Health Services Financing@@@Department of Health"/>
    <w:docVar w:name="Dept(156)" w:val="Governor, Office of the%%%Division of Administration/Office of Broadband Development and Connectivity@@@Governor, Office of the"/>
    <w:docVar w:name="Dept(157)" w:val="Children and Family Services%%%Child Welfare@@@Children and Family Services"/>
    <w:docVar w:name="Dept(158)" w:val="Department of Health%%%Licensed Professional Counselors Board of Examiners@@@Department of Health"/>
    <w:docVar w:name="Dept(159)" w:val="Department of Energy and Natural Resources%%%Office of Conservation@@@Department of Energy and Natural Resources"/>
    <w:docVar w:name="Dept(16)" w:val="Economic Development, Department of%%%Board of Architectural Examiners@@@Department of Economic Development"/>
    <w:docVar w:name="Dept(160)" w:val="Department of Education%%%Special School District Board@@@Department of Education"/>
    <w:docVar w:name="Dept(161)" w:val="Justice, Department of%%%(none)@@@LADOJ"/>
    <w:docVar w:name="Dept(162)" w:val="Justice, Department of%%%LADOJ@@@Justice, Department of"/>
    <w:docVar w:name="Dept(163)" w:val="Governor, Office of the%%%Board of Home Inspectors@@@Governor, Office of the"/>
    <w:docVar w:name="Dept(164)" w:val="Department of Health%%%Board of Social Work Examiners@@@Department of Health"/>
    <w:docVar w:name="Dept(165)" w:val="Department of Health%%%Office of Public Health@@@Department of Health"/>
    <w:docVar w:name="Dept(166)" w:val="Department of Health%%%(none)@@@Health Standards Section"/>
    <w:docVar w:name="Dept(167)" w:val="Department of Health%%%Health Standards Section@@@Department of Health"/>
    <w:docVar w:name="Dept(168)" w:val="Department of Health%%%Radiologic Technology Board of Examiners@@@Department of Health"/>
    <w:docVar w:name="Dept(169)" w:val="Insurance, Department of%%%Office of Health, Life, and Annuity@@@Insurance, Department of"/>
    <w:docVar w:name="Dept(17)" w:val="Education, Department of%%%Office of Secretary@@@Department of Education"/>
    <w:docVar w:name="Dept(170)" w:val="Division of Administration%%%Office of Broadband Development and Connectivity@@@Division of Administration"/>
    <w:docVar w:name="Dept(171)" w:val="Department of Revenue%%%Tax Policy and Planning Division@@@Department of Revenue"/>
    <w:docVar w:name="Dept(172)" w:val="Office of the Governor%%%Division of Administration, Racing Commission@@@Office of the Governor"/>
    <w:docVar w:name="Dept(173)" w:val="Workforce Commission%%%Office of Workers' Compensation Administration@@@Workforce Commission"/>
    <w:docVar w:name="Dept(174)" w:val="Louisiana Works%%%Office of the Secretary@@@Louisiana Works"/>
    <w:docVar w:name="Dept(175)" w:val="Louisiana Works%%%Office of Unemployment Insurance Administration@@@Louisiana Works"/>
    <w:docVar w:name="Dept(176)" w:val="Governor, Office of the%%%Uniform Construction Code Council@@@Governor, Office of the"/>
    <w:docVar w:name="Dept(177)" w:val="Transportation and Development, Department of%%%Office of the Secretary@@@Transportation and Development, Department of"/>
    <w:docVar w:name="Dept(178)" w:val="Department of Conservation and Energy%%%Office of Conservation@@@Department of Conservation and Energy"/>
    <w:docVar w:name="Dept(179)" w:val="Department of Conservation and Energy%%%Office of Permitting and Compliance@@@Department of Conservation and Energy"/>
    <w:docVar w:name="Dept(18)" w:val="Student Financial Assistance Commission%%%Office of Student Financial Assistance@@@Student Financial Assistance Commission"/>
    <w:docVar w:name="Dept(180)" w:val="Division of Administration%%%(none)@@@Office of Facility Planning and Control"/>
    <w:docVar w:name="Dept(181)" w:val="Division of Administration%%%Office of Facility Planning and Control@@@Division of Administration"/>
    <w:docVar w:name="Dept(182)" w:val="Governor, Office of the%%%Division of Administration Racing Division@@@Governor, Office of the"/>
    <w:docVar w:name="Dept(183)" w:val="Louisiana Works%%%Office of Workers' Compensation Administration@@@Louisiana Works"/>
    <w:docVar w:name="Dept(184)" w:val="Department of Conservation and Energy%%%Office of Enforcement@@@Department of Conservation and Energy"/>
    <w:docVar w:name="Dept(185)" w:val="Department of State Civil Service%%%Division of Administrative Law@@@Department of State Civil Service"/>
    <w:docVar w:name="Dept(186)" w:val="Department of Conservation and Energy%%%Office of Enforcement@@@Department of Conservation and Energy"/>
    <w:docVar w:name="Dept(187)" w:val="Governor, Office of the%%%State Board of Examiners of Interior Designers@@@Governor, Office of the"/>
    <w:docVar w:name="Dept(188)" w:val="Louisiana Works%%%Louisiana Rehabilitation Services@@@Louisiana Works"/>
    <w:docVar w:name="Dept(189)" w:val="Governor, Office of the%%%Auctioneers Licensing Board@@@Governor, Office of the"/>
    <w:docVar w:name="Dept(19)" w:val="Culture and Recreation, Department of%%%New Office of Something@@@Department of Culture and Recreation"/>
    <w:docVar w:name="Dept(190)" w:val="Department of Public Safety and Corrections %%%Office of State Fire Marshal@@@Department of Public Safety and Corrections "/>
    <w:docVar w:name="Dept(191)" w:val="zzzblank"/>
    <w:docVar w:name="Dept(192)" w:val="zzzblank"/>
    <w:docVar w:name="Dept(193)" w:val="zzzblank"/>
    <w:docVar w:name="Dept(194)" w:val="zzzblank"/>
    <w:docVar w:name="Dept(195)" w:val="zzzblank"/>
    <w:docVar w:name="Dept(196)" w:val="zzzblank"/>
    <w:docVar w:name="Dept(197)" w:val="zzzblank"/>
    <w:docVar w:name="Dept(198)" w:val="zzzblank"/>
    <w:docVar w:name="Dept(199)" w:val="zzzblank"/>
    <w:docVar w:name="Dept(2)" w:val="Culture and Recreation, Department of%%%(none)@@@Department of Culture and Recreation"/>
    <w:docVar w:name="Dept(20)" w:val="Education, Department of%%%Board of Elementary and Secondary Education@@@Department of Education"/>
    <w:docVar w:name="Dept(200)" w:val="zzzblank"/>
    <w:docVar w:name="Dept(201)" w:val="zzzblank"/>
    <w:docVar w:name="Dept(202)" w:val="zzzblank"/>
    <w:docVar w:name="Dept(203)" w:val="zzzblank"/>
    <w:docVar w:name="Dept(204)" w:val="zzzblank"/>
    <w:docVar w:name="Dept(205)" w:val="zzzblank"/>
    <w:docVar w:name="Dept(206)" w:val="zzzblank"/>
    <w:docVar w:name="Dept(207)" w:val="zzzblank"/>
    <w:docVar w:name="Dept(208)" w:val="zzzblank"/>
    <w:docVar w:name="Dept(209)" w:val="zzzblank"/>
    <w:docVar w:name="Dept(21)" w:val="Revenue, Department of%%%Corporation Income and Franchise Taxes Division@@@Department of Revenue"/>
    <w:docVar w:name="Dept(210)" w:val="zzzblank"/>
    <w:docVar w:name="Dept(211)" w:val="zzzblank"/>
    <w:docVar w:name="Dept(212)" w:val="zzzblank"/>
    <w:docVar w:name="Dept(213)" w:val="zzzblank"/>
    <w:docVar w:name="Dept(214)" w:val="zzzblank"/>
    <w:docVar w:name="Dept(215)" w:val="zzzblank"/>
    <w:docVar w:name="Dept(216)" w:val="zzzblank"/>
    <w:docVar w:name="Dept(217)" w:val="zzzblank"/>
    <w:docVar w:name="Dept(218)" w:val="zzzblank"/>
    <w:docVar w:name="Dept(219)" w:val="zzzblank"/>
    <w:docVar w:name="Dept(22)" w:val="Civil Service, Department of%%%Civil Service Commission@@@Department of Civil Service"/>
    <w:docVar w:name="Dept(220)" w:val="zzzblank"/>
    <w:docVar w:name="Dept(221)" w:val="zzzblank"/>
    <w:docVar w:name="Dept(222)" w:val="zzzblank"/>
    <w:docVar w:name="Dept(223)" w:val="zzzblank"/>
    <w:docVar w:name="Dept(224)" w:val="zzzblank"/>
    <w:docVar w:name="Dept(225)" w:val="zzzblank"/>
    <w:docVar w:name="Dept(226)" w:val="zzzblank"/>
    <w:docVar w:name="Dept(227)" w:val="zzzblank"/>
    <w:docVar w:name="Dept(228)" w:val="zzzblank"/>
    <w:docVar w:name="Dept(229)" w:val="zzzblank"/>
    <w:docVar w:name="Dept(23)" w:val="Economic Development, Department of%%%Racing Commission@@@Department of Economic Development"/>
    <w:docVar w:name="Dept(230)" w:val="zzzblank"/>
    <w:docVar w:name="Dept(231)" w:val="zzzblank"/>
    <w:docVar w:name="Dept(232)" w:val="zzzblank"/>
    <w:docVar w:name="Dept(233)" w:val="zzzblank"/>
    <w:docVar w:name="Dept(234)" w:val="zzzblank"/>
    <w:docVar w:name="Dept(235)" w:val="zzzblank"/>
    <w:docVar w:name="Dept(236)" w:val="zzzblank"/>
    <w:docVar w:name="Dept(237)" w:val="zzzblank"/>
    <w:docVar w:name="Dept(238)" w:val="zzzblank"/>
    <w:docVar w:name="Dept(239)" w:val="zzzblank"/>
    <w:docVar w:name="Dept(24)" w:val="Agriculture and Forestry, Department of%%%Office of Agriculture and Environmental Sciences@@@Department of Agriculture and Environmental Sciences"/>
    <w:docVar w:name="Dept(240)" w:val="zzzblank"/>
    <w:docVar w:name="Dept(241)" w:val="zzzblank"/>
    <w:docVar w:name="Dept(242)" w:val="zzzblank"/>
    <w:docVar w:name="Dept(243)" w:val="zzzblank"/>
    <w:docVar w:name="Dept(244)" w:val="zzzblank"/>
    <w:docVar w:name="Dept(245)" w:val="zzzblank"/>
    <w:docVar w:name="Dept(246)" w:val="zzzblank"/>
    <w:docVar w:name="Dept(247)" w:val="zzzblank"/>
    <w:docVar w:name="Dept(248)" w:val="zzzblank"/>
    <w:docVar w:name="Dept(249)" w:val="zzzblank"/>
    <w:docVar w:name="Dept(25)" w:val="Agriculture and Forestry, Department of%%%Structural Pest Control Commission@@@Department of Agriculture and Forestry"/>
    <w:docVar w:name="Dept(250)" w:val="zzzblank"/>
    <w:docVar w:name="Dept(251)" w:val="zzzblank"/>
    <w:docVar w:name="Dept(252)" w:val="zzzblank"/>
    <w:docVar w:name="Dept(253)" w:val="zzzblank"/>
    <w:docVar w:name="Dept(254)" w:val="zzzblank"/>
    <w:docVar w:name="Dept(255)" w:val="zzzblank"/>
    <w:docVar w:name="Dept(256)" w:val="zzzblank"/>
    <w:docVar w:name="Dept(257)" w:val="zzzblank"/>
    <w:docVar w:name="Dept(258)" w:val="zzzblank"/>
    <w:docVar w:name="Dept(259)" w:val="zzzblank"/>
    <w:docVar w:name="Dept(26)" w:val="Environmental Quality, Department of%%%Office of Waste Services Hazardous Waste Division@@@Department of Environmental Quality"/>
    <w:docVar w:name="Dept(260)" w:val="zzzblank"/>
    <w:docVar w:name="Dept(261)" w:val="zzzblank"/>
    <w:docVar w:name="Dept(262)" w:val="zzzblank"/>
    <w:docVar w:name="Dept(263)" w:val="zzzblank"/>
    <w:docVar w:name="Dept(264)" w:val="zzzblank"/>
    <w:docVar w:name="Dept(265)" w:val="zzzblank"/>
    <w:docVar w:name="Dept(266)" w:val="zzzblank"/>
    <w:docVar w:name="Dept(267)" w:val="zzzblank"/>
    <w:docVar w:name="Dept(268)" w:val="zzzblank"/>
    <w:docVar w:name="Dept(269)" w:val="zzzblank"/>
    <w:docVar w:name="Dept(27)" w:val="Public Safety, Office of%%%Gaming Control Board@@@Office of Public Safety"/>
    <w:docVar w:name="Dept(270)" w:val="zzzblank"/>
    <w:docVar w:name="Dept(271)" w:val="zzzblank"/>
    <w:docVar w:name="Dept(272)" w:val="zzzblank"/>
    <w:docVar w:name="Dept(273)" w:val="zzzblank"/>
    <w:docVar w:name="Dept(274)" w:val="zzzblank"/>
    <w:docVar w:name="Dept(275)" w:val="zzzblank"/>
    <w:docVar w:name="Dept(276)" w:val="zzzblank"/>
    <w:docVar w:name="Dept(277)" w:val="zzzblank"/>
    <w:docVar w:name="Dept(278)" w:val="zzzblank"/>
    <w:docVar w:name="Dept(279)" w:val="zzzblank"/>
    <w:docVar w:name="Dept(28)" w:val="Labor, Department of%%%Office of Workers' Compensation@@@Department of Labor"/>
    <w:docVar w:name="Dept(280)" w:val="zzzblank"/>
    <w:docVar w:name="Dept(281)" w:val="zzzblank"/>
    <w:docVar w:name="Dept(282)" w:val="zzzblank"/>
    <w:docVar w:name="Dept(283)" w:val="zzzblank"/>
    <w:docVar w:name="Dept(284)" w:val="zzzblank"/>
    <w:docVar w:name="Dept(285)" w:val="zzzblank"/>
    <w:docVar w:name="Dept(286)" w:val="zzzblank"/>
    <w:docVar w:name="Dept(287)" w:val="zzzblank"/>
    <w:docVar w:name="Dept(288)" w:val="zzzblank"/>
    <w:docVar w:name="Dept(289)" w:val="zzzblank"/>
    <w:docVar w:name="Dept(29)" w:val="Insurance, Department of%%%Office of the Commissioner@@@Department of Insurance"/>
    <w:docVar w:name="Dept(290)" w:val="zzzblank"/>
    <w:docVar w:name="Dept(291)" w:val="zzzblank"/>
    <w:docVar w:name="Dept(292)" w:val="zzzblank"/>
    <w:docVar w:name="Dept(293)" w:val="zzzblank"/>
    <w:docVar w:name="Dept(294)" w:val="zzzblank"/>
    <w:docVar w:name="Dept(295)" w:val="zzzblank"/>
    <w:docVar w:name="Dept(296)" w:val="zzzblank"/>
    <w:docVar w:name="Dept(297)" w:val="zzzblank"/>
    <w:docVar w:name="Dept(298)" w:val="zzzblank"/>
    <w:docVar w:name="Dept(299)" w:val="zzzblank"/>
    <w:docVar w:name="Dept(3)" w:val="Economic Development, Department of%%%(none)@@@Department of Economic Development"/>
    <w:docVar w:name="Dept(30)" w:val="Social Services, Department of%%%Office of Family Support@@@Department of Social Services"/>
    <w:docVar w:name="Dept(300)" w:val="zzzblank"/>
    <w:docVar w:name="Dept(31)" w:val="Transportation and Development, Office of%%%Office of the Secretary@@@Department of Transportation and Development"/>
    <w:docVar w:name="Dept(32)" w:val="Treasury, Department of%%%Teachers' Retirement System@@@Department of Treasury"/>
    <w:docVar w:name="Dept(33)" w:val="Senate Committe on Health and Welfare%%%(none)@@@Senate Committe on Health and Welfare"/>
    <w:docVar w:name="Dept(34)" w:val="Wildlife and Fisheries, Department of%%%Wildlife and Fisheries Commission@@@Department of Wildlife and Fisheries"/>
    <w:docVar w:name="Dept(35)" w:val="Public Safety, Office of%%%Department of Public Safety and Corrections  Corrections Services@@@Office of Public Safety"/>
    <w:docVar w:name="Dept(36)" w:val="Governor, Office of the%%%Oil Spill Coordinator's Office@@@Office of the Governor"/>
    <w:docVar w:name="Dept(37)" w:val="Economic Development%%%Office Financial Institutions@@@Economic Development"/>
    <w:docVar w:name="Dept(38)" w:val="Economic Development, Department of%%%Office of the Secretary@@@Department of Economic Development"/>
    <w:docVar w:name="Dept(39)" w:val="Environmental Quality, Department of%%%Office of Environmental Assessment@@@Department of Environmental Quality"/>
    <w:docVar w:name="Dept(4)" w:val="Education, Department of%%%(none)@@@Department of Education"/>
    <w:docVar w:name="Dept(40)" w:val="Governor, Office of the%%%Office of Veterans Affairs@@@Office of the Governor"/>
    <w:docVar w:name="Dept(41)" w:val="Public Safety, Department  of%%%Office of State Police@@@Department of Public Safety"/>
    <w:docVar w:name="Dept(42)" w:val="BESE%%%(none)@@@Board of Elementary and Secondary Education"/>
    <w:docVar w:name="Dept(43)" w:val="Public Safety, Department  of%%%Corrections Services@@@Department of Public Safety and Corrections"/>
    <w:docVar w:name="Dept(44)" w:val="Public Safety, Department  of%%%Gaming Control Board@@@Department of Public Safety and Corrections"/>
    <w:docVar w:name="Dept(45)" w:val="Natural Resources, Department of%%%Office of Mineral Resources@@@Department of Natural Resources"/>
    <w:docVar w:name="Dept(46)" w:val="Governor, Office of the%%%Board of the Trustees of the State Employees Group Benefits Program@@@Office of the Governor"/>
    <w:docVar w:name="Dept(47)" w:val="Labor, Department of%%%Board of Barber Examiners@@@Department of Labor"/>
    <w:docVar w:name="Dept(48)" w:val="Governor, Office of the%%%Division of Administration    Office of Facility Planning And Control@@@Office of the Governor"/>
    <w:docVar w:name="Dept(49)" w:val="Economic Development%%%Racing Commission@@@Department of Economic Development"/>
    <w:docVar w:name="Dept(5)" w:val="Elections and Registration, Department of%%%(none)@@@Department of Elections and Registration"/>
    <w:docVar w:name="Dept(50)" w:val="LOSFA%%%Office of Student Finanical Assistance@@@Student Financial Assistance Commission"/>
    <w:docVar w:name="Dept(51)" w:val="Transportation and Development, Office of%%%Office-Premise Changeable Message Signs@@@Department of Transportation and Development"/>
    <w:docVar w:name="Dept(52)" w:val="Health and Hospitals, Department of%%%Board of Examiners for Speech-Language Pathology and Audiology@@@Department of Health and Hospitals"/>
    <w:docVar w:name="Dept(53)" w:val="Bar Pilots%%%(none)@@@Board of Examiners of Bar Pilots for the Port of New Orleans"/>
    <w:docVar w:name="Dept(54)" w:val="Division of Administrative Law%%%(none)@@@Division of Administrative Law"/>
    <w:docVar w:name="Dept(55)" w:val="Transportation and Development, Office of%%%Cresent City Connection Division@@@Office of Transportation and Development  Office of the Secretary"/>
    <w:docVar w:name="Dept(56)" w:val="Tuition Trust Authority%%%Office of Student Financial Assistance@@@Tuition Trust Authority"/>
    <w:docVar w:name="Dept(57)" w:val="Health and Hospitals, Department of%%%Licensed Professional Vocational Rehabilitation Counselors Board of Examiners@@@Department of Health and Hospitals"/>
    <w:docVar w:name="Dept(58)" w:val="Health and Hospitals, Department of%%%Office of Public Health@@@Department of Health and Hospitals"/>
    <w:docVar w:name="Dept(59)" w:val="Public Safety, Department  of%%%Office of the State Fire Marshal@@@Department of Public Safety and Corrections"/>
    <w:docVar w:name="Dept(6)" w:val="Environmental Quality, Department of%%%(none)@@@Department of Environmental Quality"/>
    <w:docVar w:name="Dept(60)" w:val="Health and Hospitals, Department of%%%Board of Certification for Substance Abuse Counselors@@@Department of Health and Hospitals"/>
    <w:docVar w:name="Dept(61)" w:val="Health and Hospitals, Department of%%%Bureau of  Health Services Financing@@@Department of Health and Hospitals"/>
    <w:docVar w:name="Dept(62)" w:val="Governor, Office of the%%%Office of Women's Services@@@Office of the Governor"/>
    <w:docVar w:name="Dept(63)" w:val="Committee on Administration of Criminal Justice%%%Committee on Administration of Criminal Justice @@@House of Representatives"/>
    <w:docVar w:name="Dept(64)" w:val="Division of Administration%%%Office of State Uniform Payroll@@@Office of the Governor Division of Administration"/>
    <w:docVar w:name="Dept(65)" w:val="LOSFA%%%Tuition Trust Authority@@@Office of Student Financial Assistance"/>
    <w:docVar w:name="Dept(66)" w:val="State Legislature%%%2001 Regular Session@@@State Legislature  "/>
    <w:docVar w:name="Dept(67)" w:val="Division of Administration%%%Office of Group Benefits@@@Division of Administration"/>
    <w:docVar w:name="Dept(68)" w:val="Governor, Office of the%%%Office of Group Benefits@@@Office of the Governor, Division of Administration"/>
    <w:docVar w:name="Dept(69)" w:val="Revenue, Department of%%%Policy Services Division@@@Department of Revenue"/>
    <w:docVar w:name="Dept(7)" w:val="Governor, Office of the%%%(none)@@@Office of the Governor"/>
    <w:docVar w:name="Dept(70)" w:val="Revenue, Department of%%%Office of Alcohol and Tobacco Control@@@Department of Revenue"/>
    <w:docVar w:name="Dept(71)" w:val="River Port Pilot Commissioners and Examiners%%%Calcasieu River Waterway@@@Board of River Port Pilot Commissioners and Examiners"/>
    <w:docVar w:name="Dept(72)" w:val="Treasury, Department of%%%Deferred Compensation Commission@@@Department of Treasury"/>
    <w:docVar w:name="Dept(73)" w:val="Governor, Office of the%%%Office of Indian Affairs@@@Office of the Governor"/>
    <w:docVar w:name="Dept(74)" w:val="Health and Hospitals, Department of%%%Office of the Secretary@@@Department of Health and Hospitals"/>
    <w:docVar w:name="Dept(75)" w:val="Health and Hospitals, Department of%%%Board of Nursing@@@Department of Health and Hospitals"/>
    <w:docVar w:name="Dept(76)" w:val="Subcommittee on Oversight of the House Committee on Commerce%%%(none)@@@Subcommittee on Oversight of the House Committee on Commerce"/>
    <w:docVar w:name="Dept(77)" w:val="Governor, Office of the%%%Division of Administration  Office of Statewide Reporting Accounting Policy@@@Office of the Governor"/>
    <w:docVar w:name="Dept(78)" w:val="Environmental Quality, Department of%%%Office of the Secretary@@@Department of Environmental Quality"/>
    <w:docVar w:name="Dept(79)" w:val="Insurance, Department of%%%Property and Casualty Division@@@Department of Insurance"/>
    <w:docVar w:name="Dept(8)" w:val="Health and Hospitals, Department of%%%(none)@@@Department of Health and Hospitals"/>
    <w:docVar w:name="Dept(80)" w:val="Agriculture and Forestry, Department of%%%Office of Agro Consumer Services@@@Department of Agriculture and Forestry"/>
    <w:docVar w:name="Dept(81)" w:val="Health and Hospitals, Department of%%%Office of the Secretary  Bureau of Community Supports and Services@@@Department of Health and Hospitals"/>
    <w:docVar w:name="Dept(82)" w:val="Economic Development%%%Office of Business Development@@@Department of Economic Development"/>
    <w:docVar w:name="Dept(83)" w:val="Economic Development%%%Business Retention and Assistance Services@@@Department of Economic Development"/>
    <w:docVar w:name="Dept(84)" w:val="Governor's Letter to House Committee on Administration of Criminal Justice%%%Committee Chairman@@@Governor's Letter to House Committee on Administration of Criminal Justice"/>
    <w:docVar w:name="Dept(85)" w:val="House of Representatives%%%Committee on Health and Welfare@@@House of Representatives"/>
    <w:docVar w:name="Dept(86)" w:val="Health and Hospitals, Department of%%%Board of Examiners for Licensed Professional Counselors@@@Department of Health and Hospitals"/>
    <w:docVar w:name="Dept(87)" w:val="Wildlife and Fisheries, Department of%%%Office of Fisheries@@@Depart of Wildlife and Fisheries"/>
    <w:docVar w:name="Dept(88)" w:val="Governor, Office of the%%%Board of Architectural Examiners@@@Office of the Governor"/>
    <w:docVar w:name="Dept(89)" w:val="Social Services, Department of%%%Vocational Rehabilitation Services@@@Department of Social Services"/>
    <w:docVar w:name="Dept(9)" w:val="Insurance, Department of%%%(none)@@@Department of Insurance"/>
    <w:docVar w:name="Dept(90)" w:val="Health and Hospitals, Department of%%%Board of Practical Nurse Examiners@@@Department of Health and Hospitals"/>
    <w:docVar w:name="Dept(91)" w:val="Division of Administration%%%Board of Cosmetology@@@Office of the Governor  Division of Administration"/>
    <w:docVar w:name="Dept(92)" w:val="Governor, Office of the%%%Used Motor Vehicle and Parts Commission@@@Office of the Governor"/>
    <w:docVar w:name="Dept(93)" w:val="Revenue, Department of%%%Tax Commission@@@Department of Revenue"/>
    <w:docVar w:name="Dept(94)" w:val="Transportation and Development, Department of%%%Office of Purchasing@@@Department of Transportation and Development"/>
    <w:docVar w:name="Dept(95)" w:val="Governor, Office of the%%%Division of Administration  Office of the Commissioner@@@Office of the Governor"/>
    <w:docVar w:name="Dept(96)" w:val="Social Services, Department of%%%Office of Community Services@@@Department of Social Services"/>
    <w:docVar w:name="Dept(97)" w:val="Health and Hospitals, Department of%%%Board of Medical Examiners@@@Department of Health and Hospitals"/>
    <w:docVar w:name="Dept(98)" w:val="Treasury, Department of%%%Office of the Treasurer@@@Department of Treasury"/>
    <w:docVar w:name="Dept(99)" w:val="Governor, Office of the%%%Division of Administration  Office of State Purchasing@@@Office of the Governor"/>
    <w:docVar w:name="DocTitle" w:val="Document Title"/>
    <w:docVar w:name="DocType" w:val="Template"/>
    <w:docVar w:name="ExoSeq" w:val="xx"/>
    <w:docVar w:name="FootnotesPresent" w:val="False"/>
    <w:docVar w:name="GovernorName" w:val="Jeff Landry"/>
    <w:docVar w:name="GovInitials" w:val="JML"/>
    <w:docVar w:name="LogInMonth" w:val="08"/>
    <w:docVar w:name="LogInSeq" w:val="xx"/>
    <w:docVar w:name="LogInYear" w:val="26"/>
    <w:docVar w:name="PubDate" w:val="August 20, 2026"/>
    <w:docVar w:name="RegNumber" w:val="8"/>
    <w:docVar w:name="RegVolume" w:val="52"/>
    <w:docVar w:name="SecOfStateName" w:val="Nancy Landry"/>
    <w:docVar w:name="StartPageNumber" w:val="1306"/>
    <w:docVar w:name="UserInitials" w:val="FH"/>
  </w:docVars>
  <w:rsids>
    <w:rsidRoot w:val="00943207"/>
    <w:rsid w:val="00004CF8"/>
    <w:rsid w:val="000062B1"/>
    <w:rsid w:val="0001034C"/>
    <w:rsid w:val="00012018"/>
    <w:rsid w:val="00016EFD"/>
    <w:rsid w:val="00020089"/>
    <w:rsid w:val="00021232"/>
    <w:rsid w:val="00025E22"/>
    <w:rsid w:val="00027626"/>
    <w:rsid w:val="00032046"/>
    <w:rsid w:val="000341A6"/>
    <w:rsid w:val="00034A59"/>
    <w:rsid w:val="00037FE6"/>
    <w:rsid w:val="0004017D"/>
    <w:rsid w:val="00042686"/>
    <w:rsid w:val="00043219"/>
    <w:rsid w:val="00043DBD"/>
    <w:rsid w:val="000450BF"/>
    <w:rsid w:val="0004516E"/>
    <w:rsid w:val="00054C5E"/>
    <w:rsid w:val="00063D86"/>
    <w:rsid w:val="00065397"/>
    <w:rsid w:val="00071533"/>
    <w:rsid w:val="000721BE"/>
    <w:rsid w:val="00090ACE"/>
    <w:rsid w:val="00090F58"/>
    <w:rsid w:val="000A3ACC"/>
    <w:rsid w:val="000A3CED"/>
    <w:rsid w:val="000B0F05"/>
    <w:rsid w:val="000B1E1B"/>
    <w:rsid w:val="000B23E4"/>
    <w:rsid w:val="000B3BFA"/>
    <w:rsid w:val="000B71E7"/>
    <w:rsid w:val="000C0944"/>
    <w:rsid w:val="000C3A02"/>
    <w:rsid w:val="000C757E"/>
    <w:rsid w:val="000D04F7"/>
    <w:rsid w:val="000D0E94"/>
    <w:rsid w:val="000D10A3"/>
    <w:rsid w:val="000D319A"/>
    <w:rsid w:val="000D4060"/>
    <w:rsid w:val="000D7FE6"/>
    <w:rsid w:val="000E4997"/>
    <w:rsid w:val="000E613D"/>
    <w:rsid w:val="000F03F7"/>
    <w:rsid w:val="000F1068"/>
    <w:rsid w:val="000F1FFE"/>
    <w:rsid w:val="00101FFC"/>
    <w:rsid w:val="001104A1"/>
    <w:rsid w:val="00110E22"/>
    <w:rsid w:val="00115ABD"/>
    <w:rsid w:val="00125B25"/>
    <w:rsid w:val="00136013"/>
    <w:rsid w:val="00147308"/>
    <w:rsid w:val="001566AC"/>
    <w:rsid w:val="00156A5C"/>
    <w:rsid w:val="00156ED1"/>
    <w:rsid w:val="00164E4E"/>
    <w:rsid w:val="001676A2"/>
    <w:rsid w:val="00174E02"/>
    <w:rsid w:val="001750DC"/>
    <w:rsid w:val="0017552B"/>
    <w:rsid w:val="00182C7C"/>
    <w:rsid w:val="00186189"/>
    <w:rsid w:val="00186CC2"/>
    <w:rsid w:val="00195B9D"/>
    <w:rsid w:val="0019712D"/>
    <w:rsid w:val="001A1C79"/>
    <w:rsid w:val="001A5F25"/>
    <w:rsid w:val="001B5C4A"/>
    <w:rsid w:val="001C4179"/>
    <w:rsid w:val="001C7601"/>
    <w:rsid w:val="001D0D37"/>
    <w:rsid w:val="001D21AB"/>
    <w:rsid w:val="001D28DB"/>
    <w:rsid w:val="001D3124"/>
    <w:rsid w:val="001E30AA"/>
    <w:rsid w:val="001E51F9"/>
    <w:rsid w:val="001E6F79"/>
    <w:rsid w:val="001E7D4C"/>
    <w:rsid w:val="001F1885"/>
    <w:rsid w:val="001F3D10"/>
    <w:rsid w:val="001F5066"/>
    <w:rsid w:val="001F66DE"/>
    <w:rsid w:val="001F7A3F"/>
    <w:rsid w:val="00200A70"/>
    <w:rsid w:val="00203012"/>
    <w:rsid w:val="002114CD"/>
    <w:rsid w:val="00213649"/>
    <w:rsid w:val="00214DAA"/>
    <w:rsid w:val="00221CFD"/>
    <w:rsid w:val="00222E9D"/>
    <w:rsid w:val="00224270"/>
    <w:rsid w:val="00233BA5"/>
    <w:rsid w:val="00234F60"/>
    <w:rsid w:val="00245D65"/>
    <w:rsid w:val="0025668A"/>
    <w:rsid w:val="00256C59"/>
    <w:rsid w:val="0026110B"/>
    <w:rsid w:val="00264960"/>
    <w:rsid w:val="00266CBB"/>
    <w:rsid w:val="00270EC7"/>
    <w:rsid w:val="00271311"/>
    <w:rsid w:val="0028519F"/>
    <w:rsid w:val="00287EA0"/>
    <w:rsid w:val="00291C1A"/>
    <w:rsid w:val="00292BEB"/>
    <w:rsid w:val="002942E4"/>
    <w:rsid w:val="002B4097"/>
    <w:rsid w:val="002B7BCD"/>
    <w:rsid w:val="002C0318"/>
    <w:rsid w:val="002C16C3"/>
    <w:rsid w:val="002C27B5"/>
    <w:rsid w:val="002D65F3"/>
    <w:rsid w:val="002E3817"/>
    <w:rsid w:val="002F2099"/>
    <w:rsid w:val="002F2449"/>
    <w:rsid w:val="003026BE"/>
    <w:rsid w:val="00303A99"/>
    <w:rsid w:val="00304913"/>
    <w:rsid w:val="00305F2A"/>
    <w:rsid w:val="00317392"/>
    <w:rsid w:val="00323BC3"/>
    <w:rsid w:val="0033184A"/>
    <w:rsid w:val="00334C77"/>
    <w:rsid w:val="0034220B"/>
    <w:rsid w:val="003434B6"/>
    <w:rsid w:val="00345948"/>
    <w:rsid w:val="0034687F"/>
    <w:rsid w:val="00347686"/>
    <w:rsid w:val="0036355E"/>
    <w:rsid w:val="00382C58"/>
    <w:rsid w:val="003845C9"/>
    <w:rsid w:val="00387EC3"/>
    <w:rsid w:val="003A77C6"/>
    <w:rsid w:val="003B1AF7"/>
    <w:rsid w:val="003B1C6E"/>
    <w:rsid w:val="003B6129"/>
    <w:rsid w:val="003B6F57"/>
    <w:rsid w:val="003C73C5"/>
    <w:rsid w:val="003D11E7"/>
    <w:rsid w:val="003D3C4D"/>
    <w:rsid w:val="003D7EB4"/>
    <w:rsid w:val="003E1D26"/>
    <w:rsid w:val="003E5250"/>
    <w:rsid w:val="003E57C8"/>
    <w:rsid w:val="003F1997"/>
    <w:rsid w:val="003F1A48"/>
    <w:rsid w:val="00404DAF"/>
    <w:rsid w:val="004051D4"/>
    <w:rsid w:val="00405E86"/>
    <w:rsid w:val="004161F7"/>
    <w:rsid w:val="00416282"/>
    <w:rsid w:val="0041697D"/>
    <w:rsid w:val="0041729F"/>
    <w:rsid w:val="00420735"/>
    <w:rsid w:val="00424D71"/>
    <w:rsid w:val="00433BC2"/>
    <w:rsid w:val="004348E6"/>
    <w:rsid w:val="00436B5B"/>
    <w:rsid w:val="004374BB"/>
    <w:rsid w:val="00443C5D"/>
    <w:rsid w:val="00443E43"/>
    <w:rsid w:val="00447B96"/>
    <w:rsid w:val="00454537"/>
    <w:rsid w:val="00455402"/>
    <w:rsid w:val="0046400D"/>
    <w:rsid w:val="00477732"/>
    <w:rsid w:val="00481C72"/>
    <w:rsid w:val="00481DE1"/>
    <w:rsid w:val="00482DC7"/>
    <w:rsid w:val="004873CB"/>
    <w:rsid w:val="0048773A"/>
    <w:rsid w:val="00491E7E"/>
    <w:rsid w:val="00492AC5"/>
    <w:rsid w:val="004A19DC"/>
    <w:rsid w:val="004A349B"/>
    <w:rsid w:val="004A3DA9"/>
    <w:rsid w:val="004A7FAF"/>
    <w:rsid w:val="004B0B46"/>
    <w:rsid w:val="004B3908"/>
    <w:rsid w:val="004D5C79"/>
    <w:rsid w:val="004F3950"/>
    <w:rsid w:val="004F3F18"/>
    <w:rsid w:val="004F40A0"/>
    <w:rsid w:val="00501105"/>
    <w:rsid w:val="00506A2C"/>
    <w:rsid w:val="005116F9"/>
    <w:rsid w:val="00521D1E"/>
    <w:rsid w:val="00522E5C"/>
    <w:rsid w:val="005238E0"/>
    <w:rsid w:val="005258E3"/>
    <w:rsid w:val="00527FB1"/>
    <w:rsid w:val="0053093B"/>
    <w:rsid w:val="00531791"/>
    <w:rsid w:val="00542B5D"/>
    <w:rsid w:val="00553BF9"/>
    <w:rsid w:val="00561BA6"/>
    <w:rsid w:val="00580F53"/>
    <w:rsid w:val="00585E38"/>
    <w:rsid w:val="00586010"/>
    <w:rsid w:val="005861CE"/>
    <w:rsid w:val="0059625F"/>
    <w:rsid w:val="005A6B68"/>
    <w:rsid w:val="005B1E1A"/>
    <w:rsid w:val="005C05A8"/>
    <w:rsid w:val="005C1523"/>
    <w:rsid w:val="005D218F"/>
    <w:rsid w:val="005D425E"/>
    <w:rsid w:val="005E5FC8"/>
    <w:rsid w:val="005F5A1C"/>
    <w:rsid w:val="006031EE"/>
    <w:rsid w:val="006040B7"/>
    <w:rsid w:val="00610CB3"/>
    <w:rsid w:val="00614CCA"/>
    <w:rsid w:val="00615BC7"/>
    <w:rsid w:val="006167E4"/>
    <w:rsid w:val="0062123A"/>
    <w:rsid w:val="006214BD"/>
    <w:rsid w:val="006219DE"/>
    <w:rsid w:val="006308E5"/>
    <w:rsid w:val="0063264F"/>
    <w:rsid w:val="006368CA"/>
    <w:rsid w:val="00640BF7"/>
    <w:rsid w:val="0065287B"/>
    <w:rsid w:val="00652960"/>
    <w:rsid w:val="00655CB7"/>
    <w:rsid w:val="0066588C"/>
    <w:rsid w:val="00665BBA"/>
    <w:rsid w:val="0067246E"/>
    <w:rsid w:val="006751F1"/>
    <w:rsid w:val="00676A6B"/>
    <w:rsid w:val="006778B5"/>
    <w:rsid w:val="00683893"/>
    <w:rsid w:val="00696883"/>
    <w:rsid w:val="006A234E"/>
    <w:rsid w:val="006B03AA"/>
    <w:rsid w:val="006B209E"/>
    <w:rsid w:val="006C5F42"/>
    <w:rsid w:val="006D4385"/>
    <w:rsid w:val="006E087C"/>
    <w:rsid w:val="006E3679"/>
    <w:rsid w:val="006E61BF"/>
    <w:rsid w:val="006F2A77"/>
    <w:rsid w:val="006F4308"/>
    <w:rsid w:val="00701E93"/>
    <w:rsid w:val="00702EAB"/>
    <w:rsid w:val="007105CE"/>
    <w:rsid w:val="0071274D"/>
    <w:rsid w:val="00712E2E"/>
    <w:rsid w:val="00714625"/>
    <w:rsid w:val="00716B09"/>
    <w:rsid w:val="00720905"/>
    <w:rsid w:val="007226F6"/>
    <w:rsid w:val="00726B25"/>
    <w:rsid w:val="00754A00"/>
    <w:rsid w:val="00755753"/>
    <w:rsid w:val="00760677"/>
    <w:rsid w:val="00767146"/>
    <w:rsid w:val="00773E18"/>
    <w:rsid w:val="0079021E"/>
    <w:rsid w:val="007B0A97"/>
    <w:rsid w:val="007C2706"/>
    <w:rsid w:val="007D401C"/>
    <w:rsid w:val="007E2B58"/>
    <w:rsid w:val="007E35B5"/>
    <w:rsid w:val="007E6B81"/>
    <w:rsid w:val="007F2468"/>
    <w:rsid w:val="007F41CB"/>
    <w:rsid w:val="00807CAA"/>
    <w:rsid w:val="0081480C"/>
    <w:rsid w:val="00815E22"/>
    <w:rsid w:val="00820EE0"/>
    <w:rsid w:val="00826AE8"/>
    <w:rsid w:val="00831329"/>
    <w:rsid w:val="0083241F"/>
    <w:rsid w:val="0083338B"/>
    <w:rsid w:val="00842FBD"/>
    <w:rsid w:val="0084320A"/>
    <w:rsid w:val="0084597C"/>
    <w:rsid w:val="0084616A"/>
    <w:rsid w:val="00850683"/>
    <w:rsid w:val="00857C02"/>
    <w:rsid w:val="00860658"/>
    <w:rsid w:val="00866B03"/>
    <w:rsid w:val="00871798"/>
    <w:rsid w:val="008745D4"/>
    <w:rsid w:val="00874DB3"/>
    <w:rsid w:val="0088451C"/>
    <w:rsid w:val="00884FCD"/>
    <w:rsid w:val="00892E43"/>
    <w:rsid w:val="00897D30"/>
    <w:rsid w:val="008A074A"/>
    <w:rsid w:val="008A1892"/>
    <w:rsid w:val="008A22A9"/>
    <w:rsid w:val="008A61B0"/>
    <w:rsid w:val="008A724A"/>
    <w:rsid w:val="008B046A"/>
    <w:rsid w:val="008B2992"/>
    <w:rsid w:val="008C1C14"/>
    <w:rsid w:val="008D53C1"/>
    <w:rsid w:val="008E0186"/>
    <w:rsid w:val="008F7B55"/>
    <w:rsid w:val="00915AB6"/>
    <w:rsid w:val="009243D2"/>
    <w:rsid w:val="00930BE8"/>
    <w:rsid w:val="009327AD"/>
    <w:rsid w:val="00935843"/>
    <w:rsid w:val="00935872"/>
    <w:rsid w:val="00942A7F"/>
    <w:rsid w:val="00943207"/>
    <w:rsid w:val="0095186C"/>
    <w:rsid w:val="0095261E"/>
    <w:rsid w:val="00952B11"/>
    <w:rsid w:val="0095419C"/>
    <w:rsid w:val="009564F7"/>
    <w:rsid w:val="009643A8"/>
    <w:rsid w:val="00964806"/>
    <w:rsid w:val="009665BA"/>
    <w:rsid w:val="00980BBB"/>
    <w:rsid w:val="00983CF6"/>
    <w:rsid w:val="0098411E"/>
    <w:rsid w:val="00984986"/>
    <w:rsid w:val="009852A7"/>
    <w:rsid w:val="00991231"/>
    <w:rsid w:val="0099311F"/>
    <w:rsid w:val="009951F4"/>
    <w:rsid w:val="009976E6"/>
    <w:rsid w:val="009A1597"/>
    <w:rsid w:val="009A3DF1"/>
    <w:rsid w:val="009C03D6"/>
    <w:rsid w:val="009C5B67"/>
    <w:rsid w:val="009C755B"/>
    <w:rsid w:val="009D26DB"/>
    <w:rsid w:val="009D4C2D"/>
    <w:rsid w:val="009E20AE"/>
    <w:rsid w:val="009E5DB3"/>
    <w:rsid w:val="009F08CE"/>
    <w:rsid w:val="009F54F6"/>
    <w:rsid w:val="009F654F"/>
    <w:rsid w:val="00A00060"/>
    <w:rsid w:val="00A022DD"/>
    <w:rsid w:val="00A02EDC"/>
    <w:rsid w:val="00A15750"/>
    <w:rsid w:val="00A23614"/>
    <w:rsid w:val="00A27597"/>
    <w:rsid w:val="00A32A6A"/>
    <w:rsid w:val="00A370CC"/>
    <w:rsid w:val="00A43BCA"/>
    <w:rsid w:val="00A50CCF"/>
    <w:rsid w:val="00A5144E"/>
    <w:rsid w:val="00A638D6"/>
    <w:rsid w:val="00A64A77"/>
    <w:rsid w:val="00A66BD6"/>
    <w:rsid w:val="00A66D7E"/>
    <w:rsid w:val="00A77A5A"/>
    <w:rsid w:val="00A77F6C"/>
    <w:rsid w:val="00A824FE"/>
    <w:rsid w:val="00A875D8"/>
    <w:rsid w:val="00A95F81"/>
    <w:rsid w:val="00A96B43"/>
    <w:rsid w:val="00A96E45"/>
    <w:rsid w:val="00A9781F"/>
    <w:rsid w:val="00AA0B01"/>
    <w:rsid w:val="00AA743B"/>
    <w:rsid w:val="00AB60BD"/>
    <w:rsid w:val="00AB6C18"/>
    <w:rsid w:val="00AC263A"/>
    <w:rsid w:val="00AC3692"/>
    <w:rsid w:val="00AC3CA7"/>
    <w:rsid w:val="00AD59B9"/>
    <w:rsid w:val="00AD5A3E"/>
    <w:rsid w:val="00AD7F89"/>
    <w:rsid w:val="00AE09B4"/>
    <w:rsid w:val="00AF0F76"/>
    <w:rsid w:val="00AF6163"/>
    <w:rsid w:val="00AF7ADD"/>
    <w:rsid w:val="00B11278"/>
    <w:rsid w:val="00B13D24"/>
    <w:rsid w:val="00B14027"/>
    <w:rsid w:val="00B2119D"/>
    <w:rsid w:val="00B32DAA"/>
    <w:rsid w:val="00B332ED"/>
    <w:rsid w:val="00B377E7"/>
    <w:rsid w:val="00B4256B"/>
    <w:rsid w:val="00B42913"/>
    <w:rsid w:val="00B50B61"/>
    <w:rsid w:val="00B53100"/>
    <w:rsid w:val="00B55EBA"/>
    <w:rsid w:val="00B602D7"/>
    <w:rsid w:val="00B603BC"/>
    <w:rsid w:val="00B63CBB"/>
    <w:rsid w:val="00B67AD5"/>
    <w:rsid w:val="00B7199F"/>
    <w:rsid w:val="00B75EE4"/>
    <w:rsid w:val="00B76C31"/>
    <w:rsid w:val="00B802AE"/>
    <w:rsid w:val="00BA0380"/>
    <w:rsid w:val="00BA4AFD"/>
    <w:rsid w:val="00BB3EE3"/>
    <w:rsid w:val="00BC152C"/>
    <w:rsid w:val="00BC1EBF"/>
    <w:rsid w:val="00BC3AD6"/>
    <w:rsid w:val="00BE2B42"/>
    <w:rsid w:val="00BE7D1D"/>
    <w:rsid w:val="00BF3C92"/>
    <w:rsid w:val="00BF71F9"/>
    <w:rsid w:val="00C11013"/>
    <w:rsid w:val="00C14E09"/>
    <w:rsid w:val="00C17394"/>
    <w:rsid w:val="00C17CE4"/>
    <w:rsid w:val="00C214A3"/>
    <w:rsid w:val="00C269FF"/>
    <w:rsid w:val="00C33FC5"/>
    <w:rsid w:val="00C34C2E"/>
    <w:rsid w:val="00C374F8"/>
    <w:rsid w:val="00C427D6"/>
    <w:rsid w:val="00C50AE8"/>
    <w:rsid w:val="00C532A7"/>
    <w:rsid w:val="00C61878"/>
    <w:rsid w:val="00C61C9E"/>
    <w:rsid w:val="00C635A2"/>
    <w:rsid w:val="00C64CC6"/>
    <w:rsid w:val="00C65B0B"/>
    <w:rsid w:val="00C748F4"/>
    <w:rsid w:val="00C74CAD"/>
    <w:rsid w:val="00C81CB6"/>
    <w:rsid w:val="00C93669"/>
    <w:rsid w:val="00CA0882"/>
    <w:rsid w:val="00CA1160"/>
    <w:rsid w:val="00CA56E1"/>
    <w:rsid w:val="00CA6530"/>
    <w:rsid w:val="00CA6D3E"/>
    <w:rsid w:val="00CB24DD"/>
    <w:rsid w:val="00CB316F"/>
    <w:rsid w:val="00CC1204"/>
    <w:rsid w:val="00CD03B3"/>
    <w:rsid w:val="00CD092A"/>
    <w:rsid w:val="00CD0F15"/>
    <w:rsid w:val="00CD53B2"/>
    <w:rsid w:val="00CD7714"/>
    <w:rsid w:val="00CE5E84"/>
    <w:rsid w:val="00CF12FD"/>
    <w:rsid w:val="00CF2F2E"/>
    <w:rsid w:val="00CF52B9"/>
    <w:rsid w:val="00CF56DA"/>
    <w:rsid w:val="00CF7D75"/>
    <w:rsid w:val="00D12098"/>
    <w:rsid w:val="00D20414"/>
    <w:rsid w:val="00D22513"/>
    <w:rsid w:val="00D2762A"/>
    <w:rsid w:val="00D276DC"/>
    <w:rsid w:val="00D31104"/>
    <w:rsid w:val="00D33232"/>
    <w:rsid w:val="00D34468"/>
    <w:rsid w:val="00D4546D"/>
    <w:rsid w:val="00D46C44"/>
    <w:rsid w:val="00D50B22"/>
    <w:rsid w:val="00D53678"/>
    <w:rsid w:val="00D53A03"/>
    <w:rsid w:val="00D6285D"/>
    <w:rsid w:val="00D63D32"/>
    <w:rsid w:val="00D715C9"/>
    <w:rsid w:val="00D7366F"/>
    <w:rsid w:val="00D73E6A"/>
    <w:rsid w:val="00D75AF8"/>
    <w:rsid w:val="00D84D23"/>
    <w:rsid w:val="00D85EE2"/>
    <w:rsid w:val="00D879FE"/>
    <w:rsid w:val="00D87C59"/>
    <w:rsid w:val="00D90020"/>
    <w:rsid w:val="00D94FF9"/>
    <w:rsid w:val="00D95464"/>
    <w:rsid w:val="00D95FF8"/>
    <w:rsid w:val="00DA092D"/>
    <w:rsid w:val="00DA7D07"/>
    <w:rsid w:val="00DC0914"/>
    <w:rsid w:val="00DC1AC8"/>
    <w:rsid w:val="00DC7E3D"/>
    <w:rsid w:val="00DD3470"/>
    <w:rsid w:val="00DD4E51"/>
    <w:rsid w:val="00DE32FF"/>
    <w:rsid w:val="00DE3F24"/>
    <w:rsid w:val="00DE63CD"/>
    <w:rsid w:val="00DE68AC"/>
    <w:rsid w:val="00DF61F7"/>
    <w:rsid w:val="00DF6833"/>
    <w:rsid w:val="00E02DF6"/>
    <w:rsid w:val="00E05373"/>
    <w:rsid w:val="00E057D6"/>
    <w:rsid w:val="00E05AF5"/>
    <w:rsid w:val="00E060C4"/>
    <w:rsid w:val="00E07A6F"/>
    <w:rsid w:val="00E1040A"/>
    <w:rsid w:val="00E230EC"/>
    <w:rsid w:val="00E23907"/>
    <w:rsid w:val="00E25735"/>
    <w:rsid w:val="00E27BA1"/>
    <w:rsid w:val="00E3721A"/>
    <w:rsid w:val="00E44379"/>
    <w:rsid w:val="00E455D4"/>
    <w:rsid w:val="00E4726C"/>
    <w:rsid w:val="00E56443"/>
    <w:rsid w:val="00E56790"/>
    <w:rsid w:val="00E63DBD"/>
    <w:rsid w:val="00E7451D"/>
    <w:rsid w:val="00E74C25"/>
    <w:rsid w:val="00E82BC5"/>
    <w:rsid w:val="00E87D6F"/>
    <w:rsid w:val="00EA0DF8"/>
    <w:rsid w:val="00EA3B33"/>
    <w:rsid w:val="00EA4A1A"/>
    <w:rsid w:val="00EA7111"/>
    <w:rsid w:val="00EB0159"/>
    <w:rsid w:val="00EB18AD"/>
    <w:rsid w:val="00EB2647"/>
    <w:rsid w:val="00EB2965"/>
    <w:rsid w:val="00EB53C8"/>
    <w:rsid w:val="00EC17AD"/>
    <w:rsid w:val="00ED0E39"/>
    <w:rsid w:val="00ED1B8A"/>
    <w:rsid w:val="00ED7D9B"/>
    <w:rsid w:val="00EE5399"/>
    <w:rsid w:val="00EF0CAC"/>
    <w:rsid w:val="00EF1053"/>
    <w:rsid w:val="00EF17D8"/>
    <w:rsid w:val="00EF24FE"/>
    <w:rsid w:val="00EF763F"/>
    <w:rsid w:val="00F003B2"/>
    <w:rsid w:val="00F0059B"/>
    <w:rsid w:val="00F16882"/>
    <w:rsid w:val="00F213E6"/>
    <w:rsid w:val="00F24A53"/>
    <w:rsid w:val="00F24E75"/>
    <w:rsid w:val="00F33857"/>
    <w:rsid w:val="00F40496"/>
    <w:rsid w:val="00F42167"/>
    <w:rsid w:val="00F42742"/>
    <w:rsid w:val="00F46D22"/>
    <w:rsid w:val="00F52005"/>
    <w:rsid w:val="00F524E2"/>
    <w:rsid w:val="00F55E94"/>
    <w:rsid w:val="00F604C4"/>
    <w:rsid w:val="00F65A42"/>
    <w:rsid w:val="00F77A91"/>
    <w:rsid w:val="00F86ADB"/>
    <w:rsid w:val="00F9000E"/>
    <w:rsid w:val="00F94FB7"/>
    <w:rsid w:val="00F951F6"/>
    <w:rsid w:val="00FA0F48"/>
    <w:rsid w:val="00FA1EB7"/>
    <w:rsid w:val="00FA4696"/>
    <w:rsid w:val="00FA5103"/>
    <w:rsid w:val="00FA5480"/>
    <w:rsid w:val="00FA710C"/>
    <w:rsid w:val="00FB56D1"/>
    <w:rsid w:val="00FB68F0"/>
    <w:rsid w:val="00FC243B"/>
    <w:rsid w:val="00FC321F"/>
    <w:rsid w:val="00FC32EE"/>
    <w:rsid w:val="00FC5566"/>
    <w:rsid w:val="00FC5A43"/>
    <w:rsid w:val="00FC7F70"/>
    <w:rsid w:val="00FD39E5"/>
    <w:rsid w:val="00FE1DFF"/>
    <w:rsid w:val="00FE3214"/>
    <w:rsid w:val="00FF1A5E"/>
    <w:rsid w:val="00FF33D5"/>
    <w:rsid w:val="00FF3854"/>
    <w:rsid w:val="00FF59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F53E3C"/>
  <w15:chartTrackingRefBased/>
  <w15:docId w15:val="{E6951A12-B986-4FC5-BEE8-23063AF50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pPr>
      <w:keepNext/>
      <w:outlineLvl w:val="0"/>
    </w:pPr>
    <w:rPr>
      <w:vanish/>
    </w:rPr>
  </w:style>
  <w:style w:type="paragraph" w:styleId="Heading2">
    <w:name w:val="heading 2"/>
    <w:basedOn w:val="Normal"/>
    <w:next w:val="Normal"/>
    <w:link w:val="Heading2Char"/>
    <w:uiPriority w:val="9"/>
    <w:unhideWhenUsed/>
    <w:qFormat/>
    <w:rsid w:val="00FC5566"/>
    <w:pPr>
      <w:keepNext/>
      <w:keepLines/>
      <w:spacing w:before="160" w:after="80"/>
      <w:outlineLvl w:val="1"/>
    </w:pPr>
    <w:rPr>
      <w:rFonts w:ascii="Aptos Display" w:hAnsi="Aptos Display"/>
      <w:color w:val="0F4761"/>
      <w:sz w:val="32"/>
      <w:szCs w:val="32"/>
    </w:rPr>
  </w:style>
  <w:style w:type="paragraph" w:styleId="Heading3">
    <w:name w:val="heading 3"/>
    <w:basedOn w:val="Normal"/>
    <w:next w:val="Normal"/>
    <w:link w:val="Heading3Char"/>
    <w:uiPriority w:val="9"/>
    <w:unhideWhenUsed/>
    <w:qFormat/>
    <w:rsid w:val="00FC5566"/>
    <w:pPr>
      <w:keepNext/>
      <w:keepLines/>
      <w:spacing w:before="160" w:after="80"/>
      <w:outlineLvl w:val="2"/>
    </w:pPr>
    <w:rPr>
      <w:rFonts w:ascii="Aptos" w:hAnsi="Aptos"/>
      <w:color w:val="0F4761"/>
      <w:sz w:val="28"/>
      <w:szCs w:val="28"/>
    </w:rPr>
  </w:style>
  <w:style w:type="paragraph" w:styleId="Heading4">
    <w:name w:val="heading 4"/>
    <w:basedOn w:val="Normal"/>
    <w:next w:val="Normal"/>
    <w:link w:val="Heading4Char"/>
    <w:uiPriority w:val="9"/>
    <w:semiHidden/>
    <w:unhideWhenUsed/>
    <w:qFormat/>
    <w:rsid w:val="00FC5566"/>
    <w:pPr>
      <w:keepNext/>
      <w:keepLines/>
      <w:spacing w:before="80" w:after="40"/>
      <w:outlineLvl w:val="3"/>
    </w:pPr>
    <w:rPr>
      <w:rFonts w:ascii="Aptos" w:hAnsi="Aptos"/>
      <w:i/>
      <w:iCs/>
      <w:color w:val="0F4761"/>
    </w:rPr>
  </w:style>
  <w:style w:type="paragraph" w:styleId="Heading5">
    <w:name w:val="heading 5"/>
    <w:basedOn w:val="Normal"/>
    <w:next w:val="Normal"/>
    <w:link w:val="Heading5Char"/>
    <w:uiPriority w:val="9"/>
    <w:semiHidden/>
    <w:unhideWhenUsed/>
    <w:qFormat/>
    <w:rsid w:val="00FC5566"/>
    <w:pPr>
      <w:keepNext/>
      <w:keepLines/>
      <w:spacing w:before="80" w:after="40"/>
      <w:outlineLvl w:val="4"/>
    </w:pPr>
    <w:rPr>
      <w:rFonts w:ascii="Aptos" w:hAnsi="Aptos"/>
      <w:color w:val="0F4761"/>
    </w:rPr>
  </w:style>
  <w:style w:type="paragraph" w:styleId="Heading6">
    <w:name w:val="heading 6"/>
    <w:basedOn w:val="Normal"/>
    <w:next w:val="Normal"/>
    <w:link w:val="Heading6Char"/>
    <w:uiPriority w:val="9"/>
    <w:semiHidden/>
    <w:unhideWhenUsed/>
    <w:qFormat/>
    <w:rsid w:val="00FC5566"/>
    <w:pPr>
      <w:keepNext/>
      <w:keepLines/>
      <w:spacing w:before="40"/>
      <w:outlineLvl w:val="5"/>
    </w:pPr>
    <w:rPr>
      <w:rFonts w:ascii="Aptos" w:hAnsi="Aptos"/>
      <w:i/>
      <w:iCs/>
      <w:color w:val="595959"/>
    </w:rPr>
  </w:style>
  <w:style w:type="paragraph" w:styleId="Heading7">
    <w:name w:val="heading 7"/>
    <w:basedOn w:val="Normal"/>
    <w:next w:val="Normal"/>
    <w:link w:val="Heading7Char"/>
    <w:uiPriority w:val="9"/>
    <w:semiHidden/>
    <w:unhideWhenUsed/>
    <w:qFormat/>
    <w:rsid w:val="00FC5566"/>
    <w:pPr>
      <w:keepNext/>
      <w:keepLines/>
      <w:spacing w:before="40"/>
      <w:outlineLvl w:val="6"/>
    </w:pPr>
    <w:rPr>
      <w:rFonts w:ascii="Aptos" w:hAnsi="Aptos"/>
      <w:color w:val="595959"/>
    </w:rPr>
  </w:style>
  <w:style w:type="paragraph" w:styleId="Heading8">
    <w:name w:val="heading 8"/>
    <w:basedOn w:val="Normal"/>
    <w:next w:val="Normal"/>
    <w:link w:val="Heading8Char"/>
    <w:uiPriority w:val="9"/>
    <w:semiHidden/>
    <w:unhideWhenUsed/>
    <w:qFormat/>
    <w:rsid w:val="00FC5566"/>
    <w:pPr>
      <w:keepNext/>
      <w:keepLines/>
      <w:outlineLvl w:val="7"/>
    </w:pPr>
    <w:rPr>
      <w:rFonts w:ascii="Aptos" w:hAnsi="Aptos"/>
      <w:i/>
      <w:iCs/>
      <w:color w:val="272727"/>
    </w:rPr>
  </w:style>
  <w:style w:type="paragraph" w:styleId="Heading9">
    <w:name w:val="heading 9"/>
    <w:basedOn w:val="Normal"/>
    <w:next w:val="Normal"/>
    <w:link w:val="Heading9Char"/>
    <w:uiPriority w:val="9"/>
    <w:semiHidden/>
    <w:unhideWhenUsed/>
    <w:qFormat/>
    <w:rsid w:val="00FC5566"/>
    <w:pPr>
      <w:keepNext/>
      <w:keepLines/>
      <w:outlineLvl w:val="8"/>
    </w:pPr>
    <w:rPr>
      <w:rFonts w:ascii="Aptos" w:hAnsi="Aptos"/>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customStyle="1" w:styleId="a">
    <w:name w:val="(a)."/>
    <w:basedOn w:val="Text"/>
    <w:pPr>
      <w:tabs>
        <w:tab w:val="clear" w:pos="0"/>
        <w:tab w:val="clear" w:pos="180"/>
        <w:tab w:val="clear" w:pos="360"/>
        <w:tab w:val="clear" w:pos="540"/>
        <w:tab w:val="clear" w:pos="720"/>
        <w:tab w:val="clear" w:pos="900"/>
        <w:tab w:val="clear" w:pos="1080"/>
        <w:tab w:val="clear" w:pos="1260"/>
        <w:tab w:val="clear" w:pos="1440"/>
        <w:tab w:val="clear" w:pos="1620"/>
        <w:tab w:val="clear" w:pos="1800"/>
        <w:tab w:val="clear" w:pos="1980"/>
        <w:tab w:val="clear" w:pos="2160"/>
        <w:tab w:val="clear" w:pos="2340"/>
        <w:tab w:val="clear" w:pos="2520"/>
        <w:tab w:val="clear" w:pos="2700"/>
        <w:tab w:val="clear" w:pos="2880"/>
        <w:tab w:val="clear" w:pos="3060"/>
        <w:tab w:val="clear" w:pos="3240"/>
        <w:tab w:val="clear" w:pos="3420"/>
        <w:tab w:val="clear" w:pos="3600"/>
        <w:tab w:val="clear" w:pos="3780"/>
        <w:tab w:val="clear" w:pos="3960"/>
        <w:tab w:val="clear" w:pos="4140"/>
        <w:tab w:val="clear" w:pos="4320"/>
        <w:tab w:val="clear" w:pos="4507"/>
        <w:tab w:val="clear" w:pos="4867"/>
        <w:tab w:val="left" w:pos="1267"/>
        <w:tab w:val="left" w:pos="4500"/>
        <w:tab w:val="left" w:pos="4860"/>
        <w:tab w:val="left" w:pos="5040"/>
        <w:tab w:val="left" w:pos="7200"/>
      </w:tabs>
      <w:spacing w:line="240" w:lineRule="auto"/>
      <w:ind w:firstLine="907"/>
      <w:outlineLvl w:val="7"/>
    </w:pPr>
  </w:style>
  <w:style w:type="paragraph" w:customStyle="1" w:styleId="Text">
    <w:name w:val="Text"/>
    <w:basedOn w:val="Normal"/>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both"/>
      <w:outlineLvl w:val="3"/>
    </w:pPr>
    <w:rPr>
      <w:kern w:val="2"/>
    </w:rPr>
  </w:style>
  <w:style w:type="paragraph" w:customStyle="1" w:styleId="i">
    <w:name w:val="(i)."/>
    <w:basedOn w:val="Normal"/>
    <w:pPr>
      <w:tabs>
        <w:tab w:val="decimal" w:pos="1440"/>
        <w:tab w:val="left" w:pos="1728"/>
      </w:tabs>
      <w:jc w:val="both"/>
      <w:outlineLvl w:val="8"/>
    </w:pPr>
    <w:rPr>
      <w:kern w:val="2"/>
    </w:rPr>
  </w:style>
  <w:style w:type="paragraph" w:customStyle="1" w:styleId="1">
    <w:name w:val="1."/>
    <w:basedOn w:val="Normal"/>
    <w:link w:val="1Char"/>
    <w:pPr>
      <w:tabs>
        <w:tab w:val="left" w:pos="720"/>
        <w:tab w:val="left" w:pos="979"/>
        <w:tab w:val="left" w:pos="1152"/>
      </w:tabs>
      <w:ind w:firstLine="360"/>
      <w:jc w:val="both"/>
      <w:outlineLvl w:val="4"/>
    </w:pPr>
    <w:rPr>
      <w:kern w:val="2"/>
    </w:rPr>
  </w:style>
  <w:style w:type="paragraph" w:customStyle="1" w:styleId="A0">
    <w:name w:val="A."/>
    <w:basedOn w:val="Normal"/>
    <w:link w:val="AChar"/>
    <w:pPr>
      <w:tabs>
        <w:tab w:val="left" w:pos="144"/>
        <w:tab w:val="left" w:pos="187"/>
        <w:tab w:val="left" w:pos="540"/>
        <w:tab w:val="left" w:pos="907"/>
        <w:tab w:val="left" w:pos="1080"/>
      </w:tabs>
      <w:ind w:firstLine="187"/>
      <w:jc w:val="both"/>
      <w:outlineLvl w:val="3"/>
    </w:pPr>
    <w:rPr>
      <w:kern w:val="2"/>
    </w:rPr>
  </w:style>
  <w:style w:type="paragraph" w:customStyle="1" w:styleId="a1">
    <w:name w:val="a."/>
    <w:basedOn w:val="Normal"/>
    <w:link w:val="aChar0"/>
    <w:pPr>
      <w:tabs>
        <w:tab w:val="left" w:pos="907"/>
      </w:tabs>
      <w:ind w:firstLine="547"/>
      <w:jc w:val="both"/>
      <w:outlineLvl w:val="5"/>
    </w:pPr>
    <w:rPr>
      <w:kern w:val="2"/>
    </w:rPr>
  </w:style>
  <w:style w:type="paragraph" w:customStyle="1" w:styleId="AuthorityNote">
    <w:name w:val="Authority Note"/>
    <w:basedOn w:val="Normal"/>
    <w:link w:val="AuthorityNoteChar"/>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pPr>
    <w:rPr>
      <w:kern w:val="2"/>
      <w:sz w:val="18"/>
    </w:rPr>
  </w:style>
  <w:style w:type="paragraph" w:customStyle="1" w:styleId="Chapter">
    <w:name w:val="Chapter"/>
    <w:basedOn w:val="Normal"/>
    <w:link w:val="ChapterChar"/>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pPr>
    <w:rPr>
      <w:b/>
      <w:kern w:val="2"/>
    </w:rPr>
  </w:style>
  <w:style w:type="paragraph" w:customStyle="1" w:styleId="FooterEven">
    <w:name w:val="FooterEven"/>
    <w:basedOn w:val="Footer"/>
    <w:pPr>
      <w:tabs>
        <w:tab w:val="clear" w:pos="8640"/>
        <w:tab w:val="right" w:pos="4320"/>
      </w:tabs>
      <w:spacing w:before="60"/>
    </w:pPr>
    <w:rPr>
      <w:rFonts w:ascii="Arial" w:hAnsi="Arial"/>
      <w:i/>
      <w:sz w:val="16"/>
    </w:rPr>
  </w:style>
  <w:style w:type="paragraph" w:customStyle="1" w:styleId="FooterOdd">
    <w:name w:val="FooterOdd"/>
    <w:basedOn w:val="Footer"/>
    <w:pPr>
      <w:tabs>
        <w:tab w:val="clear" w:pos="4320"/>
        <w:tab w:val="clear" w:pos="8640"/>
        <w:tab w:val="left" w:pos="6030"/>
        <w:tab w:val="right" w:pos="10440"/>
      </w:tabs>
      <w:spacing w:before="60"/>
      <w:jc w:val="right"/>
    </w:pPr>
    <w:rPr>
      <w:rFonts w:ascii="Arial" w:hAnsi="Arial"/>
      <w:i/>
      <w:sz w:val="16"/>
    </w:rPr>
  </w:style>
  <w:style w:type="paragraph" w:customStyle="1" w:styleId="HistoricalNote">
    <w:name w:val="Historical Note"/>
    <w:basedOn w:val="Normal"/>
    <w:link w:val="HistoricalNoteChar"/>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pPr>
    <w:rPr>
      <w:kern w:val="2"/>
      <w:sz w:val="18"/>
    </w:rPr>
  </w:style>
  <w:style w:type="paragraph" w:customStyle="1" w:styleId="i0">
    <w:name w:val="i."/>
    <w:basedOn w:val="Text"/>
    <w:pPr>
      <w:tabs>
        <w:tab w:val="clear" w:pos="0"/>
        <w:tab w:val="clear" w:pos="180"/>
        <w:tab w:val="clear" w:pos="360"/>
        <w:tab w:val="clear" w:pos="540"/>
        <w:tab w:val="clear" w:pos="720"/>
        <w:tab w:val="clear" w:pos="900"/>
        <w:tab w:val="clear" w:pos="1260"/>
        <w:tab w:val="clear" w:pos="1440"/>
        <w:tab w:val="clear" w:pos="1620"/>
        <w:tab w:val="clear" w:pos="1800"/>
        <w:tab w:val="clear" w:pos="1980"/>
        <w:tab w:val="clear" w:pos="2160"/>
        <w:tab w:val="clear" w:pos="2340"/>
        <w:tab w:val="clear" w:pos="2520"/>
        <w:tab w:val="clear" w:pos="2700"/>
        <w:tab w:val="clear" w:pos="2880"/>
        <w:tab w:val="clear" w:pos="3060"/>
        <w:tab w:val="clear" w:pos="3240"/>
        <w:tab w:val="clear" w:pos="3420"/>
        <w:tab w:val="clear" w:pos="3600"/>
        <w:tab w:val="clear" w:pos="3780"/>
        <w:tab w:val="clear" w:pos="3960"/>
        <w:tab w:val="clear" w:pos="4140"/>
        <w:tab w:val="clear" w:pos="4320"/>
        <w:tab w:val="clear" w:pos="4507"/>
        <w:tab w:val="clear" w:pos="4867"/>
        <w:tab w:val="decimal" w:pos="806"/>
        <w:tab w:val="left" w:pos="4500"/>
        <w:tab w:val="left" w:pos="4860"/>
        <w:tab w:val="left" w:pos="5040"/>
        <w:tab w:val="left" w:pos="7200"/>
      </w:tabs>
      <w:spacing w:line="240" w:lineRule="auto"/>
      <w:ind w:firstLine="0"/>
      <w:outlineLvl w:val="5"/>
    </w:pPr>
  </w:style>
  <w:style w:type="paragraph" w:customStyle="1" w:styleId="LACNote">
    <w:name w:val="LACNote"/>
    <w:basedOn w:val="Normal"/>
    <w:pPr>
      <w:spacing w:after="120"/>
      <w:ind w:firstLine="187"/>
      <w:jc w:val="both"/>
    </w:pPr>
    <w:rPr>
      <w:kern w:val="2"/>
      <w:sz w:val="16"/>
    </w:rPr>
  </w:style>
  <w:style w:type="character" w:styleId="PageNumber">
    <w:name w:val="page number"/>
    <w:rPr>
      <w:rFonts w:ascii="Times New Roman" w:hAnsi="Times New Roman"/>
      <w:dstrike w:val="0"/>
      <w:color w:val="auto"/>
      <w:sz w:val="20"/>
      <w:vertAlign w:val="baseline"/>
    </w:rPr>
  </w:style>
  <w:style w:type="paragraph" w:customStyle="1" w:styleId="RegCodePart">
    <w:name w:val="Reg Code Part"/>
    <w:pPr>
      <w:keepNext/>
      <w:jc w:val="center"/>
    </w:pPr>
    <w:rPr>
      <w:b/>
      <w:noProof/>
    </w:rPr>
  </w:style>
  <w:style w:type="paragraph" w:customStyle="1" w:styleId="RegFE1">
    <w:name w:val="Reg F&amp;E 1"/>
    <w:pPr>
      <w:ind w:left="288" w:hanging="288"/>
      <w:jc w:val="both"/>
    </w:pPr>
    <w:rPr>
      <w:noProof/>
      <w:spacing w:val="-10"/>
      <w:sz w:val="18"/>
    </w:rPr>
  </w:style>
  <w:style w:type="paragraph" w:customStyle="1" w:styleId="RegFE2">
    <w:name w:val="Reg F&amp;E 2"/>
    <w:pPr>
      <w:ind w:left="288" w:firstLine="288"/>
      <w:jc w:val="both"/>
    </w:pPr>
    <w:rPr>
      <w:noProof/>
      <w:sz w:val="18"/>
    </w:rPr>
  </w:style>
  <w:style w:type="paragraph" w:customStyle="1" w:styleId="Section">
    <w:name w:val="Section"/>
    <w:basedOn w:val="Normal"/>
    <w:link w:val="SectionChar"/>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pPr>
    <w:rPr>
      <w:b/>
      <w:kern w:val="2"/>
    </w:rPr>
  </w:style>
  <w:style w:type="paragraph" w:customStyle="1" w:styleId="SubChapter">
    <w:name w:val="SubChapter"/>
    <w:basedOn w:val="Normal"/>
    <w:pPr>
      <w:keepNext/>
      <w:keepLines/>
      <w:spacing w:after="120"/>
      <w:outlineLvl w:val="1"/>
    </w:pPr>
    <w:rPr>
      <w:sz w:val="28"/>
    </w:rPr>
  </w:style>
  <w:style w:type="paragraph" w:customStyle="1" w:styleId="RegCodeTitle">
    <w:name w:val="Reg Code Title"/>
    <w:basedOn w:val="Normal"/>
    <w:next w:val="Normal"/>
    <w:link w:val="RegCodeTitleChar"/>
    <w:pPr>
      <w:keepNext/>
      <w:jc w:val="center"/>
    </w:pPr>
    <w:rPr>
      <w:b/>
      <w:kern w:val="28"/>
    </w:rPr>
  </w:style>
  <w:style w:type="paragraph" w:customStyle="1" w:styleId="DD1">
    <w:name w:val="DD1"/>
    <w:rPr>
      <w:noProof/>
    </w:rPr>
  </w:style>
  <w:style w:type="paragraph" w:customStyle="1" w:styleId="RegDepartment">
    <w:name w:val="Reg Department"/>
    <w:next w:val="RegSubDepartment"/>
    <w:pPr>
      <w:keepNext/>
      <w:jc w:val="center"/>
    </w:pPr>
    <w:rPr>
      <w:b/>
      <w:noProof/>
    </w:rPr>
  </w:style>
  <w:style w:type="paragraph" w:customStyle="1" w:styleId="RegSubDepartment">
    <w:name w:val="Reg SubDepartment"/>
    <w:pPr>
      <w:keepNext/>
      <w:spacing w:after="240"/>
      <w:jc w:val="center"/>
    </w:pPr>
    <w:rPr>
      <w:b/>
      <w:noProof/>
      <w:sz w:val="22"/>
    </w:rPr>
  </w:style>
  <w:style w:type="paragraph" w:customStyle="1" w:styleId="RegItemTitle">
    <w:name w:val="Reg Item Title"/>
    <w:pPr>
      <w:keepNext/>
      <w:spacing w:after="240"/>
      <w:jc w:val="center"/>
    </w:pPr>
    <w:rPr>
      <w:noProof/>
    </w:rPr>
  </w:style>
  <w:style w:type="paragraph" w:customStyle="1" w:styleId="ExoA">
    <w:name w:val="Exo A."/>
    <w:basedOn w:val="Normal"/>
    <w:pPr>
      <w:tabs>
        <w:tab w:val="left" w:pos="936"/>
      </w:tabs>
      <w:spacing w:line="240" w:lineRule="exact"/>
      <w:ind w:left="360" w:right="360" w:firstLine="187"/>
      <w:jc w:val="both"/>
    </w:pPr>
  </w:style>
  <w:style w:type="paragraph" w:customStyle="1" w:styleId="ExoNormal">
    <w:name w:val="Exo Normal"/>
    <w:pPr>
      <w:tabs>
        <w:tab w:val="left" w:pos="1656"/>
      </w:tabs>
      <w:ind w:firstLine="360"/>
      <w:jc w:val="both"/>
    </w:pPr>
    <w:rPr>
      <w:noProof/>
    </w:rPr>
  </w:style>
  <w:style w:type="paragraph" w:customStyle="1" w:styleId="RegItemFirstLine">
    <w:name w:val="Reg Item First Line"/>
    <w:next w:val="RegDepartment"/>
    <w:pPr>
      <w:keepNext/>
      <w:tabs>
        <w:tab w:val="left" w:pos="-1440"/>
      </w:tabs>
      <w:spacing w:after="120"/>
      <w:jc w:val="center"/>
    </w:pPr>
    <w:rPr>
      <w:b/>
      <w:noProof/>
    </w:rPr>
  </w:style>
  <w:style w:type="paragraph" w:customStyle="1" w:styleId="RegSignature">
    <w:name w:val="Reg Signature"/>
    <w:basedOn w:val="Normal"/>
    <w:pPr>
      <w:keepNext/>
      <w:ind w:left="2160"/>
      <w:jc w:val="both"/>
    </w:pPr>
  </w:style>
  <w:style w:type="paragraph" w:customStyle="1" w:styleId="ExoSecOfState">
    <w:name w:val="Exo SecOfState"/>
    <w:pPr>
      <w:keepNext/>
    </w:pPr>
    <w:rPr>
      <w:noProof/>
    </w:rPr>
  </w:style>
  <w:style w:type="paragraph" w:customStyle="1" w:styleId="RegDoubleIndent">
    <w:name w:val="Reg Double Indent"/>
    <w:link w:val="RegDoubleIndentChar"/>
    <w:pPr>
      <w:ind w:left="432" w:right="432"/>
      <w:jc w:val="both"/>
    </w:pPr>
    <w:rPr>
      <w:noProof/>
    </w:rPr>
  </w:style>
  <w:style w:type="paragraph" w:customStyle="1" w:styleId="RegLogNumber">
    <w:name w:val="Reg Log Number"/>
    <w:rPr>
      <w:noProof/>
      <w:sz w:val="16"/>
    </w:rPr>
  </w:style>
  <w:style w:type="paragraph" w:customStyle="1" w:styleId="RegSectionTitle">
    <w:name w:val="RegSectionTitle"/>
    <w:pPr>
      <w:jc w:val="center"/>
    </w:pPr>
    <w:rPr>
      <w:rFonts w:ascii="Arial" w:hAnsi="Arial"/>
      <w:b/>
      <w:noProof/>
      <w:sz w:val="48"/>
    </w:rPr>
  </w:style>
  <w:style w:type="table" w:styleId="TableGrid">
    <w:name w:val="Table Grid"/>
    <w:basedOn w:val="TableNormal"/>
    <w:uiPriority w:val="59"/>
    <w:rsid w:val="009432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har">
    <w:name w:val="A. Char"/>
    <w:link w:val="A0"/>
    <w:locked/>
    <w:rsid w:val="00FC5566"/>
    <w:rPr>
      <w:kern w:val="2"/>
    </w:rPr>
  </w:style>
  <w:style w:type="character" w:customStyle="1" w:styleId="Heading2Char">
    <w:name w:val="Heading 2 Char"/>
    <w:basedOn w:val="DefaultParagraphFont"/>
    <w:link w:val="Heading2"/>
    <w:uiPriority w:val="9"/>
    <w:rsid w:val="00FC5566"/>
    <w:rPr>
      <w:rFonts w:ascii="Aptos Display" w:hAnsi="Aptos Display"/>
      <w:color w:val="0F4761"/>
      <w:sz w:val="32"/>
      <w:szCs w:val="32"/>
    </w:rPr>
  </w:style>
  <w:style w:type="character" w:customStyle="1" w:styleId="Heading3Char">
    <w:name w:val="Heading 3 Char"/>
    <w:basedOn w:val="DefaultParagraphFont"/>
    <w:link w:val="Heading3"/>
    <w:uiPriority w:val="9"/>
    <w:rsid w:val="00FC5566"/>
    <w:rPr>
      <w:rFonts w:ascii="Aptos" w:hAnsi="Aptos"/>
      <w:color w:val="0F4761"/>
      <w:sz w:val="28"/>
      <w:szCs w:val="28"/>
    </w:rPr>
  </w:style>
  <w:style w:type="character" w:customStyle="1" w:styleId="Heading4Char">
    <w:name w:val="Heading 4 Char"/>
    <w:basedOn w:val="DefaultParagraphFont"/>
    <w:link w:val="Heading4"/>
    <w:uiPriority w:val="9"/>
    <w:semiHidden/>
    <w:rsid w:val="00FC5566"/>
    <w:rPr>
      <w:rFonts w:ascii="Aptos" w:hAnsi="Aptos"/>
      <w:i/>
      <w:iCs/>
      <w:color w:val="0F4761"/>
    </w:rPr>
  </w:style>
  <w:style w:type="character" w:customStyle="1" w:styleId="Heading5Char">
    <w:name w:val="Heading 5 Char"/>
    <w:basedOn w:val="DefaultParagraphFont"/>
    <w:link w:val="Heading5"/>
    <w:uiPriority w:val="9"/>
    <w:semiHidden/>
    <w:rsid w:val="00FC5566"/>
    <w:rPr>
      <w:rFonts w:ascii="Aptos" w:hAnsi="Aptos"/>
      <w:color w:val="0F4761"/>
    </w:rPr>
  </w:style>
  <w:style w:type="character" w:customStyle="1" w:styleId="Heading6Char">
    <w:name w:val="Heading 6 Char"/>
    <w:basedOn w:val="DefaultParagraphFont"/>
    <w:link w:val="Heading6"/>
    <w:uiPriority w:val="9"/>
    <w:semiHidden/>
    <w:rsid w:val="00FC5566"/>
    <w:rPr>
      <w:rFonts w:ascii="Aptos" w:hAnsi="Aptos"/>
      <w:i/>
      <w:iCs/>
      <w:color w:val="595959"/>
    </w:rPr>
  </w:style>
  <w:style w:type="character" w:customStyle="1" w:styleId="Heading7Char">
    <w:name w:val="Heading 7 Char"/>
    <w:basedOn w:val="DefaultParagraphFont"/>
    <w:link w:val="Heading7"/>
    <w:uiPriority w:val="9"/>
    <w:semiHidden/>
    <w:rsid w:val="00FC5566"/>
    <w:rPr>
      <w:rFonts w:ascii="Aptos" w:hAnsi="Aptos"/>
      <w:color w:val="595959"/>
    </w:rPr>
  </w:style>
  <w:style w:type="character" w:customStyle="1" w:styleId="Heading8Char">
    <w:name w:val="Heading 8 Char"/>
    <w:basedOn w:val="DefaultParagraphFont"/>
    <w:link w:val="Heading8"/>
    <w:uiPriority w:val="9"/>
    <w:semiHidden/>
    <w:rsid w:val="00FC5566"/>
    <w:rPr>
      <w:rFonts w:ascii="Aptos" w:hAnsi="Aptos"/>
      <w:i/>
      <w:iCs/>
      <w:color w:val="272727"/>
    </w:rPr>
  </w:style>
  <w:style w:type="character" w:customStyle="1" w:styleId="Heading9Char">
    <w:name w:val="Heading 9 Char"/>
    <w:basedOn w:val="DefaultParagraphFont"/>
    <w:link w:val="Heading9"/>
    <w:uiPriority w:val="9"/>
    <w:semiHidden/>
    <w:rsid w:val="00FC5566"/>
    <w:rPr>
      <w:rFonts w:ascii="Aptos" w:hAnsi="Aptos"/>
      <w:color w:val="272727"/>
    </w:rPr>
  </w:style>
  <w:style w:type="character" w:customStyle="1" w:styleId="AuthorityNoteChar">
    <w:name w:val="Authority Note Char"/>
    <w:link w:val="AuthorityNote"/>
    <w:locked/>
    <w:rsid w:val="00FC5566"/>
    <w:rPr>
      <w:kern w:val="2"/>
      <w:sz w:val="18"/>
    </w:rPr>
  </w:style>
  <w:style w:type="character" w:customStyle="1" w:styleId="HistoricalNoteChar">
    <w:name w:val="Historical Note Char"/>
    <w:link w:val="HistoricalNote"/>
    <w:rsid w:val="00FC5566"/>
    <w:rPr>
      <w:kern w:val="2"/>
      <w:sz w:val="18"/>
    </w:rPr>
  </w:style>
  <w:style w:type="character" w:customStyle="1" w:styleId="SectionChar">
    <w:name w:val="Section Char"/>
    <w:link w:val="Section"/>
    <w:rsid w:val="00FC5566"/>
    <w:rPr>
      <w:b/>
      <w:kern w:val="2"/>
    </w:rPr>
  </w:style>
  <w:style w:type="character" w:customStyle="1" w:styleId="1Char">
    <w:name w:val="1. Char"/>
    <w:link w:val="1"/>
    <w:rsid w:val="00FC5566"/>
    <w:rPr>
      <w:kern w:val="2"/>
    </w:rPr>
  </w:style>
  <w:style w:type="character" w:customStyle="1" w:styleId="RegDoubleIndentChar">
    <w:name w:val="Reg Double Indent Char"/>
    <w:link w:val="RegDoubleIndent"/>
    <w:rsid w:val="00FC5566"/>
    <w:rPr>
      <w:noProof/>
    </w:rPr>
  </w:style>
  <w:style w:type="character" w:customStyle="1" w:styleId="aChar0">
    <w:name w:val="a. Char"/>
    <w:link w:val="a1"/>
    <w:rsid w:val="00FC5566"/>
    <w:rPr>
      <w:kern w:val="2"/>
    </w:rPr>
  </w:style>
  <w:style w:type="character" w:customStyle="1" w:styleId="TOC1">
    <w:name w:val="TOC1"/>
    <w:rsid w:val="00FC5566"/>
    <w:rPr>
      <w:rFonts w:ascii="Arial" w:hAnsi="Arial"/>
      <w:b/>
      <w:kern w:val="2"/>
      <w:sz w:val="18"/>
    </w:rPr>
  </w:style>
  <w:style w:type="character" w:customStyle="1" w:styleId="1AutoList3">
    <w:name w:val="1AutoList3"/>
    <w:rsid w:val="00FC5566"/>
    <w:rPr>
      <w:rFonts w:ascii="Courier New" w:hAnsi="Courier New"/>
      <w:sz w:val="24"/>
    </w:rPr>
  </w:style>
  <w:style w:type="paragraph" w:styleId="ListParagraph">
    <w:name w:val="List Paragraph"/>
    <w:basedOn w:val="Normal"/>
    <w:uiPriority w:val="1"/>
    <w:qFormat/>
    <w:rsid w:val="00FC5566"/>
    <w:pPr>
      <w:ind w:left="720"/>
      <w:contextualSpacing/>
    </w:pPr>
    <w:rPr>
      <w:rFonts w:eastAsia="Aptos"/>
    </w:rPr>
  </w:style>
  <w:style w:type="character" w:customStyle="1" w:styleId="ChapterChar">
    <w:name w:val="Chapter Char"/>
    <w:link w:val="Chapter"/>
    <w:locked/>
    <w:rsid w:val="00FC5566"/>
    <w:rPr>
      <w:b/>
      <w:kern w:val="2"/>
    </w:rPr>
  </w:style>
  <w:style w:type="paragraph" w:customStyle="1" w:styleId="WPNormal">
    <w:name w:val="WP_Normal"/>
    <w:basedOn w:val="Normal"/>
    <w:rsid w:val="00FC5566"/>
    <w:pPr>
      <w:widowControl w:val="0"/>
      <w:autoSpaceDE w:val="0"/>
      <w:autoSpaceDN w:val="0"/>
      <w:jc w:val="both"/>
    </w:pPr>
    <w:rPr>
      <w:rFonts w:ascii="New Century Schlbk" w:eastAsia="Aptos" w:hAnsi="New Century Schlbk"/>
      <w:color w:val="000000"/>
      <w:sz w:val="24"/>
    </w:rPr>
  </w:style>
  <w:style w:type="paragraph" w:styleId="BalloonText">
    <w:name w:val="Balloon Text"/>
    <w:basedOn w:val="Normal"/>
    <w:link w:val="BalloonTextChar"/>
    <w:uiPriority w:val="99"/>
    <w:semiHidden/>
    <w:unhideWhenUsed/>
    <w:rsid w:val="00FC5566"/>
    <w:rPr>
      <w:rFonts w:ascii="Segoe UI" w:eastAsia="Calibri" w:hAnsi="Segoe UI" w:cs="Segoe UI"/>
      <w:sz w:val="18"/>
      <w:szCs w:val="18"/>
    </w:rPr>
  </w:style>
  <w:style w:type="character" w:customStyle="1" w:styleId="BalloonTextChar">
    <w:name w:val="Balloon Text Char"/>
    <w:basedOn w:val="DefaultParagraphFont"/>
    <w:link w:val="BalloonText"/>
    <w:uiPriority w:val="99"/>
    <w:semiHidden/>
    <w:rsid w:val="00FC5566"/>
    <w:rPr>
      <w:rFonts w:ascii="Segoe UI" w:eastAsia="Calibri" w:hAnsi="Segoe UI" w:cs="Segoe UI"/>
      <w:sz w:val="18"/>
      <w:szCs w:val="18"/>
    </w:rPr>
  </w:style>
  <w:style w:type="character" w:styleId="CommentReference">
    <w:name w:val="annotation reference"/>
    <w:semiHidden/>
    <w:unhideWhenUsed/>
    <w:rsid w:val="00FC5566"/>
    <w:rPr>
      <w:sz w:val="16"/>
      <w:szCs w:val="16"/>
    </w:rPr>
  </w:style>
  <w:style w:type="paragraph" w:styleId="CommentText">
    <w:name w:val="annotation text"/>
    <w:basedOn w:val="Normal"/>
    <w:link w:val="CommentTextChar"/>
    <w:uiPriority w:val="99"/>
    <w:semiHidden/>
    <w:unhideWhenUsed/>
    <w:rsid w:val="00FC5566"/>
    <w:pPr>
      <w:spacing w:after="200"/>
    </w:pPr>
    <w:rPr>
      <w:rFonts w:ascii="Calibri" w:eastAsia="Calibri" w:hAnsi="Calibri"/>
    </w:rPr>
  </w:style>
  <w:style w:type="character" w:customStyle="1" w:styleId="CommentTextChar">
    <w:name w:val="Comment Text Char"/>
    <w:basedOn w:val="DefaultParagraphFont"/>
    <w:link w:val="CommentText"/>
    <w:uiPriority w:val="99"/>
    <w:semiHidden/>
    <w:rsid w:val="00FC5566"/>
    <w:rPr>
      <w:rFonts w:ascii="Calibri" w:eastAsia="Calibri" w:hAnsi="Calibri"/>
    </w:rPr>
  </w:style>
  <w:style w:type="paragraph" w:styleId="CommentSubject">
    <w:name w:val="annotation subject"/>
    <w:basedOn w:val="CommentText"/>
    <w:next w:val="CommentText"/>
    <w:link w:val="CommentSubjectChar"/>
    <w:uiPriority w:val="99"/>
    <w:semiHidden/>
    <w:unhideWhenUsed/>
    <w:rsid w:val="00FC5566"/>
    <w:rPr>
      <w:b/>
      <w:bCs/>
    </w:rPr>
  </w:style>
  <w:style w:type="character" w:customStyle="1" w:styleId="CommentSubjectChar">
    <w:name w:val="Comment Subject Char"/>
    <w:basedOn w:val="CommentTextChar"/>
    <w:link w:val="CommentSubject"/>
    <w:uiPriority w:val="99"/>
    <w:semiHidden/>
    <w:rsid w:val="00FC5566"/>
    <w:rPr>
      <w:rFonts w:ascii="Calibri" w:eastAsia="Calibri" w:hAnsi="Calibri"/>
      <w:b/>
      <w:bCs/>
    </w:rPr>
  </w:style>
  <w:style w:type="character" w:styleId="Hyperlink">
    <w:name w:val="Hyperlink"/>
    <w:uiPriority w:val="99"/>
    <w:unhideWhenUsed/>
    <w:rsid w:val="00FC5566"/>
    <w:rPr>
      <w:color w:val="0563C1"/>
      <w:u w:val="single"/>
    </w:rPr>
  </w:style>
  <w:style w:type="character" w:customStyle="1" w:styleId="Heading1Char">
    <w:name w:val="Heading 1 Char"/>
    <w:link w:val="Heading1"/>
    <w:rsid w:val="00FC5566"/>
    <w:rPr>
      <w:vanish/>
    </w:rPr>
  </w:style>
  <w:style w:type="paragraph" w:styleId="Title">
    <w:name w:val="Title"/>
    <w:basedOn w:val="Normal"/>
    <w:next w:val="Normal"/>
    <w:link w:val="TitleChar"/>
    <w:uiPriority w:val="10"/>
    <w:qFormat/>
    <w:rsid w:val="00FC5566"/>
    <w:pPr>
      <w:spacing w:after="80"/>
      <w:contextualSpacing/>
    </w:pPr>
    <w:rPr>
      <w:rFonts w:ascii="Aptos Display" w:hAnsi="Aptos Display"/>
      <w:spacing w:val="-10"/>
      <w:kern w:val="28"/>
      <w:sz w:val="56"/>
      <w:szCs w:val="56"/>
    </w:rPr>
  </w:style>
  <w:style w:type="character" w:customStyle="1" w:styleId="TitleChar">
    <w:name w:val="Title Char"/>
    <w:basedOn w:val="DefaultParagraphFont"/>
    <w:link w:val="Title"/>
    <w:uiPriority w:val="10"/>
    <w:rsid w:val="00FC5566"/>
    <w:rPr>
      <w:rFonts w:ascii="Aptos Display" w:hAnsi="Aptos Display"/>
      <w:spacing w:val="-10"/>
      <w:kern w:val="28"/>
      <w:sz w:val="56"/>
      <w:szCs w:val="56"/>
    </w:rPr>
  </w:style>
  <w:style w:type="paragraph" w:styleId="Subtitle">
    <w:name w:val="Subtitle"/>
    <w:basedOn w:val="Normal"/>
    <w:next w:val="Normal"/>
    <w:link w:val="SubtitleChar"/>
    <w:uiPriority w:val="11"/>
    <w:qFormat/>
    <w:rsid w:val="00FC5566"/>
    <w:pPr>
      <w:numPr>
        <w:ilvl w:val="1"/>
      </w:numPr>
    </w:pPr>
    <w:rPr>
      <w:rFonts w:ascii="Aptos" w:hAnsi="Aptos"/>
      <w:color w:val="595959"/>
      <w:spacing w:val="15"/>
      <w:sz w:val="28"/>
      <w:szCs w:val="28"/>
    </w:rPr>
  </w:style>
  <w:style w:type="character" w:customStyle="1" w:styleId="SubtitleChar">
    <w:name w:val="Subtitle Char"/>
    <w:basedOn w:val="DefaultParagraphFont"/>
    <w:link w:val="Subtitle"/>
    <w:uiPriority w:val="11"/>
    <w:rsid w:val="00FC5566"/>
    <w:rPr>
      <w:rFonts w:ascii="Aptos" w:hAnsi="Aptos"/>
      <w:color w:val="595959"/>
      <w:spacing w:val="15"/>
      <w:sz w:val="28"/>
      <w:szCs w:val="28"/>
    </w:rPr>
  </w:style>
  <w:style w:type="paragraph" w:styleId="Quote">
    <w:name w:val="Quote"/>
    <w:basedOn w:val="Normal"/>
    <w:next w:val="Normal"/>
    <w:link w:val="QuoteChar"/>
    <w:uiPriority w:val="29"/>
    <w:qFormat/>
    <w:rsid w:val="00FC5566"/>
    <w:pPr>
      <w:spacing w:before="160"/>
      <w:jc w:val="center"/>
    </w:pPr>
    <w:rPr>
      <w:rFonts w:eastAsia="Aptos"/>
      <w:i/>
      <w:iCs/>
      <w:color w:val="404040"/>
    </w:rPr>
  </w:style>
  <w:style w:type="character" w:customStyle="1" w:styleId="QuoteChar">
    <w:name w:val="Quote Char"/>
    <w:basedOn w:val="DefaultParagraphFont"/>
    <w:link w:val="Quote"/>
    <w:uiPriority w:val="29"/>
    <w:rsid w:val="00FC5566"/>
    <w:rPr>
      <w:rFonts w:eastAsia="Aptos"/>
      <w:i/>
      <w:iCs/>
      <w:color w:val="404040"/>
    </w:rPr>
  </w:style>
  <w:style w:type="paragraph" w:styleId="IntenseQuote">
    <w:name w:val="Intense Quote"/>
    <w:basedOn w:val="Normal"/>
    <w:next w:val="Normal"/>
    <w:link w:val="IntenseQuoteChar"/>
    <w:uiPriority w:val="30"/>
    <w:qFormat/>
    <w:rsid w:val="00FC5566"/>
    <w:pPr>
      <w:pBdr>
        <w:top w:val="single" w:sz="4" w:space="10" w:color="0F4761"/>
        <w:bottom w:val="single" w:sz="4" w:space="10" w:color="0F4761"/>
      </w:pBdr>
      <w:spacing w:before="360" w:after="360"/>
      <w:ind w:left="864" w:right="864"/>
      <w:jc w:val="center"/>
    </w:pPr>
    <w:rPr>
      <w:rFonts w:eastAsia="Aptos"/>
      <w:i/>
      <w:iCs/>
      <w:color w:val="0F4761"/>
    </w:rPr>
  </w:style>
  <w:style w:type="character" w:customStyle="1" w:styleId="IntenseQuoteChar">
    <w:name w:val="Intense Quote Char"/>
    <w:basedOn w:val="DefaultParagraphFont"/>
    <w:link w:val="IntenseQuote"/>
    <w:uiPriority w:val="30"/>
    <w:rsid w:val="00FC5566"/>
    <w:rPr>
      <w:rFonts w:eastAsia="Aptos"/>
      <w:i/>
      <w:iCs/>
      <w:color w:val="0F4761"/>
    </w:rPr>
  </w:style>
  <w:style w:type="character" w:styleId="IntenseEmphasis">
    <w:name w:val="Intense Emphasis"/>
    <w:uiPriority w:val="21"/>
    <w:qFormat/>
    <w:rsid w:val="00FC5566"/>
    <w:rPr>
      <w:i/>
      <w:iCs/>
      <w:color w:val="0F4761"/>
    </w:rPr>
  </w:style>
  <w:style w:type="character" w:styleId="IntenseReference">
    <w:name w:val="Intense Reference"/>
    <w:uiPriority w:val="32"/>
    <w:qFormat/>
    <w:rsid w:val="00FC5566"/>
    <w:rPr>
      <w:b/>
      <w:bCs/>
      <w:smallCaps/>
      <w:color w:val="0F4761"/>
      <w:spacing w:val="5"/>
    </w:rPr>
  </w:style>
  <w:style w:type="table" w:customStyle="1" w:styleId="TableGrid1">
    <w:name w:val="Table Grid1"/>
    <w:basedOn w:val="TableNormal"/>
    <w:next w:val="TableGrid"/>
    <w:uiPriority w:val="39"/>
    <w:rsid w:val="00FC5566"/>
    <w:rPr>
      <w:rFonts w:ascii="Calibri" w:eastAsia="Calibri" w:hAnsi="Calibri"/>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FC5566"/>
  </w:style>
  <w:style w:type="paragraph" w:customStyle="1" w:styleId="a0001">
    <w:name w:val="a0001"/>
    <w:basedOn w:val="Normal"/>
    <w:rsid w:val="00FC5566"/>
    <w:pPr>
      <w:spacing w:before="100" w:beforeAutospacing="1" w:after="100" w:afterAutospacing="1"/>
    </w:pPr>
    <w:rPr>
      <w:sz w:val="24"/>
      <w:szCs w:val="24"/>
    </w:rPr>
  </w:style>
  <w:style w:type="paragraph" w:customStyle="1" w:styleId="a0002">
    <w:name w:val="a0002"/>
    <w:basedOn w:val="Normal"/>
    <w:rsid w:val="00FC5566"/>
    <w:pPr>
      <w:spacing w:before="100" w:beforeAutospacing="1" w:after="100" w:afterAutospacing="1"/>
    </w:pPr>
    <w:rPr>
      <w:sz w:val="24"/>
      <w:szCs w:val="24"/>
    </w:rPr>
  </w:style>
  <w:style w:type="paragraph" w:customStyle="1" w:styleId="a0003">
    <w:name w:val="a0003"/>
    <w:basedOn w:val="Normal"/>
    <w:rsid w:val="00FC5566"/>
    <w:pPr>
      <w:spacing w:before="100" w:beforeAutospacing="1" w:after="100" w:afterAutospacing="1"/>
    </w:pPr>
    <w:rPr>
      <w:sz w:val="24"/>
      <w:szCs w:val="24"/>
    </w:rPr>
  </w:style>
  <w:style w:type="paragraph" w:styleId="NormalWeb">
    <w:name w:val="Normal (Web)"/>
    <w:basedOn w:val="Normal"/>
    <w:uiPriority w:val="99"/>
    <w:unhideWhenUsed/>
    <w:rsid w:val="00FC5566"/>
    <w:pPr>
      <w:spacing w:before="100" w:beforeAutospacing="1" w:after="100" w:afterAutospacing="1"/>
    </w:pPr>
    <w:rPr>
      <w:sz w:val="24"/>
      <w:szCs w:val="24"/>
    </w:rPr>
  </w:style>
  <w:style w:type="character" w:customStyle="1" w:styleId="HeaderChar">
    <w:name w:val="Header Char"/>
    <w:link w:val="Header"/>
    <w:rsid w:val="00FC5566"/>
  </w:style>
  <w:style w:type="character" w:customStyle="1" w:styleId="FooterChar">
    <w:name w:val="Footer Char"/>
    <w:link w:val="Footer"/>
    <w:uiPriority w:val="99"/>
    <w:rsid w:val="00FC5566"/>
  </w:style>
  <w:style w:type="paragraph" w:customStyle="1" w:styleId="TableParagraph">
    <w:name w:val="Table Paragraph"/>
    <w:basedOn w:val="Normal"/>
    <w:uiPriority w:val="1"/>
    <w:qFormat/>
    <w:rsid w:val="00FC5566"/>
    <w:pPr>
      <w:widowControl w:val="0"/>
      <w:autoSpaceDE w:val="0"/>
      <w:autoSpaceDN w:val="0"/>
    </w:pPr>
  </w:style>
  <w:style w:type="character" w:customStyle="1" w:styleId="Hyperlink1">
    <w:name w:val="Hyperlink1"/>
    <w:uiPriority w:val="99"/>
    <w:unhideWhenUsed/>
    <w:rsid w:val="00FC5566"/>
    <w:rPr>
      <w:color w:val="467886"/>
      <w:u w:val="single"/>
    </w:rPr>
  </w:style>
  <w:style w:type="character" w:styleId="UnresolvedMention">
    <w:name w:val="Unresolved Mention"/>
    <w:uiPriority w:val="99"/>
    <w:semiHidden/>
    <w:unhideWhenUsed/>
    <w:rsid w:val="00FC5566"/>
    <w:rPr>
      <w:color w:val="605E5C"/>
      <w:shd w:val="clear" w:color="auto" w:fill="E1DFDD"/>
    </w:rPr>
  </w:style>
  <w:style w:type="paragraph" w:styleId="TOC10">
    <w:name w:val="toc 1"/>
    <w:basedOn w:val="Normal"/>
    <w:uiPriority w:val="1"/>
    <w:qFormat/>
    <w:rsid w:val="00FC5566"/>
    <w:pPr>
      <w:widowControl w:val="0"/>
      <w:autoSpaceDE w:val="0"/>
      <w:autoSpaceDN w:val="0"/>
      <w:ind w:left="624"/>
    </w:pPr>
    <w:rPr>
      <w:sz w:val="24"/>
      <w:szCs w:val="24"/>
    </w:rPr>
  </w:style>
  <w:style w:type="paragraph" w:styleId="TOC2">
    <w:name w:val="toc 2"/>
    <w:basedOn w:val="Normal"/>
    <w:uiPriority w:val="1"/>
    <w:qFormat/>
    <w:rsid w:val="00FC5566"/>
    <w:pPr>
      <w:widowControl w:val="0"/>
      <w:autoSpaceDE w:val="0"/>
      <w:autoSpaceDN w:val="0"/>
      <w:ind w:left="624"/>
    </w:pPr>
    <w:rPr>
      <w:b/>
      <w:bCs/>
      <w:i/>
      <w:iCs/>
    </w:rPr>
  </w:style>
  <w:style w:type="paragraph" w:styleId="TOC3">
    <w:name w:val="toc 3"/>
    <w:basedOn w:val="Normal"/>
    <w:uiPriority w:val="1"/>
    <w:qFormat/>
    <w:rsid w:val="00FC5566"/>
    <w:pPr>
      <w:widowControl w:val="0"/>
      <w:autoSpaceDE w:val="0"/>
      <w:autoSpaceDN w:val="0"/>
      <w:ind w:left="1584"/>
    </w:pPr>
    <w:rPr>
      <w:sz w:val="24"/>
      <w:szCs w:val="24"/>
    </w:rPr>
  </w:style>
  <w:style w:type="paragraph" w:styleId="BodyText">
    <w:name w:val="Body Text"/>
    <w:basedOn w:val="Normal"/>
    <w:link w:val="BodyTextChar"/>
    <w:uiPriority w:val="1"/>
    <w:qFormat/>
    <w:rsid w:val="00FC5566"/>
    <w:pPr>
      <w:widowControl w:val="0"/>
      <w:autoSpaceDE w:val="0"/>
      <w:autoSpaceDN w:val="0"/>
    </w:pPr>
    <w:rPr>
      <w:sz w:val="18"/>
      <w:szCs w:val="18"/>
    </w:rPr>
  </w:style>
  <w:style w:type="character" w:customStyle="1" w:styleId="BodyTextChar">
    <w:name w:val="Body Text Char"/>
    <w:basedOn w:val="DefaultParagraphFont"/>
    <w:link w:val="BodyText"/>
    <w:uiPriority w:val="1"/>
    <w:rsid w:val="00FC5566"/>
    <w:rPr>
      <w:sz w:val="18"/>
      <w:szCs w:val="18"/>
    </w:rPr>
  </w:style>
  <w:style w:type="numbering" w:customStyle="1" w:styleId="NoList2">
    <w:name w:val="No List2"/>
    <w:next w:val="NoList"/>
    <w:uiPriority w:val="99"/>
    <w:semiHidden/>
    <w:unhideWhenUsed/>
    <w:rsid w:val="00FC5566"/>
  </w:style>
  <w:style w:type="numbering" w:customStyle="1" w:styleId="NoList3">
    <w:name w:val="No List3"/>
    <w:next w:val="NoList"/>
    <w:uiPriority w:val="99"/>
    <w:semiHidden/>
    <w:unhideWhenUsed/>
    <w:rsid w:val="00FC5566"/>
  </w:style>
  <w:style w:type="numbering" w:customStyle="1" w:styleId="NoList4">
    <w:name w:val="No List4"/>
    <w:next w:val="NoList"/>
    <w:uiPriority w:val="99"/>
    <w:semiHidden/>
    <w:unhideWhenUsed/>
    <w:rsid w:val="00FC5566"/>
  </w:style>
  <w:style w:type="numbering" w:customStyle="1" w:styleId="NoList11">
    <w:name w:val="No List11"/>
    <w:next w:val="NoList"/>
    <w:uiPriority w:val="99"/>
    <w:semiHidden/>
    <w:unhideWhenUsed/>
    <w:rsid w:val="00FC5566"/>
  </w:style>
  <w:style w:type="numbering" w:customStyle="1" w:styleId="NoList111">
    <w:name w:val="No List111"/>
    <w:next w:val="NoList"/>
    <w:uiPriority w:val="99"/>
    <w:semiHidden/>
    <w:unhideWhenUsed/>
    <w:rsid w:val="00FC5566"/>
  </w:style>
  <w:style w:type="character" w:customStyle="1" w:styleId="Hyperlink2">
    <w:name w:val="Hyperlink2"/>
    <w:uiPriority w:val="99"/>
    <w:semiHidden/>
    <w:unhideWhenUsed/>
    <w:rsid w:val="00FC5566"/>
    <w:rPr>
      <w:color w:val="467886"/>
      <w:u w:val="single"/>
    </w:rPr>
  </w:style>
  <w:style w:type="character" w:styleId="FollowedHyperlink">
    <w:name w:val="FollowedHyperlink"/>
    <w:uiPriority w:val="99"/>
    <w:semiHidden/>
    <w:unhideWhenUsed/>
    <w:rsid w:val="00FC5566"/>
    <w:rPr>
      <w:color w:val="954F72"/>
      <w:u w:val="single"/>
    </w:rPr>
  </w:style>
  <w:style w:type="numbering" w:customStyle="1" w:styleId="NoList5">
    <w:name w:val="No List5"/>
    <w:next w:val="NoList"/>
    <w:uiPriority w:val="99"/>
    <w:semiHidden/>
    <w:unhideWhenUsed/>
    <w:rsid w:val="00FC5566"/>
  </w:style>
  <w:style w:type="numbering" w:customStyle="1" w:styleId="NoList12">
    <w:name w:val="No List12"/>
    <w:next w:val="NoList"/>
    <w:uiPriority w:val="99"/>
    <w:semiHidden/>
    <w:unhideWhenUsed/>
    <w:rsid w:val="00FC5566"/>
  </w:style>
  <w:style w:type="numbering" w:customStyle="1" w:styleId="NoList112">
    <w:name w:val="No List112"/>
    <w:next w:val="NoList"/>
    <w:uiPriority w:val="99"/>
    <w:semiHidden/>
    <w:unhideWhenUsed/>
    <w:rsid w:val="00FC5566"/>
  </w:style>
  <w:style w:type="numbering" w:customStyle="1" w:styleId="NoList6">
    <w:name w:val="No List6"/>
    <w:next w:val="NoList"/>
    <w:uiPriority w:val="99"/>
    <w:semiHidden/>
    <w:unhideWhenUsed/>
    <w:rsid w:val="00FC5566"/>
  </w:style>
  <w:style w:type="numbering" w:customStyle="1" w:styleId="NoList13">
    <w:name w:val="No List13"/>
    <w:next w:val="NoList"/>
    <w:uiPriority w:val="99"/>
    <w:semiHidden/>
    <w:unhideWhenUsed/>
    <w:rsid w:val="00FC5566"/>
  </w:style>
  <w:style w:type="numbering" w:customStyle="1" w:styleId="NoList113">
    <w:name w:val="No List113"/>
    <w:next w:val="NoList"/>
    <w:uiPriority w:val="99"/>
    <w:semiHidden/>
    <w:unhideWhenUsed/>
    <w:rsid w:val="00FC5566"/>
  </w:style>
  <w:style w:type="character" w:customStyle="1" w:styleId="RegCodeTitleChar">
    <w:name w:val="Reg Code Title Char"/>
    <w:link w:val="RegCodeTitle"/>
    <w:rsid w:val="00FC5566"/>
    <w:rPr>
      <w:b/>
      <w:kern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image" Target="media/image1.jpeg"/><Relationship Id="rId26" Type="http://schemas.openxmlformats.org/officeDocument/2006/relationships/footer" Target="footer15.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hyperlink" Target="https://codes.iccsafe.org/lookup/IPC2021P3_Ch09_Sec906.1_Tbl906.1/2221" TargetMode="External"/><Relationship Id="rId25" Type="http://schemas.openxmlformats.org/officeDocument/2006/relationships/footer" Target="footer14.xml"/><Relationship Id="rId2" Type="http://schemas.openxmlformats.org/officeDocument/2006/relationships/numbering" Target="numbering.xml"/><Relationship Id="rId16" Type="http://schemas.openxmlformats.org/officeDocument/2006/relationships/footer" Target="footer9.xml"/><Relationship Id="rId20" Type="http://schemas.openxmlformats.org/officeDocument/2006/relationships/hyperlink" Target="https://codes.iccsafe.org/lookup/IECC2024V1.2_RE_Ch04_SecR403/4397"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footer" Target="footer8.xml"/><Relationship Id="rId23" Type="http://schemas.openxmlformats.org/officeDocument/2006/relationships/footer" Target="footer12.xml"/><Relationship Id="rId28" Type="http://schemas.openxmlformats.org/officeDocument/2006/relationships/fontTable" Target="fontTable.xml"/><Relationship Id="rId10" Type="http://schemas.openxmlformats.org/officeDocument/2006/relationships/footer" Target="footer3.xml"/><Relationship Id="rId19" Type="http://schemas.openxmlformats.org/officeDocument/2006/relationships/hyperlink" Target="https://codes.iccsafe.org/lookup/IECC2024V1.2_RE_Ch04_SecR402.1.3_TblR402.1.3/4397"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 Id="rId22" Type="http://schemas.openxmlformats.org/officeDocument/2006/relationships/footer" Target="footer11.xml"/><Relationship Id="rId27" Type="http://schemas.openxmlformats.org/officeDocument/2006/relationships/footer" Target="footer16.xml"/></Relationships>
</file>

<file path=word/_rels/settings.xml.rels><?xml version="1.0" encoding="UTF-8" standalone="yes"?>
<Relationships xmlns="http://schemas.openxmlformats.org/package/2006/relationships"><Relationship Id="rId1" Type="http://schemas.openxmlformats.org/officeDocument/2006/relationships/attachedTemplate" Target="file:///L:\my%20documents\msoffice\templates\Regis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4D189B-B23E-4AB9-9E9F-4569C590B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Register.dot</Template>
  <TotalTime>217</TotalTime>
  <Pages>163</Pages>
  <Words>133510</Words>
  <Characters>761009</Characters>
  <Application>Microsoft Office Word</Application>
  <DocSecurity>8</DocSecurity>
  <Lines>6341</Lines>
  <Paragraphs>1785</Paragraphs>
  <ScaleCrop>false</ScaleCrop>
  <HeadingPairs>
    <vt:vector size="2" baseType="variant">
      <vt:variant>
        <vt:lpstr>Title</vt:lpstr>
      </vt:variant>
      <vt:variant>
        <vt:i4>1</vt:i4>
      </vt:variant>
    </vt:vector>
  </HeadingPairs>
  <TitlesOfParts>
    <vt:vector size="1" baseType="lpstr">
      <vt:lpstr/>
    </vt:vector>
  </TitlesOfParts>
  <Company>Division of Administration</Company>
  <LinksUpToDate>false</LinksUpToDate>
  <CharactersWithSpaces>892734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Trantham</dc:creator>
  <cp:keywords/>
  <dc:description/>
  <cp:lastModifiedBy>Andrea Trantham</cp:lastModifiedBy>
  <cp:revision>27</cp:revision>
  <dcterms:created xsi:type="dcterms:W3CDTF">2026-08-14T18:27:00Z</dcterms:created>
  <dcterms:modified xsi:type="dcterms:W3CDTF">2026-09-02T15:56:00Z</dcterms:modified>
</cp:coreProperties>
</file>