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539D" w14:textId="77777777" w:rsidR="003C6D72" w:rsidRPr="008B2701" w:rsidRDefault="003C6D72" w:rsidP="000D306E">
      <w:pPr>
        <w:spacing w:before="100" w:beforeAutospacing="1" w:after="100" w:afterAutospacing="1"/>
        <w:jc w:val="center"/>
        <w:outlineLvl w:val="1"/>
        <w:rPr>
          <w:rFonts w:ascii="Times New Roman" w:hAnsi="Times New Roman"/>
          <w:b/>
          <w:bCs/>
          <w:sz w:val="36"/>
          <w:szCs w:val="36"/>
        </w:rPr>
      </w:pPr>
      <w:r w:rsidRPr="005C305F">
        <w:rPr>
          <w:rFonts w:ascii="Times New Roman" w:hAnsi="Times New Roman"/>
          <w:b/>
          <w:bCs/>
          <w:noProof/>
          <w:sz w:val="36"/>
          <w:szCs w:val="36"/>
          <w:u w:val="single"/>
        </w:rPr>
        <w:t>ARCHITECTURAL</w:t>
      </w:r>
      <w:r w:rsidRPr="008B2701">
        <w:rPr>
          <w:rFonts w:ascii="Times New Roman" w:hAnsi="Times New Roman"/>
          <w:b/>
          <w:bCs/>
          <w:sz w:val="36"/>
          <w:szCs w:val="36"/>
          <w:u w:val="single"/>
        </w:rPr>
        <w:t xml:space="preserve"> SERVICES WANTED</w:t>
      </w:r>
    </w:p>
    <w:p w14:paraId="0AF5955D" w14:textId="77777777" w:rsidR="003C6D72" w:rsidRPr="008B2701" w:rsidRDefault="003C6D72" w:rsidP="004C59F5">
      <w:pPr>
        <w:rPr>
          <w:rFonts w:ascii="Times New Roman" w:hAnsi="Times New Roman"/>
          <w:szCs w:val="24"/>
        </w:rPr>
      </w:pPr>
    </w:p>
    <w:p w14:paraId="0A6FD6C6" w14:textId="77777777" w:rsidR="003C6D72" w:rsidRPr="008B2701" w:rsidRDefault="003C6D72" w:rsidP="001B654D">
      <w:pPr>
        <w:rPr>
          <w:rFonts w:ascii="Times New Roman" w:hAnsi="Times New Roman"/>
          <w:b/>
          <w:bCs/>
          <w:szCs w:val="24"/>
        </w:rPr>
      </w:pPr>
      <w:r w:rsidRPr="008B2701">
        <w:rPr>
          <w:rFonts w:ascii="Times New Roman" w:hAnsi="Times New Roman"/>
          <w:szCs w:val="24"/>
        </w:rPr>
        <w:t xml:space="preserve">Applications for </w:t>
      </w:r>
      <w:r w:rsidRPr="005C305F">
        <w:rPr>
          <w:rFonts w:ascii="Times New Roman" w:hAnsi="Times New Roman"/>
          <w:noProof/>
          <w:szCs w:val="24"/>
        </w:rPr>
        <w:t>ARCHITECTURAL</w:t>
      </w:r>
      <w:r w:rsidRPr="008B2701">
        <w:rPr>
          <w:rFonts w:ascii="Times New Roman" w:hAnsi="Times New Roman"/>
          <w:szCs w:val="24"/>
        </w:rPr>
        <w:t xml:space="preserve"> Services for the following projects will be accepted until </w:t>
      </w:r>
      <w:r w:rsidRPr="005C305F">
        <w:rPr>
          <w:rFonts w:ascii="Times New Roman" w:hAnsi="Times New Roman"/>
          <w:b/>
          <w:bCs/>
          <w:szCs w:val="24"/>
        </w:rPr>
        <w:t>2:00 p.m., </w:t>
      </w:r>
      <w:r>
        <w:rPr>
          <w:rFonts w:ascii="Times New Roman" w:hAnsi="Times New Roman"/>
          <w:b/>
          <w:bCs/>
          <w:noProof/>
          <w:szCs w:val="24"/>
        </w:rPr>
        <w:t>Tuesday, November 04, 2025</w:t>
      </w:r>
      <w:r w:rsidRPr="008B2701">
        <w:rPr>
          <w:rFonts w:ascii="Times New Roman" w:hAnsi="Times New Roman"/>
          <w:b/>
          <w:bCs/>
          <w:szCs w:val="24"/>
        </w:rPr>
        <w:t xml:space="preserve">. </w:t>
      </w:r>
    </w:p>
    <w:p w14:paraId="7F8F1011" w14:textId="77777777" w:rsidR="003C6D72" w:rsidRDefault="003C6D72" w:rsidP="001B654D">
      <w:pPr>
        <w:rPr>
          <w:rFonts w:ascii="Times New Roman" w:hAnsi="Times New Roman"/>
          <w:b/>
          <w:bCs/>
          <w:szCs w:val="24"/>
        </w:rPr>
      </w:pPr>
    </w:p>
    <w:p w14:paraId="2E684779" w14:textId="25E2FBF6" w:rsidR="003C6D72" w:rsidRDefault="003C6D72" w:rsidP="001B654D">
      <w:pPr>
        <w:rPr>
          <w:rFonts w:ascii="Times New Roman" w:hAnsi="Times New Roman"/>
          <w:szCs w:val="24"/>
        </w:rPr>
      </w:pPr>
      <w:r w:rsidRPr="008B2701">
        <w:rPr>
          <w:rFonts w:ascii="Times New Roman" w:hAnsi="Times New Roman"/>
          <w:b/>
          <w:bCs/>
          <w:szCs w:val="24"/>
        </w:rPr>
        <w:t xml:space="preserve">(Your attention is called to the 2:00 p.m. deadline -- exceptions WILL NOT be made). Applications shall be submitted on the standard LSB - 1 (September 2019 edition) only, with no additional pages attached. Please be sure to use an up-to-date copy of the form. These forms are available at the </w:t>
      </w:r>
      <w:r>
        <w:rPr>
          <w:rFonts w:ascii="Times New Roman" w:hAnsi="Times New Roman"/>
          <w:b/>
          <w:bCs/>
          <w:szCs w:val="24"/>
        </w:rPr>
        <w:t xml:space="preserve">Office of Facility Planning and Control </w:t>
      </w:r>
      <w:r w:rsidRPr="008B2701">
        <w:rPr>
          <w:rFonts w:ascii="Times New Roman" w:hAnsi="Times New Roman"/>
          <w:b/>
          <w:bCs/>
          <w:szCs w:val="24"/>
        </w:rPr>
        <w:t xml:space="preserve">and on the </w:t>
      </w:r>
      <w:r>
        <w:rPr>
          <w:rFonts w:ascii="Times New Roman" w:hAnsi="Times New Roman"/>
          <w:b/>
          <w:bCs/>
          <w:szCs w:val="24"/>
        </w:rPr>
        <w:t xml:space="preserve">Selection Board page of the </w:t>
      </w:r>
      <w:r w:rsidRPr="008B2701">
        <w:rPr>
          <w:rFonts w:ascii="Times New Roman" w:hAnsi="Times New Roman"/>
          <w:b/>
          <w:bCs/>
          <w:szCs w:val="24"/>
        </w:rPr>
        <w:t>Facility Planning &amp; Control website at </w:t>
      </w:r>
      <w:hyperlink r:id="rId5" w:history="1">
        <w:r w:rsidRPr="00B81B18">
          <w:rPr>
            <w:rStyle w:val="Hyperlink"/>
            <w:rFonts w:ascii="Times New Roman" w:hAnsi="Times New Roman"/>
            <w:b/>
            <w:bCs/>
            <w:szCs w:val="24"/>
          </w:rPr>
          <w:t>https://www.doa.la.gov/doa/fpc/selection-boards/</w:t>
        </w:r>
      </w:hyperlink>
      <w:r>
        <w:t xml:space="preserve">. </w:t>
      </w:r>
      <w:r w:rsidRPr="008B2701">
        <w:rPr>
          <w:rFonts w:ascii="Times New Roman" w:hAnsi="Times New Roman"/>
          <w:b/>
          <w:bCs/>
          <w:szCs w:val="24"/>
        </w:rPr>
        <w:t xml:space="preserve"> Do not attach any additional pages to this application. </w:t>
      </w:r>
      <w:r w:rsidRPr="008B2701">
        <w:rPr>
          <w:rFonts w:ascii="Times New Roman" w:hAnsi="Times New Roman"/>
          <w:b/>
          <w:bCs/>
          <w:szCs w:val="24"/>
          <w:u w:val="single"/>
        </w:rPr>
        <w:t>Applications with attachments in addition to the pre-numbered sheets or otherwise not following this format will be discarded.</w:t>
      </w:r>
      <w:r w:rsidRPr="008B2701">
        <w:rPr>
          <w:rFonts w:ascii="Times New Roman" w:hAnsi="Times New Roman"/>
          <w:b/>
          <w:bCs/>
          <w:szCs w:val="24"/>
        </w:rPr>
        <w:t> One fully completed signed copy of each application shall be submitted. The copy may be printed and mailed or printed and delivered or scanned in PDF format and e-mailed. Printed submittals shall not be bound or stapled. E-mailed PDF copies, as well as printed copies, shall be received by Facility Planning &amp; Control within the deadline stated above. The date and time the e-mail is received in the Microsoft Outlook Inbox at Facility Planning &amp; Control shall govern compliance with the deadline for e-mailed applications. Timely delivery by whatever means is strictly the responsibility of the applicant. By e-mailing an application the applicant assumes full responsibility for timely electronic delivery. DO NOT submit both printed and e-mail copies. Any application submitted by both means will be discarded.</w:t>
      </w:r>
      <w:r w:rsidRPr="008B2701">
        <w:rPr>
          <w:rFonts w:ascii="Times New Roman" w:hAnsi="Times New Roman"/>
          <w:szCs w:val="24"/>
        </w:rPr>
        <w:br/>
      </w:r>
      <w:r w:rsidRPr="008B2701">
        <w:rPr>
          <w:rFonts w:ascii="Times New Roman" w:hAnsi="Times New Roman"/>
          <w:szCs w:val="24"/>
        </w:rPr>
        <w:br/>
      </w:r>
      <w:r w:rsidRPr="00934A86">
        <w:rPr>
          <w:rFonts w:ascii="Times New Roman" w:hAnsi="Times New Roman"/>
          <w:b/>
          <w:bCs/>
          <w:noProof/>
          <w:szCs w:val="24"/>
        </w:rPr>
        <w:t>1</w:t>
      </w:r>
      <w:r w:rsidRPr="00FE0C3A">
        <w:rPr>
          <w:rFonts w:ascii="Times New Roman" w:hAnsi="Times New Roman"/>
          <w:b/>
          <w:bCs/>
          <w:szCs w:val="24"/>
        </w:rPr>
        <w:t xml:space="preserve">. </w:t>
      </w:r>
      <w:r w:rsidRPr="00934A86">
        <w:rPr>
          <w:rFonts w:cstheme="minorHAnsi"/>
          <w:b/>
          <w:noProof/>
        </w:rPr>
        <w:t>Elevator Replacement</w:t>
      </w:r>
      <w:r w:rsidRPr="00E969ED">
        <w:rPr>
          <w:rFonts w:cstheme="minorHAnsi"/>
          <w:b/>
          <w:noProof/>
        </w:rPr>
        <w:t xml:space="preserve">, </w:t>
      </w:r>
      <w:r w:rsidRPr="00934A86">
        <w:rPr>
          <w:rFonts w:cstheme="minorHAnsi"/>
          <w:b/>
          <w:noProof/>
        </w:rPr>
        <w:t>Administration Offices Building and Annex Building</w:t>
      </w:r>
      <w:r w:rsidRPr="00FE0C3A">
        <w:rPr>
          <w:rFonts w:cstheme="minorHAnsi"/>
          <w:b/>
          <w:noProof/>
        </w:rPr>
        <w:t xml:space="preserve">, </w:t>
      </w:r>
      <w:r w:rsidRPr="00934A86">
        <w:rPr>
          <w:rFonts w:cstheme="minorHAnsi"/>
          <w:b/>
          <w:noProof/>
        </w:rPr>
        <w:t>Louisiana Workforce Commission</w:t>
      </w:r>
      <w:r>
        <w:rPr>
          <w:rFonts w:cstheme="minorHAnsi"/>
          <w:b/>
        </w:rPr>
        <w:t xml:space="preserve">, </w:t>
      </w:r>
      <w:r w:rsidRPr="00934A86">
        <w:rPr>
          <w:rFonts w:cstheme="minorHAnsi"/>
          <w:b/>
          <w:noProof/>
        </w:rPr>
        <w:t>Baton Rouge</w:t>
      </w:r>
      <w:r w:rsidRPr="00FE0C3A">
        <w:rPr>
          <w:rFonts w:cstheme="minorHAnsi"/>
          <w:b/>
        </w:rPr>
        <w:t>, Louisiana</w:t>
      </w:r>
      <w:r w:rsidRPr="00FE0C3A">
        <w:rPr>
          <w:rFonts w:ascii="Times New Roman" w:hAnsi="Times New Roman"/>
          <w:b/>
          <w:bCs/>
          <w:szCs w:val="24"/>
        </w:rPr>
        <w:t xml:space="preserve">, Project No. </w:t>
      </w:r>
      <w:r w:rsidRPr="00934A86">
        <w:rPr>
          <w:rFonts w:cstheme="minorHAnsi"/>
          <w:b/>
          <w:noProof/>
        </w:rPr>
        <w:t>01-107-24-03</w:t>
      </w:r>
      <w:r w:rsidRPr="00FE0C3A">
        <w:rPr>
          <w:rFonts w:cstheme="minorHAnsi"/>
          <w:b/>
          <w:noProof/>
        </w:rPr>
        <w:t xml:space="preserve">, </w:t>
      </w:r>
      <w:r w:rsidRPr="00934A86">
        <w:rPr>
          <w:rFonts w:cstheme="minorHAnsi"/>
          <w:b/>
          <w:noProof/>
        </w:rPr>
        <w:t>F.01004728</w:t>
      </w:r>
      <w:r w:rsidRPr="004B1D1F">
        <w:rPr>
          <w:rFonts w:cstheme="minorHAnsi"/>
          <w:b/>
          <w:noProof/>
        </w:rPr>
        <w:t>.</w:t>
      </w:r>
      <w:r w:rsidRPr="004B1D1F">
        <w:rPr>
          <w:rFonts w:cstheme="minorHAnsi"/>
          <w:b/>
          <w:noProof/>
        </w:rPr>
        <w:br/>
      </w:r>
      <w:r w:rsidRPr="00934A86">
        <w:rPr>
          <w:rFonts w:ascii="Times New Roman" w:hAnsi="Times New Roman"/>
          <w:noProof/>
          <w:szCs w:val="24"/>
        </w:rPr>
        <w:t xml:space="preserve">This project consists of the replacement of four existing elevators at two Louisiana Workforce Commission Headquarters Buildings.  Each building currently has two Montgomery elevators, with the Administration Office Building comprising of two traction pull-cable elevators, original to the building and installed in 1960s, and the Annex Building comprising of two hydraulic elevators, also original to the building and installed in 1980s.  The scope includes, but is not limited to, the replacement </w:t>
      </w:r>
      <w:r w:rsidR="00151D63">
        <w:rPr>
          <w:rFonts w:ascii="Times New Roman" w:hAnsi="Times New Roman"/>
          <w:noProof/>
          <w:szCs w:val="24"/>
        </w:rPr>
        <w:t xml:space="preserve">of </w:t>
      </w:r>
      <w:r w:rsidRPr="00934A86">
        <w:rPr>
          <w:rFonts w:ascii="Times New Roman" w:hAnsi="Times New Roman"/>
          <w:noProof/>
          <w:szCs w:val="24"/>
        </w:rPr>
        <w:t>all four existing malfunctioning elevators with new ones.  The project also includes repair of shaft walls, whether existing or caused during construction, necessary modifications to the equipment rooms, any necessary fire alarm modifications pertaining to the elevator replacements and addressing a reported oil leak in the Annex elevator 2 shaft.  The project must comply with the American with Disabilities standards.  The Designer shall retain an accredited LDEQ Asbestos Inspector to complete an inspection of all suspect building materials that will be removed/impacted by this project as a reimbursable expense.  If any materials are found to contain asbestos, the Designer shall provide, as part of their basic services, an accredited LDEQ Asbestos Designer to design the asbestos abatement specifications.  If asbestos air monitoring will be required during abatement activities, the Designer will obtain an air-monitoring firm as a reimbursable expense.  The Designer will survey the site for other hazardous materials and include in the specifications.  If lead-based paint or mold inspections are required, these will be provided as a reimbursable expense.  If any materials are found to contain lead-based paint or mold, the Designer shall provide, as part of their basic services, an industrial hygienist to design the abatement specifications.  This project will require the services of an owner contracted third-party Commissioning Agent.  The Designer will be required to coordinate with this separately contracted party and the participation and oversight of the third-party Commissioning Agent is to be expected in all phases of the project.</w:t>
      </w:r>
      <w:r w:rsidRPr="00FE0C3A">
        <w:rPr>
          <w:rFonts w:ascii="Times New Roman" w:hAnsi="Times New Roman"/>
          <w:szCs w:val="24"/>
        </w:rPr>
        <w:t xml:space="preserve"> The Designer shall prepare and submit all required drawings to </w:t>
      </w:r>
      <w:r w:rsidRPr="00934A86">
        <w:rPr>
          <w:rFonts w:ascii="Times New Roman" w:hAnsi="Times New Roman"/>
          <w:noProof/>
          <w:szCs w:val="24"/>
        </w:rPr>
        <w:t>Facility Planning &amp; Control</w:t>
      </w:r>
      <w:r w:rsidRPr="00FE0C3A">
        <w:rPr>
          <w:rFonts w:ascii="Times New Roman" w:hAnsi="Times New Roman"/>
          <w:szCs w:val="24"/>
        </w:rPr>
        <w:t xml:space="preserve"> in AutoCAD and hard copy. Drawings shall follow the format specified in the "Instructions to Designers for AutoCAD Drawings Submittal". The available</w:t>
      </w:r>
      <w:r>
        <w:rPr>
          <w:rFonts w:ascii="Times New Roman" w:hAnsi="Times New Roman"/>
          <w:szCs w:val="24"/>
        </w:rPr>
        <w:t xml:space="preserve"> </w:t>
      </w:r>
      <w:r w:rsidRPr="00FE0C3A">
        <w:rPr>
          <w:rFonts w:ascii="Times New Roman" w:hAnsi="Times New Roman"/>
          <w:szCs w:val="24"/>
        </w:rPr>
        <w:t>funds for construction</w:t>
      </w:r>
      <w:r>
        <w:rPr>
          <w:rFonts w:ascii="Times New Roman" w:hAnsi="Times New Roman"/>
          <w:szCs w:val="24"/>
        </w:rPr>
        <w:t xml:space="preserve"> (AFC)</w:t>
      </w:r>
      <w:r w:rsidRPr="00FE0C3A">
        <w:rPr>
          <w:rFonts w:ascii="Times New Roman" w:hAnsi="Times New Roman"/>
          <w:szCs w:val="24"/>
        </w:rPr>
        <w:t xml:space="preserve"> are approximately </w:t>
      </w:r>
      <w:r w:rsidRPr="00FE0C3A">
        <w:rPr>
          <w:rFonts w:ascii="Times New Roman" w:hAnsi="Times New Roman"/>
          <w:b/>
          <w:bCs/>
          <w:noProof/>
          <w:szCs w:val="24"/>
        </w:rPr>
        <w:t>$</w:t>
      </w:r>
      <w:r>
        <w:rPr>
          <w:rFonts w:ascii="Times New Roman" w:hAnsi="Times New Roman"/>
          <w:b/>
          <w:bCs/>
          <w:noProof/>
          <w:szCs w:val="24"/>
        </w:rPr>
        <w:t>1,250,000.00</w:t>
      </w:r>
      <w:r w:rsidRPr="00FE0C3A">
        <w:rPr>
          <w:rFonts w:ascii="Times New Roman" w:hAnsi="Times New Roman"/>
          <w:b/>
          <w:bCs/>
          <w:szCs w:val="24"/>
        </w:rPr>
        <w:t xml:space="preserve"> </w:t>
      </w:r>
      <w:r w:rsidRPr="00FE0C3A">
        <w:rPr>
          <w:rFonts w:ascii="Times New Roman" w:hAnsi="Times New Roman"/>
          <w:szCs w:val="24"/>
        </w:rPr>
        <w:t xml:space="preserve">with a fee of approximately </w:t>
      </w:r>
      <w:r w:rsidRPr="00FE0C3A">
        <w:rPr>
          <w:rFonts w:ascii="Times New Roman" w:hAnsi="Times New Roman"/>
          <w:b/>
          <w:bCs/>
          <w:noProof/>
          <w:szCs w:val="24"/>
        </w:rPr>
        <w:t>$</w:t>
      </w:r>
      <w:r>
        <w:rPr>
          <w:rFonts w:ascii="Times New Roman" w:hAnsi="Times New Roman"/>
          <w:b/>
          <w:bCs/>
          <w:noProof/>
          <w:szCs w:val="24"/>
        </w:rPr>
        <w:t>99,377.00</w:t>
      </w:r>
      <w:r w:rsidRPr="00FE0C3A">
        <w:rPr>
          <w:rFonts w:ascii="Times New Roman" w:hAnsi="Times New Roman"/>
          <w:szCs w:val="24"/>
        </w:rPr>
        <w:t xml:space="preserve">. Contract design time is </w:t>
      </w:r>
      <w:r w:rsidRPr="00934A86">
        <w:rPr>
          <w:rFonts w:ascii="Times New Roman" w:hAnsi="Times New Roman"/>
          <w:b/>
          <w:bCs/>
          <w:noProof/>
          <w:szCs w:val="24"/>
        </w:rPr>
        <w:t>250</w:t>
      </w:r>
      <w:r w:rsidRPr="00FE0C3A">
        <w:rPr>
          <w:rFonts w:ascii="Times New Roman" w:hAnsi="Times New Roman"/>
          <w:szCs w:val="24"/>
        </w:rPr>
        <w:t xml:space="preserve"> consecutive calendar days; including </w:t>
      </w:r>
      <w:r w:rsidRPr="00934A86">
        <w:rPr>
          <w:rFonts w:ascii="Times New Roman" w:hAnsi="Times New Roman"/>
          <w:b/>
          <w:bCs/>
          <w:noProof/>
          <w:szCs w:val="24"/>
        </w:rPr>
        <w:t>83</w:t>
      </w:r>
      <w:r w:rsidRPr="00FE0C3A">
        <w:rPr>
          <w:rFonts w:ascii="Times New Roman" w:hAnsi="Times New Roman"/>
          <w:szCs w:val="24"/>
        </w:rPr>
        <w:t xml:space="preserve"> days review time. Thereafter, liquidated damages in the amount of </w:t>
      </w:r>
      <w:r w:rsidRPr="00FE0C3A">
        <w:rPr>
          <w:rFonts w:ascii="Times New Roman" w:hAnsi="Times New Roman"/>
          <w:b/>
          <w:bCs/>
          <w:noProof/>
          <w:szCs w:val="24"/>
        </w:rPr>
        <w:t>$</w:t>
      </w:r>
      <w:r>
        <w:rPr>
          <w:rFonts w:ascii="Times New Roman" w:hAnsi="Times New Roman"/>
          <w:b/>
          <w:bCs/>
          <w:noProof/>
          <w:szCs w:val="24"/>
        </w:rPr>
        <w:t>125.00</w:t>
      </w:r>
      <w:r w:rsidRPr="00FE0C3A">
        <w:rPr>
          <w:rFonts w:ascii="Times New Roman" w:hAnsi="Times New Roman"/>
          <w:szCs w:val="24"/>
        </w:rPr>
        <w:t xml:space="preserve"> per day will be assessed. Further information is available from </w:t>
      </w:r>
      <w:r w:rsidRPr="00934A86">
        <w:rPr>
          <w:rFonts w:ascii="Times New Roman" w:hAnsi="Times New Roman"/>
          <w:b/>
          <w:bCs/>
          <w:noProof/>
          <w:szCs w:val="24"/>
        </w:rPr>
        <w:t>June Tran</w:t>
      </w:r>
      <w:r w:rsidRPr="00FE0C3A">
        <w:rPr>
          <w:rFonts w:ascii="Times New Roman" w:hAnsi="Times New Roman"/>
          <w:b/>
          <w:bCs/>
          <w:szCs w:val="24"/>
        </w:rPr>
        <w:t xml:space="preserve">, </w:t>
      </w:r>
      <w:r w:rsidRPr="00934A86">
        <w:rPr>
          <w:rFonts w:ascii="Times New Roman" w:hAnsi="Times New Roman"/>
          <w:b/>
          <w:bCs/>
          <w:noProof/>
          <w:szCs w:val="24"/>
        </w:rPr>
        <w:t>Facility Planning &amp; Control</w:t>
      </w:r>
      <w:r w:rsidRPr="00FE0C3A">
        <w:rPr>
          <w:rFonts w:ascii="Times New Roman" w:hAnsi="Times New Roman"/>
          <w:b/>
          <w:bCs/>
          <w:szCs w:val="24"/>
        </w:rPr>
        <w:t xml:space="preserve">, </w:t>
      </w:r>
      <w:r w:rsidRPr="00934A86">
        <w:rPr>
          <w:rFonts w:ascii="Times New Roman" w:hAnsi="Times New Roman"/>
          <w:b/>
          <w:bCs/>
          <w:noProof/>
          <w:szCs w:val="24"/>
        </w:rPr>
        <w:t>june.tran@la.gov</w:t>
      </w:r>
      <w:r w:rsidRPr="00FE0C3A">
        <w:rPr>
          <w:rFonts w:ascii="Times New Roman" w:hAnsi="Times New Roman"/>
          <w:b/>
          <w:bCs/>
          <w:szCs w:val="24"/>
        </w:rPr>
        <w:t xml:space="preserve">, </w:t>
      </w:r>
      <w:r w:rsidRPr="00934A86">
        <w:rPr>
          <w:rFonts w:ascii="Times New Roman" w:hAnsi="Times New Roman"/>
          <w:b/>
          <w:bCs/>
          <w:noProof/>
          <w:szCs w:val="24"/>
        </w:rPr>
        <w:t>(225) 342-2069</w:t>
      </w:r>
      <w:r w:rsidRPr="00FE0C3A">
        <w:rPr>
          <w:rFonts w:ascii="Times New Roman" w:hAnsi="Times New Roman"/>
          <w:b/>
          <w:bCs/>
          <w:szCs w:val="24"/>
        </w:rPr>
        <w:t>.</w:t>
      </w:r>
      <w:r w:rsidRPr="00FE0C3A">
        <w:rPr>
          <w:rFonts w:ascii="Times New Roman" w:hAnsi="Times New Roman"/>
          <w:szCs w:val="24"/>
        </w:rPr>
        <w:br/>
      </w:r>
    </w:p>
    <w:p w14:paraId="768EEE19" w14:textId="73E2DBC9" w:rsidR="003C6D72" w:rsidRDefault="003C6D72" w:rsidP="003C6D72">
      <w:pPr>
        <w:rPr>
          <w:rFonts w:ascii="Times New Roman" w:hAnsi="Times New Roman"/>
          <w:b/>
          <w:bCs/>
          <w:szCs w:val="24"/>
        </w:rPr>
      </w:pPr>
      <w:r w:rsidRPr="00934A86">
        <w:rPr>
          <w:rFonts w:ascii="Times New Roman" w:hAnsi="Times New Roman"/>
          <w:b/>
          <w:bCs/>
          <w:noProof/>
          <w:szCs w:val="24"/>
        </w:rPr>
        <w:lastRenderedPageBreak/>
        <w:t>2</w:t>
      </w:r>
      <w:r w:rsidRPr="00FE0C3A">
        <w:rPr>
          <w:rFonts w:ascii="Times New Roman" w:hAnsi="Times New Roman"/>
          <w:b/>
          <w:bCs/>
          <w:szCs w:val="24"/>
        </w:rPr>
        <w:t xml:space="preserve">. </w:t>
      </w:r>
      <w:r w:rsidRPr="00934A86">
        <w:rPr>
          <w:rFonts w:cstheme="minorHAnsi"/>
          <w:b/>
          <w:noProof/>
        </w:rPr>
        <w:t>ADA Upgrades and Drainage Improvements</w:t>
      </w:r>
      <w:r w:rsidRPr="00E969ED">
        <w:rPr>
          <w:rFonts w:cstheme="minorHAnsi"/>
          <w:b/>
          <w:noProof/>
        </w:rPr>
        <w:t xml:space="preserve">, </w:t>
      </w:r>
      <w:r w:rsidRPr="00934A86">
        <w:rPr>
          <w:rFonts w:cstheme="minorHAnsi"/>
          <w:b/>
          <w:noProof/>
        </w:rPr>
        <w:t>Louisiana Political Museum &amp; Hall of Fame</w:t>
      </w:r>
      <w:r w:rsidRPr="00FE0C3A">
        <w:rPr>
          <w:rFonts w:cstheme="minorHAnsi"/>
          <w:b/>
          <w:noProof/>
        </w:rPr>
        <w:t xml:space="preserve">, </w:t>
      </w:r>
      <w:r w:rsidR="00151D63">
        <w:rPr>
          <w:rFonts w:cstheme="minorHAnsi"/>
          <w:b/>
          <w:noProof/>
        </w:rPr>
        <w:t>Office of State Museum</w:t>
      </w:r>
      <w:r>
        <w:rPr>
          <w:rFonts w:cstheme="minorHAnsi"/>
          <w:b/>
        </w:rPr>
        <w:t xml:space="preserve">, </w:t>
      </w:r>
      <w:r w:rsidRPr="00934A86">
        <w:rPr>
          <w:rFonts w:cstheme="minorHAnsi"/>
          <w:b/>
          <w:noProof/>
        </w:rPr>
        <w:t>Winnfield</w:t>
      </w:r>
      <w:r w:rsidRPr="00FE0C3A">
        <w:rPr>
          <w:rFonts w:cstheme="minorHAnsi"/>
          <w:b/>
        </w:rPr>
        <w:t>, Louisiana</w:t>
      </w:r>
      <w:r w:rsidRPr="00FE0C3A">
        <w:rPr>
          <w:rFonts w:ascii="Times New Roman" w:hAnsi="Times New Roman"/>
          <w:b/>
          <w:bCs/>
          <w:szCs w:val="24"/>
        </w:rPr>
        <w:t xml:space="preserve">, Project No. </w:t>
      </w:r>
      <w:r w:rsidRPr="00934A86">
        <w:rPr>
          <w:rFonts w:cstheme="minorHAnsi"/>
          <w:b/>
          <w:noProof/>
        </w:rPr>
        <w:t>01-107-24-03</w:t>
      </w:r>
      <w:r w:rsidRPr="00FE0C3A">
        <w:rPr>
          <w:rFonts w:cstheme="minorHAnsi"/>
          <w:b/>
          <w:noProof/>
        </w:rPr>
        <w:t xml:space="preserve">, </w:t>
      </w:r>
      <w:r w:rsidRPr="00934A86">
        <w:rPr>
          <w:rFonts w:cstheme="minorHAnsi"/>
          <w:b/>
          <w:noProof/>
        </w:rPr>
        <w:t>F.01004707</w:t>
      </w:r>
      <w:r w:rsidRPr="004B1D1F">
        <w:rPr>
          <w:rFonts w:cstheme="minorHAnsi"/>
          <w:b/>
          <w:noProof/>
        </w:rPr>
        <w:t>.</w:t>
      </w:r>
      <w:r w:rsidRPr="004B1D1F">
        <w:rPr>
          <w:rFonts w:cstheme="minorHAnsi"/>
          <w:b/>
          <w:noProof/>
        </w:rPr>
        <w:br/>
      </w:r>
      <w:r w:rsidRPr="00934A86">
        <w:rPr>
          <w:rFonts w:ascii="Times New Roman" w:hAnsi="Times New Roman"/>
          <w:noProof/>
          <w:szCs w:val="24"/>
        </w:rPr>
        <w:t>This project consists of the reconfiguration of existing paving at the Louisiana Political Museum &amp; Hall of Fame in Winnfield to improve ADA accessibility and site drainage.  In addition, the project will provide new accessible restrooms and install covered pathways, as needed, to ensure protected, accessible connections between buildings.  The Design will include all investigative site surveys as necessary including, but not limited to, topographic, geotechnical, survey, drainage and other investigations as required.  Investigative services may be authorized as an increase to the Designer’s fee.  Design and construction will take into account that the building will remain occupied for the duration of the project with protection of the occupants to be of the utmost importance.  The Designer shall retain an accredited LDEQ Asbestos Inspector to complete an inspection of all suspect building materials that will be removed/impacted by this project as a reimbursable expense.  If any materials are found to contain asbestos, the Designer shall provide, as part of their basic services, an accredited LDEQ Asbestos Designer to design the asbestos abatement specifications.  If asbestos air monitoring will be required during abatement activities, the Designer will obtain an air-monitoring firm as a reimbursable expense.  The Designer will survey the site for other hazardous materials and include them in the specifications.  If lead-based paint or mold inspections are required, these will be provided as a reimbursable expense.  If any materials are found to contain lead-based paint or mold, the Designer shall provide, as part of their basic services, an industrial hygienist to design the abatement specifications.  Design services shall be limited to the Program Completion through the Construction Documents Approval phases (60% of basic services) according to the Louisiana Capital Improvement Projects Procedure Manual for Design and Construction, 2020 Edition.  The fee and design time have been adjusted to account for this.  At the Owner's option, the design contract may be amended to include the additional phases of basic design services with the corresponding fee and design time adjustment.</w:t>
      </w:r>
      <w:r w:rsidRPr="00FE0C3A">
        <w:rPr>
          <w:rFonts w:ascii="Times New Roman" w:hAnsi="Times New Roman"/>
          <w:szCs w:val="24"/>
        </w:rPr>
        <w:t xml:space="preserve"> The Designer shall prepare and submit all required drawings to </w:t>
      </w:r>
      <w:r w:rsidRPr="00934A86">
        <w:rPr>
          <w:rFonts w:ascii="Times New Roman" w:hAnsi="Times New Roman"/>
          <w:noProof/>
          <w:szCs w:val="24"/>
        </w:rPr>
        <w:t>CRT</w:t>
      </w:r>
      <w:r w:rsidRPr="00FE0C3A">
        <w:rPr>
          <w:rFonts w:ascii="Times New Roman" w:hAnsi="Times New Roman"/>
          <w:szCs w:val="24"/>
        </w:rPr>
        <w:t xml:space="preserve"> in AutoCAD and hard copy. Drawings shall follow the format specified in the "Instructions to Designers for AutoCAD Drawings Submittal". </w:t>
      </w:r>
      <w:r>
        <w:rPr>
          <w:rFonts w:ascii="Times New Roman" w:hAnsi="Times New Roman"/>
          <w:szCs w:val="24"/>
        </w:rPr>
        <w:t>The available funds for construction (AFC)</w:t>
      </w:r>
      <w:r w:rsidRPr="00FE0C3A">
        <w:rPr>
          <w:rFonts w:ascii="Times New Roman" w:hAnsi="Times New Roman"/>
          <w:szCs w:val="24"/>
        </w:rPr>
        <w:t xml:space="preserve"> are approximately </w:t>
      </w:r>
      <w:r w:rsidRPr="00FE0C3A">
        <w:rPr>
          <w:rFonts w:ascii="Times New Roman" w:hAnsi="Times New Roman"/>
          <w:b/>
          <w:bCs/>
          <w:noProof/>
          <w:szCs w:val="24"/>
        </w:rPr>
        <w:t>$</w:t>
      </w:r>
      <w:r>
        <w:rPr>
          <w:rFonts w:ascii="Times New Roman" w:hAnsi="Times New Roman"/>
          <w:b/>
          <w:bCs/>
          <w:noProof/>
          <w:szCs w:val="24"/>
        </w:rPr>
        <w:t>950,000.00</w:t>
      </w:r>
      <w:r w:rsidRPr="00FE0C3A">
        <w:rPr>
          <w:rFonts w:ascii="Times New Roman" w:hAnsi="Times New Roman"/>
          <w:b/>
          <w:bCs/>
          <w:szCs w:val="24"/>
        </w:rPr>
        <w:t xml:space="preserve"> </w:t>
      </w:r>
      <w:r w:rsidRPr="00FE0C3A">
        <w:rPr>
          <w:rFonts w:ascii="Times New Roman" w:hAnsi="Times New Roman"/>
          <w:szCs w:val="24"/>
        </w:rPr>
        <w:t xml:space="preserve">with a fee of approximately </w:t>
      </w:r>
      <w:r w:rsidRPr="00FE0C3A">
        <w:rPr>
          <w:rFonts w:ascii="Times New Roman" w:hAnsi="Times New Roman"/>
          <w:b/>
          <w:bCs/>
          <w:noProof/>
          <w:szCs w:val="24"/>
        </w:rPr>
        <w:t>$</w:t>
      </w:r>
      <w:r>
        <w:rPr>
          <w:rFonts w:ascii="Times New Roman" w:hAnsi="Times New Roman"/>
          <w:b/>
          <w:bCs/>
          <w:noProof/>
          <w:szCs w:val="24"/>
        </w:rPr>
        <w:t>51,112.00</w:t>
      </w:r>
      <w:r w:rsidRPr="00FE0C3A">
        <w:rPr>
          <w:rFonts w:ascii="Times New Roman" w:hAnsi="Times New Roman"/>
          <w:szCs w:val="24"/>
        </w:rPr>
        <w:t xml:space="preserve">. Contract design time is </w:t>
      </w:r>
      <w:r w:rsidRPr="00934A86">
        <w:rPr>
          <w:rFonts w:ascii="Times New Roman" w:hAnsi="Times New Roman"/>
          <w:b/>
          <w:bCs/>
          <w:noProof/>
          <w:szCs w:val="24"/>
        </w:rPr>
        <w:t>225</w:t>
      </w:r>
      <w:r w:rsidRPr="00FE0C3A">
        <w:rPr>
          <w:rFonts w:ascii="Times New Roman" w:hAnsi="Times New Roman"/>
          <w:szCs w:val="24"/>
        </w:rPr>
        <w:t xml:space="preserve"> consecutive calendar days; including </w:t>
      </w:r>
      <w:r w:rsidRPr="00934A86">
        <w:rPr>
          <w:rFonts w:ascii="Times New Roman" w:hAnsi="Times New Roman"/>
          <w:b/>
          <w:bCs/>
          <w:noProof/>
          <w:szCs w:val="24"/>
        </w:rPr>
        <w:t>75</w:t>
      </w:r>
      <w:r w:rsidRPr="00FE0C3A">
        <w:rPr>
          <w:rFonts w:ascii="Times New Roman" w:hAnsi="Times New Roman"/>
          <w:szCs w:val="24"/>
        </w:rPr>
        <w:t xml:space="preserve"> days review time. Thereafter, liquidated damages in the amount of </w:t>
      </w:r>
      <w:r w:rsidRPr="00FE0C3A">
        <w:rPr>
          <w:rFonts w:ascii="Times New Roman" w:hAnsi="Times New Roman"/>
          <w:b/>
          <w:bCs/>
          <w:noProof/>
          <w:szCs w:val="24"/>
        </w:rPr>
        <w:t>$</w:t>
      </w:r>
      <w:r>
        <w:rPr>
          <w:rFonts w:ascii="Times New Roman" w:hAnsi="Times New Roman"/>
          <w:b/>
          <w:bCs/>
          <w:noProof/>
          <w:szCs w:val="24"/>
        </w:rPr>
        <w:t>125.00</w:t>
      </w:r>
      <w:r w:rsidRPr="00FE0C3A">
        <w:rPr>
          <w:rFonts w:ascii="Times New Roman" w:hAnsi="Times New Roman"/>
          <w:szCs w:val="24"/>
        </w:rPr>
        <w:t xml:space="preserve"> per day will be assessed. Further information is available from </w:t>
      </w:r>
      <w:r w:rsidRPr="00934A86">
        <w:rPr>
          <w:rFonts w:ascii="Times New Roman" w:hAnsi="Times New Roman"/>
          <w:b/>
          <w:bCs/>
          <w:noProof/>
          <w:szCs w:val="24"/>
        </w:rPr>
        <w:t>Scott Treadaway</w:t>
      </w:r>
      <w:r w:rsidRPr="00FE0C3A">
        <w:rPr>
          <w:rFonts w:ascii="Times New Roman" w:hAnsi="Times New Roman"/>
          <w:b/>
          <w:bCs/>
          <w:szCs w:val="24"/>
        </w:rPr>
        <w:t xml:space="preserve">, </w:t>
      </w:r>
      <w:r w:rsidRPr="00934A86">
        <w:rPr>
          <w:rFonts w:ascii="Times New Roman" w:hAnsi="Times New Roman"/>
          <w:b/>
          <w:bCs/>
          <w:noProof/>
          <w:szCs w:val="24"/>
        </w:rPr>
        <w:t>CRT</w:t>
      </w:r>
      <w:r w:rsidRPr="00FE0C3A">
        <w:rPr>
          <w:rFonts w:ascii="Times New Roman" w:hAnsi="Times New Roman"/>
          <w:b/>
          <w:bCs/>
          <w:szCs w:val="24"/>
        </w:rPr>
        <w:t xml:space="preserve">, </w:t>
      </w:r>
      <w:r w:rsidRPr="00934A86">
        <w:rPr>
          <w:rFonts w:ascii="Times New Roman" w:hAnsi="Times New Roman"/>
          <w:b/>
          <w:bCs/>
          <w:noProof/>
          <w:szCs w:val="24"/>
        </w:rPr>
        <w:t>streadaway@crt.la.gov</w:t>
      </w:r>
      <w:r w:rsidRPr="00FE0C3A">
        <w:rPr>
          <w:rFonts w:ascii="Times New Roman" w:hAnsi="Times New Roman"/>
          <w:b/>
          <w:bCs/>
          <w:szCs w:val="24"/>
        </w:rPr>
        <w:t xml:space="preserve">, </w:t>
      </w:r>
      <w:r w:rsidRPr="00934A86">
        <w:rPr>
          <w:rFonts w:ascii="Times New Roman" w:hAnsi="Times New Roman"/>
          <w:b/>
          <w:bCs/>
          <w:noProof/>
          <w:szCs w:val="24"/>
        </w:rPr>
        <w:t>(225) 276-0418</w:t>
      </w:r>
      <w:r w:rsidRPr="00FE0C3A">
        <w:rPr>
          <w:rFonts w:ascii="Times New Roman" w:hAnsi="Times New Roman"/>
          <w:b/>
          <w:bCs/>
          <w:szCs w:val="24"/>
        </w:rPr>
        <w:t>.</w:t>
      </w:r>
    </w:p>
    <w:p w14:paraId="749A4A89" w14:textId="77777777" w:rsidR="003C6D72" w:rsidRDefault="003C6D72" w:rsidP="00BC0F5C">
      <w:pPr>
        <w:rPr>
          <w:rFonts w:ascii="Times New Roman" w:hAnsi="Times New Roman"/>
          <w:szCs w:val="24"/>
        </w:rPr>
      </w:pPr>
    </w:p>
    <w:p w14:paraId="5E2A6912" w14:textId="77777777" w:rsidR="003C6D72" w:rsidRDefault="003C6D72" w:rsidP="001B654D">
      <w:pPr>
        <w:rPr>
          <w:rFonts w:ascii="Times New Roman" w:hAnsi="Times New Roman"/>
          <w:b/>
          <w:bCs/>
          <w:szCs w:val="24"/>
        </w:rPr>
      </w:pPr>
      <w:r w:rsidRPr="008B2701">
        <w:rPr>
          <w:rFonts w:ascii="Times New Roman" w:hAnsi="Times New Roman"/>
          <w:b/>
          <w:bCs/>
          <w:szCs w:val="24"/>
        </w:rPr>
        <w:t>GENERAL REQUIREMENTS APPLICABLE TO ALL PROJECTS:</w:t>
      </w:r>
      <w:r w:rsidRPr="008B2701">
        <w:rPr>
          <w:rFonts w:ascii="Times New Roman" w:hAnsi="Times New Roman"/>
          <w:szCs w:val="24"/>
        </w:rPr>
        <w:br/>
        <w:t>Applicants are advised that design time ends when the Documents are "complete, coordinated and </w:t>
      </w:r>
      <w:r w:rsidRPr="008B2701">
        <w:rPr>
          <w:rFonts w:ascii="Times New Roman" w:hAnsi="Times New Roman"/>
          <w:b/>
          <w:bCs/>
          <w:szCs w:val="24"/>
        </w:rPr>
        <w:t>ready for bid</w:t>
      </w:r>
      <w:r w:rsidRPr="008B2701">
        <w:rPr>
          <w:rFonts w:ascii="Times New Roman" w:hAnsi="Times New Roman"/>
          <w:szCs w:val="24"/>
        </w:rPr>
        <w:t>" as stated in to</w:t>
      </w:r>
      <w:r>
        <w:rPr>
          <w:rFonts w:ascii="Times New Roman" w:hAnsi="Times New Roman"/>
          <w:szCs w:val="24"/>
        </w:rPr>
        <w:t xml:space="preserve"> Article </w:t>
      </w:r>
      <w:r w:rsidRPr="008B2701">
        <w:rPr>
          <w:rFonts w:ascii="Times New Roman" w:hAnsi="Times New Roman"/>
          <w:szCs w:val="24"/>
        </w:rPr>
        <w:t>3.3.1 (4) of the Capital Improvements Projects Procedure Manual for Design and Construction. Documents will be considered to be "complete, coordinated and ready for bid" only if the advertisement for bid can be issued with no further corrections to the Documents. Design time will not necessarily end at the receipt of the initial Construction Documents Phase submittal by Facility Planning and Control. Any re-submittals required to complete the documents will be included in the design time.</w:t>
      </w:r>
      <w:r w:rsidRPr="008B2701">
        <w:rPr>
          <w:rFonts w:ascii="Times New Roman" w:hAnsi="Times New Roman"/>
          <w:szCs w:val="24"/>
        </w:rPr>
        <w:br/>
      </w:r>
      <w:r w:rsidRPr="008B2701">
        <w:rPr>
          <w:rFonts w:ascii="Times New Roman" w:hAnsi="Times New Roman"/>
          <w:szCs w:val="24"/>
        </w:rPr>
        <w:br/>
        <w:t>In addition to the statutory requirements, professional liability insurance covering the work involved will be required in an amount specified in the following schedule. This will be required at the time the Designer's contract is signed. Proof of coverage will be required at that time.</w:t>
      </w:r>
      <w:r w:rsidRPr="008B2701">
        <w:rPr>
          <w:rFonts w:ascii="Times New Roman" w:hAnsi="Times New Roman"/>
          <w:szCs w:val="24"/>
        </w:rPr>
        <w:br/>
      </w:r>
      <w:r w:rsidRPr="008B2701">
        <w:rPr>
          <w:rFonts w:ascii="Times New Roman" w:hAnsi="Times New Roman"/>
          <w:szCs w:val="24"/>
        </w:rPr>
        <w:br/>
      </w:r>
      <w:r w:rsidRPr="008B2701">
        <w:rPr>
          <w:rFonts w:ascii="Times New Roman" w:hAnsi="Times New Roman"/>
          <w:b/>
          <w:bCs/>
          <w:szCs w:val="24"/>
        </w:rPr>
        <w:t>SCHEDULE</w:t>
      </w:r>
      <w:r w:rsidRPr="008B2701">
        <w:rPr>
          <w:rFonts w:ascii="Times New Roman" w:hAnsi="Times New Roman"/>
          <w:b/>
          <w:bCs/>
          <w:szCs w:val="24"/>
        </w:rPr>
        <w:br/>
        <w:t>LIMITS OF PROFESSIONAL LIABILITY</w:t>
      </w:r>
    </w:p>
    <w:tbl>
      <w:tblPr>
        <w:tblStyle w:val="TableGrid"/>
        <w:tblW w:w="6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60"/>
      </w:tblGrid>
      <w:tr w:rsidR="003C6D72" w14:paraId="1AB97CEC" w14:textId="77777777" w:rsidTr="001205F4">
        <w:tc>
          <w:tcPr>
            <w:tcW w:w="3510" w:type="dxa"/>
          </w:tcPr>
          <w:p w14:paraId="1C0DC8C2" w14:textId="77777777" w:rsidR="003C6D72" w:rsidRDefault="003C6D72" w:rsidP="001B654D">
            <w:pPr>
              <w:rPr>
                <w:rFonts w:ascii="Times New Roman" w:hAnsi="Times New Roman"/>
                <w:b/>
                <w:bCs/>
                <w:szCs w:val="24"/>
              </w:rPr>
            </w:pPr>
            <w:r w:rsidRPr="008B2701">
              <w:rPr>
                <w:rFonts w:ascii="Times New Roman" w:hAnsi="Times New Roman"/>
                <w:szCs w:val="24"/>
                <w:u w:val="single"/>
              </w:rPr>
              <w:t>Construction Cost</w:t>
            </w:r>
          </w:p>
        </w:tc>
        <w:tc>
          <w:tcPr>
            <w:tcW w:w="3060" w:type="dxa"/>
            <w:vAlign w:val="center"/>
          </w:tcPr>
          <w:p w14:paraId="57DB7F8F" w14:textId="77777777" w:rsidR="003C6D72" w:rsidRPr="008B2701" w:rsidRDefault="003C6D72" w:rsidP="001B654D">
            <w:pPr>
              <w:rPr>
                <w:rFonts w:ascii="Times New Roman" w:hAnsi="Times New Roman"/>
                <w:szCs w:val="24"/>
              </w:rPr>
            </w:pPr>
            <w:r w:rsidRPr="008B2701">
              <w:rPr>
                <w:rFonts w:ascii="Times New Roman" w:hAnsi="Times New Roman"/>
                <w:szCs w:val="24"/>
                <w:u w:val="single"/>
              </w:rPr>
              <w:t>Limit of Liability</w:t>
            </w:r>
          </w:p>
        </w:tc>
      </w:tr>
      <w:tr w:rsidR="003C6D72" w14:paraId="51DBF29D" w14:textId="77777777" w:rsidTr="001205F4">
        <w:tc>
          <w:tcPr>
            <w:tcW w:w="3510" w:type="dxa"/>
          </w:tcPr>
          <w:p w14:paraId="58FA39C2" w14:textId="77777777" w:rsidR="003C6D72" w:rsidRDefault="003C6D72" w:rsidP="001B654D">
            <w:pPr>
              <w:rPr>
                <w:rFonts w:ascii="Times New Roman" w:hAnsi="Times New Roman"/>
                <w:b/>
                <w:bCs/>
                <w:szCs w:val="24"/>
              </w:rPr>
            </w:pPr>
            <w:r w:rsidRPr="008B2701">
              <w:rPr>
                <w:rFonts w:ascii="Times New Roman" w:hAnsi="Times New Roman"/>
                <w:szCs w:val="24"/>
              </w:rPr>
              <w:t>$0 to $10,000,000</w:t>
            </w:r>
          </w:p>
        </w:tc>
        <w:tc>
          <w:tcPr>
            <w:tcW w:w="3060" w:type="dxa"/>
            <w:vAlign w:val="center"/>
          </w:tcPr>
          <w:p w14:paraId="1286A105" w14:textId="77777777" w:rsidR="003C6D72" w:rsidRPr="008B2701" w:rsidRDefault="003C6D72" w:rsidP="001B654D">
            <w:pPr>
              <w:rPr>
                <w:rFonts w:ascii="Times New Roman" w:hAnsi="Times New Roman"/>
                <w:szCs w:val="24"/>
              </w:rPr>
            </w:pPr>
            <w:r w:rsidRPr="008B2701">
              <w:rPr>
                <w:rFonts w:ascii="Times New Roman" w:hAnsi="Times New Roman"/>
                <w:szCs w:val="24"/>
              </w:rPr>
              <w:t>$1,000,000</w:t>
            </w:r>
          </w:p>
        </w:tc>
      </w:tr>
      <w:tr w:rsidR="003C6D72" w14:paraId="3B423B5A" w14:textId="77777777" w:rsidTr="001205F4">
        <w:tc>
          <w:tcPr>
            <w:tcW w:w="3510" w:type="dxa"/>
          </w:tcPr>
          <w:p w14:paraId="7DF75AE8" w14:textId="77777777" w:rsidR="003C6D72" w:rsidRDefault="003C6D72" w:rsidP="001B654D">
            <w:pPr>
              <w:rPr>
                <w:rFonts w:ascii="Times New Roman" w:hAnsi="Times New Roman"/>
                <w:b/>
                <w:bCs/>
                <w:szCs w:val="24"/>
              </w:rPr>
            </w:pPr>
            <w:r w:rsidRPr="008B2701">
              <w:rPr>
                <w:rFonts w:ascii="Times New Roman" w:hAnsi="Times New Roman"/>
                <w:szCs w:val="24"/>
              </w:rPr>
              <w:t>$10,000,001 to $20,000,000</w:t>
            </w:r>
          </w:p>
        </w:tc>
        <w:tc>
          <w:tcPr>
            <w:tcW w:w="3060" w:type="dxa"/>
            <w:vAlign w:val="center"/>
          </w:tcPr>
          <w:p w14:paraId="15676960" w14:textId="77777777" w:rsidR="003C6D72" w:rsidRPr="008B2701" w:rsidRDefault="003C6D72" w:rsidP="001B654D">
            <w:pPr>
              <w:rPr>
                <w:rFonts w:ascii="Times New Roman" w:hAnsi="Times New Roman"/>
                <w:szCs w:val="24"/>
              </w:rPr>
            </w:pPr>
            <w:r w:rsidRPr="008B2701">
              <w:rPr>
                <w:rFonts w:ascii="Times New Roman" w:hAnsi="Times New Roman"/>
                <w:szCs w:val="24"/>
              </w:rPr>
              <w:t>$1,500,000</w:t>
            </w:r>
          </w:p>
        </w:tc>
      </w:tr>
      <w:tr w:rsidR="003C6D72" w14:paraId="6004B46E" w14:textId="77777777" w:rsidTr="001205F4">
        <w:tc>
          <w:tcPr>
            <w:tcW w:w="3510" w:type="dxa"/>
          </w:tcPr>
          <w:p w14:paraId="76EBBD5D" w14:textId="77777777" w:rsidR="003C6D72" w:rsidRPr="008B2701" w:rsidRDefault="003C6D72" w:rsidP="001205F4">
            <w:pPr>
              <w:rPr>
                <w:rFonts w:ascii="Times New Roman" w:hAnsi="Times New Roman"/>
                <w:szCs w:val="24"/>
              </w:rPr>
            </w:pPr>
            <w:r w:rsidRPr="008B2701">
              <w:rPr>
                <w:rFonts w:ascii="Times New Roman" w:hAnsi="Times New Roman"/>
                <w:szCs w:val="24"/>
              </w:rPr>
              <w:t>$20,000,001 to $50,000,000</w:t>
            </w:r>
          </w:p>
        </w:tc>
        <w:tc>
          <w:tcPr>
            <w:tcW w:w="3060" w:type="dxa"/>
            <w:vAlign w:val="center"/>
          </w:tcPr>
          <w:p w14:paraId="4CCC988A" w14:textId="77777777" w:rsidR="003C6D72" w:rsidRPr="008B2701" w:rsidRDefault="003C6D72" w:rsidP="001205F4">
            <w:pPr>
              <w:rPr>
                <w:rFonts w:ascii="Times New Roman" w:hAnsi="Times New Roman"/>
                <w:szCs w:val="24"/>
              </w:rPr>
            </w:pPr>
            <w:r w:rsidRPr="008B2701">
              <w:rPr>
                <w:rFonts w:ascii="Times New Roman" w:hAnsi="Times New Roman"/>
                <w:szCs w:val="24"/>
              </w:rPr>
              <w:t>$3,000,000</w:t>
            </w:r>
          </w:p>
        </w:tc>
      </w:tr>
      <w:tr w:rsidR="003C6D72" w14:paraId="5692443D" w14:textId="77777777" w:rsidTr="001205F4">
        <w:tc>
          <w:tcPr>
            <w:tcW w:w="3510" w:type="dxa"/>
            <w:vAlign w:val="center"/>
          </w:tcPr>
          <w:p w14:paraId="2F8AD90C" w14:textId="77777777" w:rsidR="003C6D72" w:rsidRPr="008B2701" w:rsidRDefault="003C6D72" w:rsidP="001205F4">
            <w:pPr>
              <w:rPr>
                <w:rFonts w:ascii="Times New Roman" w:hAnsi="Times New Roman"/>
                <w:szCs w:val="24"/>
              </w:rPr>
            </w:pPr>
            <w:r w:rsidRPr="008B2701">
              <w:rPr>
                <w:rFonts w:ascii="Times New Roman" w:hAnsi="Times New Roman"/>
                <w:szCs w:val="24"/>
              </w:rPr>
              <w:t>Over $50,000,000</w:t>
            </w:r>
          </w:p>
        </w:tc>
        <w:tc>
          <w:tcPr>
            <w:tcW w:w="3060" w:type="dxa"/>
            <w:vAlign w:val="center"/>
          </w:tcPr>
          <w:p w14:paraId="7CB56936" w14:textId="77777777" w:rsidR="003C6D72" w:rsidRPr="008B2701" w:rsidRDefault="003C6D72" w:rsidP="001205F4">
            <w:pPr>
              <w:rPr>
                <w:rFonts w:ascii="Times New Roman" w:hAnsi="Times New Roman"/>
                <w:szCs w:val="24"/>
              </w:rPr>
            </w:pPr>
            <w:r w:rsidRPr="008B2701">
              <w:rPr>
                <w:rFonts w:ascii="Times New Roman" w:hAnsi="Times New Roman"/>
                <w:szCs w:val="24"/>
              </w:rPr>
              <w:t>To be determined by Owner</w:t>
            </w:r>
          </w:p>
        </w:tc>
      </w:tr>
    </w:tbl>
    <w:p w14:paraId="197365D6" w14:textId="77777777" w:rsidR="003C6D72" w:rsidRDefault="003C6D72" w:rsidP="001B654D">
      <w:pPr>
        <w:rPr>
          <w:rFonts w:ascii="Times New Roman" w:hAnsi="Times New Roman"/>
          <w:szCs w:val="24"/>
        </w:rPr>
      </w:pPr>
      <w:r w:rsidRPr="008B2701">
        <w:rPr>
          <w:rFonts w:ascii="Times New Roman" w:hAnsi="Times New Roman"/>
          <w:szCs w:val="24"/>
        </w:rPr>
        <w:br/>
      </w:r>
    </w:p>
    <w:p w14:paraId="2A2C1836" w14:textId="77777777" w:rsidR="003C6D72" w:rsidRDefault="003C6D72" w:rsidP="001B654D">
      <w:pPr>
        <w:rPr>
          <w:rFonts w:ascii="Times New Roman" w:hAnsi="Times New Roman"/>
          <w:szCs w:val="24"/>
        </w:rPr>
      </w:pPr>
    </w:p>
    <w:p w14:paraId="4450A94F" w14:textId="7B168653" w:rsidR="003C6D72" w:rsidRDefault="003C6D72" w:rsidP="001B654D">
      <w:pPr>
        <w:rPr>
          <w:rFonts w:ascii="Times New Roman" w:hAnsi="Times New Roman"/>
          <w:b/>
          <w:bCs/>
          <w:szCs w:val="24"/>
        </w:rPr>
      </w:pPr>
      <w:r w:rsidRPr="008B2701">
        <w:rPr>
          <w:rFonts w:ascii="Times New Roman" w:hAnsi="Times New Roman"/>
          <w:szCs w:val="24"/>
        </w:rPr>
        <w:t xml:space="preserve">Applicant firms should be familiar with the above stated requirements prior to application. The firm(s) selected for the project(s) will be required to sign the </w:t>
      </w:r>
      <w:r>
        <w:rPr>
          <w:rFonts w:ascii="Times New Roman" w:hAnsi="Times New Roman"/>
          <w:szCs w:val="24"/>
        </w:rPr>
        <w:t>S</w:t>
      </w:r>
      <w:r w:rsidRPr="008B2701">
        <w:rPr>
          <w:rFonts w:ascii="Times New Roman" w:hAnsi="Times New Roman"/>
          <w:szCs w:val="24"/>
        </w:rPr>
        <w:t>tate's standard Contract Between Owner and Designer. When these projects are financed either partially or entirely with Bonds, the award of the contract is contingent upon the sale of bonds or the issuance of a line of credit by the State Bond Commission. The State shall incur no obligation to the Designer until the Contract Between Owner and Designer is fully executed.</w:t>
      </w:r>
      <w:r w:rsidRPr="008B2701">
        <w:rPr>
          <w:rFonts w:ascii="Times New Roman" w:hAnsi="Times New Roman"/>
          <w:szCs w:val="24"/>
        </w:rPr>
        <w:br/>
      </w:r>
      <w:r w:rsidRPr="008B2701">
        <w:rPr>
          <w:rFonts w:ascii="Times New Roman" w:hAnsi="Times New Roman"/>
          <w:szCs w:val="24"/>
        </w:rPr>
        <w:br/>
        <w:t xml:space="preserve">Firms will be expected to have all the expertise necessary to provide all </w:t>
      </w:r>
      <w:r>
        <w:rPr>
          <w:rFonts w:ascii="Times New Roman" w:hAnsi="Times New Roman"/>
          <w:noProof/>
          <w:szCs w:val="24"/>
        </w:rPr>
        <w:t>architectural</w:t>
      </w:r>
      <w:r w:rsidRPr="008B2701">
        <w:rPr>
          <w:rFonts w:ascii="Times New Roman" w:hAnsi="Times New Roman"/>
          <w:szCs w:val="24"/>
        </w:rPr>
        <w:t xml:space="preserve"> services required by the Louisiana Capital Improvement Projects Procedure Manual for Design and Construction for the projects for which they are applying. Unless indicated otherwise in the project description, there will be no additional fee for consultants.</w:t>
      </w:r>
      <w:r w:rsidRPr="008B2701">
        <w:rPr>
          <w:rFonts w:ascii="Times New Roman" w:hAnsi="Times New Roman"/>
          <w:szCs w:val="24"/>
        </w:rPr>
        <w:br/>
      </w:r>
      <w:r w:rsidRPr="008B2701">
        <w:rPr>
          <w:rFonts w:ascii="Times New Roman" w:hAnsi="Times New Roman"/>
          <w:szCs w:val="24"/>
        </w:rPr>
        <w:br/>
        <w:t>Facility Planning and Control is a participant in the Small Entrepreneurship Program (the Hudson Initiative) and applicants are encouraged to consider participation. Information is available from the Office of Facility Planning and Control or on its website at </w:t>
      </w:r>
      <w:hyperlink r:id="rId6" w:history="1">
        <w:r w:rsidRPr="001E582B">
          <w:rPr>
            <w:rStyle w:val="Hyperlink"/>
            <w:rFonts w:ascii="Times New Roman" w:hAnsi="Times New Roman"/>
            <w:szCs w:val="24"/>
          </w:rPr>
          <w:t>https://www.doa.la.gov/doa/fpc/</w:t>
        </w:r>
      </w:hyperlink>
      <w:r w:rsidRPr="009F11EE">
        <w:rPr>
          <w:rFonts w:ascii="Times New Roman" w:hAnsi="Times New Roman"/>
          <w:szCs w:val="24"/>
        </w:rPr>
        <w:t>.</w:t>
      </w:r>
      <w:r w:rsidRPr="008B2701">
        <w:rPr>
          <w:rFonts w:ascii="Times New Roman" w:hAnsi="Times New Roman"/>
          <w:szCs w:val="24"/>
        </w:rPr>
        <w:br/>
      </w:r>
      <w:r w:rsidRPr="008B2701">
        <w:rPr>
          <w:rFonts w:ascii="Times New Roman" w:hAnsi="Times New Roman"/>
          <w:szCs w:val="24"/>
        </w:rPr>
        <w:br/>
        <w:t>Applications shall be de</w:t>
      </w:r>
      <w:r>
        <w:rPr>
          <w:rFonts w:ascii="Times New Roman" w:hAnsi="Times New Roman"/>
          <w:szCs w:val="24"/>
        </w:rPr>
        <w:t>livered or mailed or emailed to</w:t>
      </w:r>
      <w:r w:rsidRPr="008B2701">
        <w:rPr>
          <w:rFonts w:ascii="Times New Roman" w:hAnsi="Times New Roman"/>
          <w:szCs w:val="24"/>
        </w:rPr>
        <w:t>:</w:t>
      </w:r>
      <w:r w:rsidRPr="008B2701">
        <w:rPr>
          <w:rFonts w:ascii="Times New Roman" w:hAnsi="Times New Roman"/>
          <w:szCs w:val="24"/>
        </w:rPr>
        <w:br/>
      </w:r>
      <w:r w:rsidRPr="008B2701">
        <w:rPr>
          <w:rFonts w:ascii="Times New Roman" w:hAnsi="Times New Roman"/>
          <w:b/>
          <w:bCs/>
          <w:szCs w:val="24"/>
        </w:rPr>
        <w:t xml:space="preserve">LOUISIANA </w:t>
      </w:r>
      <w:r w:rsidRPr="00FF1787">
        <w:rPr>
          <w:rFonts w:ascii="Times New Roman" w:hAnsi="Times New Roman"/>
          <w:b/>
          <w:bCs/>
          <w:noProof/>
          <w:szCs w:val="24"/>
        </w:rPr>
        <w:t>ARCHITECTURAL</w:t>
      </w:r>
      <w:r w:rsidRPr="008B2701">
        <w:rPr>
          <w:rFonts w:ascii="Times New Roman" w:hAnsi="Times New Roman"/>
          <w:b/>
          <w:bCs/>
          <w:szCs w:val="24"/>
        </w:rPr>
        <w:t xml:space="preserve"> SELECTION BOARD</w:t>
      </w:r>
      <w:r w:rsidRPr="008B2701">
        <w:rPr>
          <w:rFonts w:ascii="Times New Roman" w:hAnsi="Times New Roman"/>
          <w:b/>
          <w:bCs/>
          <w:szCs w:val="24"/>
        </w:rPr>
        <w:br/>
        <w:t>c/o FACILITY PLANNING AND CONTROL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060"/>
      </w:tblGrid>
      <w:tr w:rsidR="003C6D72" w14:paraId="6E3C5E14" w14:textId="77777777" w:rsidTr="004C64CF">
        <w:tc>
          <w:tcPr>
            <w:tcW w:w="3420" w:type="dxa"/>
          </w:tcPr>
          <w:p w14:paraId="657C0AAC" w14:textId="77777777" w:rsidR="003C6D72" w:rsidRDefault="003C6D72" w:rsidP="001B654D">
            <w:pPr>
              <w:rPr>
                <w:rFonts w:ascii="Times New Roman" w:hAnsi="Times New Roman"/>
                <w:b/>
                <w:bCs/>
                <w:szCs w:val="24"/>
              </w:rPr>
            </w:pPr>
            <w:r w:rsidRPr="004C64CF">
              <w:rPr>
                <w:rFonts w:ascii="Times New Roman" w:hAnsi="Times New Roman"/>
                <w:b/>
                <w:bCs/>
                <w:szCs w:val="24"/>
                <w:u w:val="single"/>
              </w:rPr>
              <w:t>E-Mail</w:t>
            </w:r>
            <w:r w:rsidRPr="008B2701">
              <w:rPr>
                <w:rFonts w:ascii="Times New Roman" w:hAnsi="Times New Roman"/>
                <w:b/>
                <w:bCs/>
                <w:szCs w:val="24"/>
              </w:rPr>
              <w:t>:</w:t>
            </w:r>
            <w:r w:rsidRPr="008B2701">
              <w:rPr>
                <w:rFonts w:ascii="Times New Roman" w:hAnsi="Times New Roman"/>
                <w:b/>
                <w:bCs/>
                <w:szCs w:val="24"/>
              </w:rPr>
              <w:br/>
              <w:t>selection.board@la.gov</w:t>
            </w:r>
          </w:p>
        </w:tc>
        <w:tc>
          <w:tcPr>
            <w:tcW w:w="3060" w:type="dxa"/>
            <w:vMerge w:val="restart"/>
          </w:tcPr>
          <w:p w14:paraId="62B2538E" w14:textId="77777777" w:rsidR="003C6D72" w:rsidRDefault="003C6D72" w:rsidP="001B654D">
            <w:pPr>
              <w:rPr>
                <w:rFonts w:ascii="Times New Roman" w:hAnsi="Times New Roman"/>
                <w:b/>
                <w:bCs/>
                <w:szCs w:val="24"/>
              </w:rPr>
            </w:pPr>
            <w:r w:rsidRPr="004C64CF">
              <w:rPr>
                <w:rFonts w:ascii="Times New Roman" w:hAnsi="Times New Roman"/>
                <w:b/>
                <w:bCs/>
                <w:szCs w:val="24"/>
                <w:u w:val="single"/>
              </w:rPr>
              <w:t>Deliver</w:t>
            </w:r>
            <w:r w:rsidRPr="008B2701">
              <w:rPr>
                <w:rFonts w:ascii="Times New Roman" w:hAnsi="Times New Roman"/>
                <w:b/>
                <w:bCs/>
                <w:szCs w:val="24"/>
              </w:rPr>
              <w:t>:</w:t>
            </w:r>
            <w:r w:rsidRPr="008B2701">
              <w:rPr>
                <w:rFonts w:ascii="Times New Roman" w:hAnsi="Times New Roman"/>
                <w:b/>
                <w:bCs/>
                <w:szCs w:val="24"/>
              </w:rPr>
              <w:br/>
              <w:t>1201 North Third Street</w:t>
            </w:r>
            <w:r w:rsidRPr="008B2701">
              <w:rPr>
                <w:rFonts w:ascii="Times New Roman" w:hAnsi="Times New Roman"/>
                <w:b/>
                <w:bCs/>
                <w:szCs w:val="24"/>
              </w:rPr>
              <w:br/>
              <w:t>Claiborne Office Building</w:t>
            </w:r>
            <w:r w:rsidRPr="008B2701">
              <w:rPr>
                <w:rFonts w:ascii="Times New Roman" w:hAnsi="Times New Roman"/>
                <w:b/>
                <w:bCs/>
                <w:szCs w:val="24"/>
              </w:rPr>
              <w:br/>
              <w:t>Seventh Floor, Suite 7-160</w:t>
            </w:r>
            <w:r w:rsidRPr="008B2701">
              <w:rPr>
                <w:rFonts w:ascii="Times New Roman" w:hAnsi="Times New Roman"/>
                <w:b/>
                <w:bCs/>
                <w:szCs w:val="24"/>
              </w:rPr>
              <w:br/>
              <w:t>Baton Rouge, LA 70802</w:t>
            </w:r>
          </w:p>
        </w:tc>
      </w:tr>
      <w:tr w:rsidR="003C6D72" w14:paraId="1CF03834" w14:textId="77777777" w:rsidTr="004C64CF">
        <w:tc>
          <w:tcPr>
            <w:tcW w:w="3420" w:type="dxa"/>
          </w:tcPr>
          <w:p w14:paraId="1CF209E6" w14:textId="77777777" w:rsidR="003C6D72" w:rsidRDefault="003C6D72" w:rsidP="001B654D">
            <w:pPr>
              <w:rPr>
                <w:rFonts w:ascii="Times New Roman" w:hAnsi="Times New Roman"/>
                <w:b/>
                <w:bCs/>
                <w:szCs w:val="24"/>
              </w:rPr>
            </w:pPr>
            <w:r w:rsidRPr="004C64CF">
              <w:rPr>
                <w:rFonts w:ascii="Times New Roman" w:hAnsi="Times New Roman"/>
                <w:b/>
                <w:bCs/>
                <w:szCs w:val="24"/>
                <w:u w:val="single"/>
              </w:rPr>
              <w:t>Mail</w:t>
            </w:r>
            <w:r w:rsidRPr="008B2701">
              <w:rPr>
                <w:rFonts w:ascii="Times New Roman" w:hAnsi="Times New Roman"/>
                <w:b/>
                <w:bCs/>
                <w:szCs w:val="24"/>
              </w:rPr>
              <w:t>:</w:t>
            </w:r>
            <w:r w:rsidRPr="008B2701">
              <w:rPr>
                <w:rFonts w:ascii="Times New Roman" w:hAnsi="Times New Roman"/>
                <w:b/>
                <w:bCs/>
                <w:szCs w:val="24"/>
              </w:rPr>
              <w:br/>
              <w:t>Post Office Box 94095</w:t>
            </w:r>
            <w:r w:rsidRPr="008B2701">
              <w:rPr>
                <w:rFonts w:ascii="Times New Roman" w:hAnsi="Times New Roman"/>
                <w:b/>
                <w:bCs/>
                <w:szCs w:val="24"/>
              </w:rPr>
              <w:br/>
              <w:t>Baton Rouge, LA 70804-9095</w:t>
            </w:r>
          </w:p>
        </w:tc>
        <w:tc>
          <w:tcPr>
            <w:tcW w:w="3060" w:type="dxa"/>
            <w:vMerge/>
          </w:tcPr>
          <w:p w14:paraId="0C726DF0" w14:textId="77777777" w:rsidR="003C6D72" w:rsidRDefault="003C6D72" w:rsidP="001B654D">
            <w:pPr>
              <w:rPr>
                <w:rFonts w:ascii="Times New Roman" w:hAnsi="Times New Roman"/>
                <w:b/>
                <w:bCs/>
                <w:szCs w:val="24"/>
              </w:rPr>
            </w:pPr>
          </w:p>
        </w:tc>
      </w:tr>
    </w:tbl>
    <w:p w14:paraId="3C92A0E3" w14:textId="77777777" w:rsidR="00474B50" w:rsidRDefault="003C6D72" w:rsidP="00981354">
      <w:pPr>
        <w:rPr>
          <w:rFonts w:ascii="Times New Roman" w:hAnsi="Times New Roman"/>
          <w:b/>
        </w:rPr>
      </w:pPr>
      <w:r w:rsidRPr="008B2701">
        <w:rPr>
          <w:rFonts w:ascii="Times New Roman" w:hAnsi="Times New Roman"/>
          <w:szCs w:val="24"/>
        </w:rPr>
        <w:br/>
      </w:r>
      <w:r w:rsidRPr="008B2701">
        <w:rPr>
          <w:rFonts w:ascii="Times New Roman" w:hAnsi="Times New Roman"/>
          <w:b/>
          <w:bCs/>
          <w:szCs w:val="24"/>
        </w:rPr>
        <w:t>Use this e-mail address for applications only. Do not send any other communications to this address.</w:t>
      </w:r>
      <w:r>
        <w:rPr>
          <w:rFonts w:ascii="Times New Roman" w:hAnsi="Times New Roman"/>
          <w:szCs w:val="24"/>
        </w:rPr>
        <w:br/>
      </w:r>
      <w:r>
        <w:rPr>
          <w:rFonts w:ascii="Times New Roman" w:hAnsi="Times New Roman"/>
          <w:szCs w:val="24"/>
        </w:rPr>
        <w:br/>
        <w:t xml:space="preserve">The </w:t>
      </w:r>
      <w:r w:rsidRPr="008B2701">
        <w:rPr>
          <w:rFonts w:ascii="Times New Roman" w:hAnsi="Times New Roman"/>
          <w:szCs w:val="24"/>
        </w:rPr>
        <w:t xml:space="preserve">meeting date for the Louisiana </w:t>
      </w:r>
      <w:r>
        <w:rPr>
          <w:rFonts w:ascii="Times New Roman" w:hAnsi="Times New Roman"/>
          <w:noProof/>
          <w:szCs w:val="24"/>
        </w:rPr>
        <w:t>Architectural</w:t>
      </w:r>
      <w:r>
        <w:rPr>
          <w:rFonts w:ascii="Times New Roman" w:hAnsi="Times New Roman"/>
          <w:szCs w:val="24"/>
        </w:rPr>
        <w:t xml:space="preserve"> </w:t>
      </w:r>
      <w:r w:rsidRPr="008B2701">
        <w:rPr>
          <w:rFonts w:ascii="Times New Roman" w:hAnsi="Times New Roman"/>
          <w:szCs w:val="24"/>
        </w:rPr>
        <w:t>Selection Board is </w:t>
      </w:r>
      <w:r>
        <w:rPr>
          <w:rFonts w:ascii="Times New Roman" w:hAnsi="Times New Roman"/>
          <w:b/>
          <w:noProof/>
        </w:rPr>
        <w:t>Wednesday, November 19, 2025</w:t>
      </w:r>
      <w:r w:rsidRPr="00D26A73">
        <w:rPr>
          <w:rFonts w:ascii="Times New Roman" w:hAnsi="Times New Roman"/>
          <w:b/>
        </w:rPr>
        <w:t xml:space="preserve"> at </w:t>
      </w:r>
    </w:p>
    <w:p w14:paraId="46A8D637" w14:textId="68C3DA17" w:rsidR="003C6D72" w:rsidRDefault="003C6D72" w:rsidP="00981354">
      <w:r w:rsidRPr="00934A86">
        <w:rPr>
          <w:rFonts w:ascii="Times New Roman" w:hAnsi="Times New Roman"/>
          <w:b/>
          <w:noProof/>
        </w:rPr>
        <w:t>10:00 AM</w:t>
      </w:r>
      <w:r>
        <w:rPr>
          <w:rFonts w:ascii="Times New Roman" w:hAnsi="Times New Roman"/>
          <w:b/>
        </w:rPr>
        <w:t xml:space="preserve"> </w:t>
      </w:r>
      <w:r>
        <w:rPr>
          <w:noProof/>
        </w:rPr>
        <w:t xml:space="preserve">in room </w:t>
      </w:r>
      <w:r w:rsidRPr="00934A86">
        <w:rPr>
          <w:rFonts w:ascii="Times New Roman" w:hAnsi="Times New Roman"/>
          <w:b/>
          <w:noProof/>
        </w:rPr>
        <w:t>1-100 Louisiana Purchase Room</w:t>
      </w:r>
      <w:r>
        <w:rPr>
          <w:noProof/>
        </w:rPr>
        <w:t xml:space="preserve"> of the </w:t>
      </w:r>
      <w:r w:rsidRPr="00FD4696">
        <w:rPr>
          <w:noProof/>
        </w:rPr>
        <w:t>Claiborne Building, 1201 North Third Street, Baton Rouge, LA 70802</w:t>
      </w:r>
      <w:r w:rsidRPr="00D26A73">
        <w:rPr>
          <w:rFonts w:ascii="Times New Roman" w:hAnsi="Times New Roman"/>
          <w:b/>
          <w:bCs/>
          <w:szCs w:val="24"/>
        </w:rPr>
        <w:t>.</w:t>
      </w:r>
      <w:r>
        <w:rPr>
          <w:b/>
        </w:rPr>
        <w:t xml:space="preserve"> </w:t>
      </w:r>
      <w:r>
        <w:t xml:space="preserve"> </w:t>
      </w:r>
    </w:p>
    <w:p w14:paraId="562EE614" w14:textId="77777777" w:rsidR="003C6D72" w:rsidRDefault="003C6D72" w:rsidP="00981354"/>
    <w:p w14:paraId="603D6EE5" w14:textId="77777777" w:rsidR="003C6D72" w:rsidRDefault="003C6D72" w:rsidP="00981354">
      <w:r>
        <w:t>If you have a disability and would like to request an accommodation in order to participate in this meeting, please contact Christina Cardona at Christina.Cardona@la.gov or (225) 342-6060 as soon as possible but no later than 48 hours before the scheduled meeting.</w:t>
      </w:r>
    </w:p>
    <w:p w14:paraId="2FD43B08" w14:textId="77777777" w:rsidR="003C6D72" w:rsidRDefault="003C6D72" w:rsidP="001E1F0E">
      <w:pPr>
        <w:rPr>
          <w:rFonts w:ascii="Times New Roman" w:hAnsi="Times New Roman"/>
          <w:b/>
          <w:bCs/>
          <w:szCs w:val="24"/>
        </w:rPr>
      </w:pPr>
    </w:p>
    <w:sectPr w:rsidR="003C6D72" w:rsidSect="003C6D72">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F5"/>
    <w:rsid w:val="000047D8"/>
    <w:rsid w:val="00031708"/>
    <w:rsid w:val="00066F5C"/>
    <w:rsid w:val="0009350E"/>
    <w:rsid w:val="000B6019"/>
    <w:rsid w:val="000D074F"/>
    <w:rsid w:val="000D306E"/>
    <w:rsid w:val="001205F4"/>
    <w:rsid w:val="001377B4"/>
    <w:rsid w:val="0014795E"/>
    <w:rsid w:val="00151D63"/>
    <w:rsid w:val="001914A9"/>
    <w:rsid w:val="001B654D"/>
    <w:rsid w:val="001E1F0E"/>
    <w:rsid w:val="001F044C"/>
    <w:rsid w:val="002153C9"/>
    <w:rsid w:val="002175BB"/>
    <w:rsid w:val="002A0BAC"/>
    <w:rsid w:val="002E2FB9"/>
    <w:rsid w:val="002F109F"/>
    <w:rsid w:val="00362370"/>
    <w:rsid w:val="003779C0"/>
    <w:rsid w:val="003A7F13"/>
    <w:rsid w:val="003B4CC9"/>
    <w:rsid w:val="003C6D72"/>
    <w:rsid w:val="003F2650"/>
    <w:rsid w:val="00405056"/>
    <w:rsid w:val="00422C55"/>
    <w:rsid w:val="00473954"/>
    <w:rsid w:val="00474B50"/>
    <w:rsid w:val="00487B7F"/>
    <w:rsid w:val="004B1D1F"/>
    <w:rsid w:val="004C59F5"/>
    <w:rsid w:val="004C64CF"/>
    <w:rsid w:val="004D5637"/>
    <w:rsid w:val="0053688B"/>
    <w:rsid w:val="00542F12"/>
    <w:rsid w:val="00546F61"/>
    <w:rsid w:val="005C305F"/>
    <w:rsid w:val="00640C36"/>
    <w:rsid w:val="006F3A02"/>
    <w:rsid w:val="00717F08"/>
    <w:rsid w:val="007831E4"/>
    <w:rsid w:val="00790783"/>
    <w:rsid w:val="007B425C"/>
    <w:rsid w:val="007B4BA3"/>
    <w:rsid w:val="007D60BD"/>
    <w:rsid w:val="008509D4"/>
    <w:rsid w:val="00850B47"/>
    <w:rsid w:val="008B1CA3"/>
    <w:rsid w:val="008B1EEE"/>
    <w:rsid w:val="008B2701"/>
    <w:rsid w:val="008B2AD6"/>
    <w:rsid w:val="009071CF"/>
    <w:rsid w:val="0096155C"/>
    <w:rsid w:val="00975388"/>
    <w:rsid w:val="00981354"/>
    <w:rsid w:val="009A7FD2"/>
    <w:rsid w:val="009D00B8"/>
    <w:rsid w:val="009E6942"/>
    <w:rsid w:val="009F11EE"/>
    <w:rsid w:val="009F6E35"/>
    <w:rsid w:val="00A34659"/>
    <w:rsid w:val="00A43174"/>
    <w:rsid w:val="00A44B5D"/>
    <w:rsid w:val="00A867FF"/>
    <w:rsid w:val="00AA3399"/>
    <w:rsid w:val="00AA68E3"/>
    <w:rsid w:val="00AB1F51"/>
    <w:rsid w:val="00AB60F1"/>
    <w:rsid w:val="00AC27B2"/>
    <w:rsid w:val="00B14696"/>
    <w:rsid w:val="00B57580"/>
    <w:rsid w:val="00B6466B"/>
    <w:rsid w:val="00B81B18"/>
    <w:rsid w:val="00B81EA1"/>
    <w:rsid w:val="00BB6226"/>
    <w:rsid w:val="00BC0F5C"/>
    <w:rsid w:val="00BE0A0C"/>
    <w:rsid w:val="00BE4003"/>
    <w:rsid w:val="00C30FBB"/>
    <w:rsid w:val="00C37BC0"/>
    <w:rsid w:val="00C92B05"/>
    <w:rsid w:val="00CB4BD9"/>
    <w:rsid w:val="00CC0C4F"/>
    <w:rsid w:val="00CC4DAB"/>
    <w:rsid w:val="00CD018A"/>
    <w:rsid w:val="00D26482"/>
    <w:rsid w:val="00D26A73"/>
    <w:rsid w:val="00D80E25"/>
    <w:rsid w:val="00DA0F8E"/>
    <w:rsid w:val="00DA1CF1"/>
    <w:rsid w:val="00DC76D5"/>
    <w:rsid w:val="00E12598"/>
    <w:rsid w:val="00E51EA6"/>
    <w:rsid w:val="00E553AB"/>
    <w:rsid w:val="00E969ED"/>
    <w:rsid w:val="00EB3C51"/>
    <w:rsid w:val="00EC1023"/>
    <w:rsid w:val="00ED4B48"/>
    <w:rsid w:val="00ED5A75"/>
    <w:rsid w:val="00EE04F8"/>
    <w:rsid w:val="00EE16E9"/>
    <w:rsid w:val="00F046F5"/>
    <w:rsid w:val="00F15907"/>
    <w:rsid w:val="00F86654"/>
    <w:rsid w:val="00FA34B9"/>
    <w:rsid w:val="00FE0C3A"/>
    <w:rsid w:val="00FF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B2006"/>
  <w15:chartTrackingRefBased/>
  <w15:docId w15:val="{9666DC2A-8552-4FD1-9B45-2C2CC894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paragraph" w:styleId="Heading2">
    <w:name w:val="heading 2"/>
    <w:basedOn w:val="Normal"/>
    <w:link w:val="Heading2Char"/>
    <w:uiPriority w:val="9"/>
    <w:qFormat/>
    <w:rsid w:val="004C59F5"/>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9F5"/>
    <w:rPr>
      <w:b/>
      <w:bCs/>
      <w:sz w:val="36"/>
      <w:szCs w:val="36"/>
    </w:rPr>
  </w:style>
  <w:style w:type="character" w:styleId="Hyperlink">
    <w:name w:val="Hyperlink"/>
    <w:basedOn w:val="DefaultParagraphFont"/>
    <w:uiPriority w:val="99"/>
    <w:unhideWhenUsed/>
    <w:rsid w:val="004C59F5"/>
    <w:rPr>
      <w:color w:val="0000FF"/>
      <w:u w:val="single"/>
    </w:rPr>
  </w:style>
  <w:style w:type="character" w:styleId="Strong">
    <w:name w:val="Strong"/>
    <w:basedOn w:val="DefaultParagraphFont"/>
    <w:uiPriority w:val="22"/>
    <w:qFormat/>
    <w:rsid w:val="004C59F5"/>
    <w:rPr>
      <w:b/>
      <w:bCs/>
    </w:rPr>
  </w:style>
  <w:style w:type="table" w:styleId="TableGrid">
    <w:name w:val="Table Grid"/>
    <w:basedOn w:val="TableNormal"/>
    <w:uiPriority w:val="59"/>
    <w:rsid w:val="001B6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1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oa.la.gov/doa/fpc/" TargetMode="External"/><Relationship Id="rId5" Type="http://schemas.openxmlformats.org/officeDocument/2006/relationships/hyperlink" Target="https://www.doa.la.gov/doa/fpc/selection-bo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783F-4D6E-4016-B571-7377FD32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1598</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Kroll</dc:creator>
  <cp:keywords/>
  <dc:description/>
  <cp:lastModifiedBy>Yekeatha Smothers</cp:lastModifiedBy>
  <cp:revision>2</cp:revision>
  <dcterms:created xsi:type="dcterms:W3CDTF">2025-10-09T19:55:00Z</dcterms:created>
  <dcterms:modified xsi:type="dcterms:W3CDTF">2025-10-09T19:55:00Z</dcterms:modified>
</cp:coreProperties>
</file>